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44B4" w14:textId="77777777" w:rsidR="00B7190B" w:rsidRPr="00B7190B" w:rsidRDefault="00B7190B" w:rsidP="00B7190B">
      <w:pPr>
        <w:rPr>
          <w:b/>
          <w:bCs/>
        </w:rPr>
      </w:pPr>
      <w:r w:rsidRPr="00B7190B">
        <w:rPr>
          <w:b/>
          <w:bCs/>
        </w:rPr>
        <w:t>Reactor-Specific Deployment Calculation</w:t>
      </w:r>
    </w:p>
    <w:p w14:paraId="7BE38C06" w14:textId="77777777" w:rsidR="00B7190B" w:rsidRPr="00B7190B" w:rsidRDefault="00B7190B" w:rsidP="00B7190B">
      <w:r w:rsidRPr="00B7190B">
        <w:t>The deployment analysis is performed independently for each reactor concept using the prescribed installed-capacity trajectories presented in Table 5. Rather than assuming simultaneous deployment of multiple reactor concepts, each reactor type is assumed to satisfy the entire installed-capacity target by itself. This approach enables a direct comparison of reactor-specific material requirements under an identical deployment objective.</w:t>
      </w:r>
    </w:p>
    <w:p w14:paraId="637FABD4" w14:textId="7BB9EAB8" w:rsidR="00B7190B" w:rsidRPr="00B7190B" w:rsidRDefault="00B7190B" w:rsidP="00B7190B">
      <w:r w:rsidRPr="00B7190B">
        <w:t xml:space="preserve">For each deployment scenario (FAST or SLOW), the target installed electric capacity is first interpolated to obtain annual capacity targets between 2050 and 2100. The required number of reactors in year </w:t>
      </w:r>
      <m:oMath>
        <m:r>
          <w:rPr>
            <w:rFonts w:ascii="Cambria Math" w:hAnsi="Cambria Math"/>
          </w:rPr>
          <m:t>y</m:t>
        </m:r>
      </m:oMath>
      <w:r w:rsidRPr="00B7190B">
        <w:t>is then calculated as</w:t>
      </w:r>
    </w:p>
    <w:p w14:paraId="33EFC25A" w14:textId="3ECE0F22" w:rsidR="00B7190B" w:rsidRPr="00B7190B" w:rsidRDefault="00B7190B" w:rsidP="00B7190B">
      <m:oMathPara>
        <m:oMath>
          <m:sSub>
            <m:sSubPr>
              <m:ctrlPr>
                <w:rPr>
                  <w:rFonts w:ascii="Cambria Math" w:hAnsi="Cambria Math"/>
                </w:rPr>
              </m:ctrlPr>
            </m:sSubPr>
            <m:e>
              <m:r>
                <w:rPr>
                  <w:rFonts w:ascii="Cambria Math" w:hAnsi="Cambria Math"/>
                </w:rPr>
                <m:t>N</m:t>
              </m:r>
            </m:e>
            <m:sub>
              <m:r>
                <m:rPr>
                  <m:sty m:val="p"/>
                </m:rPr>
                <w:rPr>
                  <w:rFonts w:ascii="Cambria Math" w:hAnsi="Cambria Math"/>
                </w:rPr>
                <m:t>req</m:t>
              </m:r>
            </m:sub>
          </m:sSub>
          <m:r>
            <w:rPr>
              <w:rFonts w:ascii="Cambria Math" w:hAnsi="Cambria Math"/>
            </w:rPr>
            <m:t>(y)=</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target</m:t>
                      </m:r>
                    </m:sub>
                  </m:sSub>
                  <m:r>
                    <w:rPr>
                      <w:rFonts w:ascii="Cambria Math" w:hAnsi="Cambria Math"/>
                    </w:rPr>
                    <m:t>(y)</m:t>
                  </m:r>
                </m:num>
                <m:den>
                  <m:sSub>
                    <m:sSubPr>
                      <m:ctrlPr>
                        <w:rPr>
                          <w:rFonts w:ascii="Cambria Math" w:hAnsi="Cambria Math"/>
                        </w:rPr>
                      </m:ctrlPr>
                    </m:sSubPr>
                    <m:e>
                      <m:r>
                        <w:rPr>
                          <w:rFonts w:ascii="Cambria Math" w:hAnsi="Cambria Math"/>
                        </w:rPr>
                        <m:t>P</m:t>
                      </m:r>
                    </m:e>
                    <m:sub>
                      <m:r>
                        <m:rPr>
                          <m:sty m:val="p"/>
                        </m:rPr>
                        <w:rPr>
                          <w:rFonts w:ascii="Cambria Math" w:hAnsi="Cambria Math"/>
                        </w:rPr>
                        <m:t>net</m:t>
                      </m:r>
                    </m:sub>
                  </m:sSub>
                </m:den>
              </m:f>
            </m:e>
          </m:d>
          <m:r>
            <w:rPr>
              <w:rFonts w:ascii="Cambria Math" w:hAnsi="Cambria Math"/>
            </w:rPr>
            <m:t>,</m:t>
          </m:r>
          <m:r>
            <w:rPr>
              <w:i/>
            </w:rPr>
            <w:br/>
          </m:r>
        </m:oMath>
      </m:oMathPara>
    </w:p>
    <w:p w14:paraId="0FFFC479" w14:textId="77777777" w:rsidR="00B7190B" w:rsidRPr="00B7190B" w:rsidRDefault="00B7190B" w:rsidP="00B7190B">
      <w:proofErr w:type="gramStart"/>
      <w:r w:rsidRPr="00B7190B">
        <w:t>where</w:t>
      </w:r>
      <w:proofErr w:type="gramEnd"/>
    </w:p>
    <w:p w14:paraId="62211E43" w14:textId="3932CF49" w:rsidR="00B7190B" w:rsidRPr="00B7190B" w:rsidRDefault="00B7190B" w:rsidP="00B7190B">
      <w:pPr>
        <w:numPr>
          <w:ilvl w:val="0"/>
          <w:numId w:val="1"/>
        </w:numPr>
      </w:pPr>
      <m:oMath>
        <m:sSub>
          <m:sSubPr>
            <m:ctrlPr>
              <w:rPr>
                <w:rFonts w:ascii="Cambria Math" w:hAnsi="Cambria Math"/>
              </w:rPr>
            </m:ctrlPr>
          </m:sSubPr>
          <m:e>
            <m:r>
              <w:rPr>
                <w:rFonts w:ascii="Cambria Math" w:hAnsi="Cambria Math"/>
              </w:rPr>
              <m:t>N</m:t>
            </m:r>
          </m:e>
          <m:sub>
            <m:r>
              <m:rPr>
                <m:sty m:val="p"/>
              </m:rPr>
              <w:rPr>
                <w:rFonts w:ascii="Cambria Math" w:hAnsi="Cambria Math"/>
              </w:rPr>
              <m:t>req</m:t>
            </m:r>
          </m:sub>
        </m:sSub>
        <m:r>
          <w:rPr>
            <w:rFonts w:ascii="Cambria Math" w:hAnsi="Cambria Math"/>
          </w:rPr>
          <m:t>(y)</m:t>
        </m:r>
      </m:oMath>
      <w:r w:rsidRPr="00B7190B">
        <w:t xml:space="preserve">is the required number of reactors, </w:t>
      </w:r>
    </w:p>
    <w:p w14:paraId="2B92D50C" w14:textId="0E1631E4" w:rsidR="00B7190B" w:rsidRPr="00B7190B" w:rsidRDefault="00B7190B" w:rsidP="00B7190B">
      <w:pPr>
        <w:numPr>
          <w:ilvl w:val="0"/>
          <w:numId w:val="1"/>
        </w:numPr>
      </w:pPr>
      <m:oMath>
        <m:sSub>
          <m:sSubPr>
            <m:ctrlPr>
              <w:rPr>
                <w:rFonts w:ascii="Cambria Math" w:hAnsi="Cambria Math"/>
              </w:rPr>
            </m:ctrlPr>
          </m:sSubPr>
          <m:e>
            <m:r>
              <w:rPr>
                <w:rFonts w:ascii="Cambria Math" w:hAnsi="Cambria Math"/>
              </w:rPr>
              <m:t>C</m:t>
            </m:r>
          </m:e>
          <m:sub>
            <m:r>
              <m:rPr>
                <m:sty m:val="p"/>
              </m:rPr>
              <w:rPr>
                <w:rFonts w:ascii="Cambria Math" w:hAnsi="Cambria Math"/>
              </w:rPr>
              <m:t>target</m:t>
            </m:r>
          </m:sub>
        </m:sSub>
        <m:r>
          <w:rPr>
            <w:rFonts w:ascii="Cambria Math" w:hAnsi="Cambria Math"/>
          </w:rPr>
          <m:t>(y)</m:t>
        </m:r>
      </m:oMath>
      <w:r w:rsidRPr="00B7190B">
        <w:t xml:space="preserve">is the target installed electric capacity (GWe), and </w:t>
      </w:r>
    </w:p>
    <w:p w14:paraId="3B03E5A2" w14:textId="67F6FC16" w:rsidR="00B7190B" w:rsidRPr="00B7190B" w:rsidRDefault="00B7190B" w:rsidP="00B7190B">
      <w:pPr>
        <w:numPr>
          <w:ilvl w:val="0"/>
          <w:numId w:val="1"/>
        </w:numPr>
      </w:pPr>
      <m:oMath>
        <m:sSub>
          <m:sSubPr>
            <m:ctrlPr>
              <w:rPr>
                <w:rFonts w:ascii="Cambria Math" w:hAnsi="Cambria Math"/>
              </w:rPr>
            </m:ctrlPr>
          </m:sSubPr>
          <m:e>
            <m:r>
              <w:rPr>
                <w:rFonts w:ascii="Cambria Math" w:hAnsi="Cambria Math"/>
              </w:rPr>
              <m:t>P</m:t>
            </m:r>
          </m:e>
          <m:sub>
            <m:r>
              <m:rPr>
                <m:sty m:val="p"/>
              </m:rPr>
              <w:rPr>
                <w:rFonts w:ascii="Cambria Math" w:hAnsi="Cambria Math"/>
              </w:rPr>
              <m:t>net</m:t>
            </m:r>
          </m:sub>
        </m:sSub>
      </m:oMath>
      <w:r w:rsidRPr="00B7190B">
        <w:t xml:space="preserve">is the net electric power output of a single reactor (GWe). </w:t>
      </w:r>
    </w:p>
    <w:p w14:paraId="1F8D3B24" w14:textId="77777777" w:rsidR="00B7190B" w:rsidRPr="00B7190B" w:rsidRDefault="00B7190B" w:rsidP="00B7190B">
      <w:r w:rsidRPr="00B7190B">
        <w:t>The ceiling operator is applied because partial reactor construction is physically impossible. Consequently, the calculated reactor fleet always provides an installed capacity equal to or greater than the prescribed deployment target.</w:t>
      </w:r>
    </w:p>
    <w:p w14:paraId="08228BE7" w14:textId="77777777" w:rsidR="00B7190B" w:rsidRPr="00B7190B" w:rsidRDefault="00B7190B" w:rsidP="00B7190B">
      <w:r w:rsidRPr="00B7190B">
        <w:t xml:space="preserve">The number of newly constructed reactors in each year is obtained from the annual increase in the required </w:t>
      </w:r>
      <w:proofErr w:type="gramStart"/>
      <w:r w:rsidRPr="00B7190B">
        <w:t>fleet size</w:t>
      </w:r>
      <w:proofErr w:type="gramEnd"/>
      <w:r w:rsidRPr="00B7190B">
        <w:t>:</w:t>
      </w:r>
    </w:p>
    <w:p w14:paraId="305DDCC2" w14:textId="592B5ED1" w:rsidR="00B7190B" w:rsidRPr="00B7190B" w:rsidRDefault="00B7190B" w:rsidP="00B7190B">
      <m:oMathPara>
        <m:oMath>
          <m:sSub>
            <m:sSubPr>
              <m:ctrlPr>
                <w:rPr>
                  <w:rFonts w:ascii="Cambria Math" w:hAnsi="Cambria Math"/>
                </w:rPr>
              </m:ctrlPr>
            </m:sSubPr>
            <m:e>
              <m:r>
                <w:rPr>
                  <w:rFonts w:ascii="Cambria Math" w:hAnsi="Cambria Math"/>
                </w:rPr>
                <m:t>N</m:t>
              </m:r>
            </m:e>
            <m:sub>
              <m:r>
                <m:rPr>
                  <m:sty m:val="p"/>
                </m:rPr>
                <w:rPr>
                  <w:rFonts w:ascii="Cambria Math" w:hAnsi="Cambria Math"/>
                </w:rPr>
                <m:t>new</m:t>
              </m:r>
            </m:sub>
          </m:sSub>
          <m:r>
            <w:rPr>
              <w:rFonts w:ascii="Cambria Math" w:hAnsi="Cambria Math"/>
            </w:rPr>
            <m:t>(y)=</m:t>
          </m:r>
          <m:r>
            <m:rPr>
              <m:sty m:val="p"/>
            </m:rPr>
            <w:rPr>
              <w:rFonts w:ascii="Cambria Math" w:hAnsi="Cambria Math"/>
            </w:rPr>
            <m:t>max</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req</m:t>
                  </m:r>
                </m:sub>
              </m:sSub>
              <m:r>
                <w:rPr>
                  <w:rFonts w:ascii="Cambria Math" w:hAnsi="Cambria Math"/>
                </w:rPr>
                <m:t>(y)-</m:t>
              </m:r>
              <m:sSub>
                <m:sSubPr>
                  <m:ctrlPr>
                    <w:rPr>
                      <w:rFonts w:ascii="Cambria Math" w:hAnsi="Cambria Math"/>
                    </w:rPr>
                  </m:ctrlPr>
                </m:sSubPr>
                <m:e>
                  <m:r>
                    <w:rPr>
                      <w:rFonts w:ascii="Cambria Math" w:hAnsi="Cambria Math"/>
                    </w:rPr>
                    <m:t>N</m:t>
                  </m:r>
                </m:e>
                <m:sub>
                  <m:r>
                    <m:rPr>
                      <m:sty m:val="p"/>
                    </m:rPr>
                    <w:rPr>
                      <w:rFonts w:ascii="Cambria Math" w:hAnsi="Cambria Math"/>
                    </w:rPr>
                    <m:t>req</m:t>
                  </m:r>
                </m:sub>
              </m:sSub>
              <m:r>
                <w:rPr>
                  <w:rFonts w:ascii="Cambria Math" w:hAnsi="Cambria Math"/>
                </w:rPr>
                <m:t>(y-1),</m:t>
              </m:r>
              <m:r>
                <m:rPr>
                  <m:nor/>
                </m:rPr>
                <w:rPr>
                  <w:rFonts w:ascii="Arial" w:hAnsi="Arial" w:cs="Arial"/>
                </w:rPr>
                <m:t> </m:t>
              </m:r>
              <m:r>
                <w:rPr>
                  <w:rFonts w:ascii="Cambria Math" w:hAnsi="Cambria Math"/>
                </w:rPr>
                <m:t>0</m:t>
              </m:r>
            </m:e>
          </m:d>
          <m:r>
            <m:rPr>
              <m:sty m:val="p"/>
            </m:rPr>
            <w:rPr>
              <w:rFonts w:ascii="Cambria Math" w:hAnsi="Cambria Math"/>
            </w:rPr>
            <m:t>.</m:t>
          </m:r>
          <m:r>
            <w:br/>
          </m:r>
        </m:oMath>
      </m:oMathPara>
    </w:p>
    <w:p w14:paraId="1BEACF07" w14:textId="77777777" w:rsidR="00B7190B" w:rsidRPr="00B7190B" w:rsidRDefault="00B7190B" w:rsidP="00B7190B">
      <w:r w:rsidRPr="00B7190B">
        <w:t>Accordingly, reactor construction occurs only when the required fleet size increases. Years in which the installed-capacity target grows but does not exceed the capacity of the existing fleet result in zero new reactor construction.</w:t>
      </w:r>
    </w:p>
    <w:p w14:paraId="1A14FD23" w14:textId="343844C9" w:rsidR="00B7190B" w:rsidRPr="00B7190B" w:rsidRDefault="00B7190B" w:rsidP="00B7190B">
      <w:r w:rsidRPr="00B7190B">
        <w:t xml:space="preserve">Startup material demand is then calculated directly from the annual number of newly deployed reactors. For a startup-limited material </w:t>
      </w:r>
      <m:oMath>
        <m:r>
          <w:rPr>
            <w:rFonts w:ascii="Cambria Math" w:hAnsi="Cambria Math"/>
          </w:rPr>
          <m:t>m</m:t>
        </m:r>
      </m:oMath>
      <w:r w:rsidRPr="00B7190B">
        <w:t>,</w:t>
      </w:r>
    </w:p>
    <w:p w14:paraId="323FE708" w14:textId="285F57BE" w:rsidR="00B7190B" w:rsidRPr="00B7190B" w:rsidRDefault="00B7190B" w:rsidP="00B7190B">
      <m:oMathPara>
        <m:oMath>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(y)=</m:t>
          </m:r>
          <m:sSub>
            <m:sSubPr>
              <m:ctrlPr>
                <w:rPr>
                  <w:rFonts w:ascii="Cambria Math" w:hAnsi="Cambria Math"/>
                </w:rPr>
              </m:ctrlPr>
            </m:sSubPr>
            <m:e>
              <m:r>
                <w:rPr>
                  <w:rFonts w:ascii="Cambria Math" w:hAnsi="Cambria Math"/>
                </w:rPr>
                <m:t>N</m:t>
              </m:r>
            </m:e>
            <m:sub>
              <m:r>
                <m:rPr>
                  <m:sty m:val="p"/>
                </m:rPr>
                <w:rPr>
                  <w:rFonts w:ascii="Cambria Math" w:hAnsi="Cambria Math"/>
                </w:rPr>
                <m:t>new</m:t>
              </m:r>
            </m:sub>
          </m:sSub>
          <m:r>
            <w:rPr>
              <w:rFonts w:ascii="Cambria Math" w:hAnsi="Cambria Math"/>
            </w:rPr>
            <m:t>(y)</m:t>
          </m:r>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m</m:t>
              </m:r>
            </m:sub>
          </m:sSub>
          <m:r>
            <w:rPr>
              <w:rFonts w:ascii="Cambria Math" w:hAnsi="Cambria Math"/>
            </w:rPr>
            <m:t>,</m:t>
          </m:r>
          <m:r>
            <w:rPr>
              <w:i/>
            </w:rPr>
            <w:br/>
          </m:r>
        </m:oMath>
      </m:oMathPara>
    </w:p>
    <w:p w14:paraId="588EE40A" w14:textId="346C14C0" w:rsidR="00B7190B" w:rsidRPr="00B7190B" w:rsidRDefault="00B7190B" w:rsidP="00B7190B">
      <w:r w:rsidRPr="00B7190B">
        <w:lastRenderedPageBreak/>
        <w:t xml:space="preserve">where </w:t>
      </w:r>
      <m:oMath>
        <m:sSub>
          <m:sSubPr>
            <m:ctrlPr>
              <w:rPr>
                <w:rFonts w:ascii="Cambria Math" w:hAnsi="Cambria Math"/>
              </w:rPr>
            </m:ctrlPr>
          </m:sSubPr>
          <m:e>
            <m:r>
              <w:rPr>
                <w:rFonts w:ascii="Cambria Math" w:hAnsi="Cambria Math"/>
              </w:rPr>
              <m:t>M</m:t>
            </m:r>
          </m:e>
          <m:sub>
            <m:r>
              <w:rPr>
                <w:rFonts w:ascii="Cambria Math" w:hAnsi="Cambria Math"/>
              </w:rPr>
              <m:t>m</m:t>
            </m:r>
          </m:sub>
        </m:sSub>
      </m:oMath>
      <w:r w:rsidRPr="00B7190B">
        <w:t>is the startup material inventory required for one reactor.</w:t>
      </w:r>
    </w:p>
    <w:p w14:paraId="7CCF2E11" w14:textId="77777777" w:rsidR="00B7190B" w:rsidRPr="00B7190B" w:rsidRDefault="00B7190B" w:rsidP="00B7190B">
      <w:r w:rsidRPr="00B7190B">
        <w:t>The cumulative demand is evaluated as</w:t>
      </w:r>
    </w:p>
    <w:p w14:paraId="33274B98" w14:textId="611FC0FB" w:rsidR="00B7190B" w:rsidRPr="00B7190B" w:rsidRDefault="00B7190B" w:rsidP="00B7190B">
      <m:oMathPara>
        <m:oMath>
          <m:sSub>
            <m:sSubPr>
              <m:ctrlPr>
                <w:rPr>
                  <w:rFonts w:ascii="Cambria Math" w:hAnsi="Cambria Math"/>
                </w:rPr>
              </m:ctrlPr>
            </m:sSubPr>
            <m:e>
              <m:r>
                <w:rPr>
                  <w:rFonts w:ascii="Cambria Math" w:hAnsi="Cambria Math"/>
                </w:rPr>
                <m:t>D</m:t>
              </m:r>
            </m:e>
            <m:sub>
              <m:r>
                <w:rPr>
                  <w:rFonts w:ascii="Cambria Math" w:hAnsi="Cambria Math"/>
                </w:rPr>
                <m:t>m,</m:t>
              </m:r>
              <m:r>
                <m:rPr>
                  <m:sty m:val="p"/>
                </m:rPr>
                <w:rPr>
                  <w:rFonts w:ascii="Cambria Math" w:hAnsi="Cambria Math"/>
                </w:rPr>
                <m:t>cum</m:t>
              </m:r>
            </m:sub>
          </m:sSub>
          <m:r>
            <w:rPr>
              <w:rFonts w:ascii="Cambria Math" w:hAnsi="Cambria Math"/>
            </w:rPr>
            <m:t>(y)=</m:t>
          </m:r>
          <m:nary>
            <m:naryPr>
              <m:chr m:val="∑"/>
              <m:limLoc m:val="undOvr"/>
              <m:grow m:val="1"/>
              <m:ctrlPr>
                <w:rPr>
                  <w:rFonts w:ascii="Cambria Math" w:hAnsi="Cambria Math"/>
                </w:rPr>
              </m:ctrlPr>
            </m:naryPr>
            <m:sub>
              <m:r>
                <w:rPr>
                  <w:rFonts w:ascii="Cambria Math" w:hAnsi="Cambria Math"/>
                </w:rPr>
                <m:t>t=2050</m:t>
              </m:r>
            </m:sub>
            <m:sup>
              <m:r>
                <w:rPr>
                  <w:rFonts w:ascii="Cambria Math" w:hAnsi="Cambria Math"/>
                </w:rPr>
                <m:t>y</m:t>
              </m:r>
            </m:sup>
            <m:e>
              <m:sSub>
                <m:sSubPr>
                  <m:ctrlPr>
                    <w:rPr>
                      <w:rFonts w:ascii="Cambria Math" w:hAnsi="Cambria Math"/>
                    </w:rPr>
                  </m:ctrlPr>
                </m:sSubPr>
                <m:e>
                  <m:r>
                    <w:rPr>
                      <w:rFonts w:ascii="Cambria Math" w:hAnsi="Cambria Math"/>
                    </w:rPr>
                    <m:t>D</m:t>
                  </m:r>
                </m:e>
                <m:sub>
                  <m:r>
                    <w:rPr>
                      <w:rFonts w:ascii="Cambria Math" w:hAnsi="Cambria Math"/>
                    </w:rPr>
                    <m:t>m</m:t>
                  </m:r>
                </m:sub>
              </m:sSub>
            </m:e>
          </m:nary>
          <m:r>
            <w:rPr>
              <w:rFonts w:ascii="Cambria Math" w:hAnsi="Cambria Math"/>
            </w:rPr>
            <m:t>(t)</m:t>
          </m:r>
          <m:r>
            <m:rPr>
              <m:sty m:val="p"/>
            </m:rPr>
            <w:rPr>
              <w:rFonts w:ascii="Cambria Math" w:hAnsi="Cambria Math"/>
            </w:rPr>
            <m:t>.</m:t>
          </m:r>
          <m:r>
            <w:br/>
          </m:r>
        </m:oMath>
      </m:oMathPara>
    </w:p>
    <w:p w14:paraId="058BE528" w14:textId="6D1F7089" w:rsidR="00B7190B" w:rsidRPr="00B7190B" w:rsidRDefault="00B7190B" w:rsidP="00B7190B">
      <w:r w:rsidRPr="00B7190B">
        <w:t xml:space="preserve">This formulation is applied to startup-only materials such as REBCO, WB, and </w:t>
      </w:r>
      <m:oMath>
        <m:sSub>
          <m:sSubPr>
            <m:ctrlPr>
              <w:rPr>
                <w:rFonts w:ascii="Cambria Math" w:hAnsi="Cambria Math"/>
                <w:iCs/>
              </w:rPr>
            </m:ctrlPr>
          </m:sSubPr>
          <m:e>
            <m:r>
              <m:rPr>
                <m:sty m:val="p"/>
              </m:rPr>
              <w:rPr>
                <w:rFonts w:ascii="Cambria Math" w:hAnsi="Cambria Math"/>
              </w:rPr>
              <m:t>Nb</m:t>
            </m:r>
          </m:e>
          <m:sub>
            <m:r>
              <m:rPr>
                <m:sty m:val="p"/>
              </m:rPr>
              <w:rPr>
                <w:rFonts w:ascii="Cambria Math" w:hAnsi="Cambria Math"/>
              </w:rPr>
              <m:t>3</m:t>
            </m:r>
          </m:sub>
        </m:sSub>
      </m:oMath>
      <w:r w:rsidRPr="00B7190B">
        <w:t>Sn.</w:t>
      </w:r>
    </w:p>
    <w:p w14:paraId="62E2E853" w14:textId="77777777" w:rsidR="00B7190B" w:rsidRPr="00B7190B" w:rsidRDefault="00B7190B" w:rsidP="00B7190B">
      <w:r w:rsidRPr="00B7190B">
        <w:t>For Compact Tokamak reactors, beryllium consumption additionally includes periodic first-wall replacement. The annual Be demand is therefore expressed as</w:t>
      </w:r>
    </w:p>
    <w:p w14:paraId="35F7AC38" w14:textId="6C2515F6" w:rsidR="00B7190B" w:rsidRPr="00B7190B" w:rsidRDefault="00B7190B" w:rsidP="00B7190B">
      <m:oMathPara>
        <m:oMath>
          <m:sSub>
            <m:sSubPr>
              <m:ctrlPr>
                <w:rPr>
                  <w:rFonts w:ascii="Cambria Math" w:hAnsi="Cambria Math"/>
                </w:rPr>
              </m:ctrlPr>
            </m:sSubPr>
            <m:e>
              <m:r>
                <w:rPr>
                  <w:rFonts w:ascii="Cambria Math" w:hAnsi="Cambria Math"/>
                </w:rPr>
                <m:t>D</m:t>
              </m:r>
            </m:e>
            <m:sub>
              <m:r>
                <m:rPr>
                  <m:sty m:val="p"/>
                </m:rPr>
                <w:rPr>
                  <w:rFonts w:ascii="Cambria Math" w:hAnsi="Cambria Math"/>
                </w:rPr>
                <m:t>Be</m:t>
              </m:r>
            </m:sub>
          </m:sSub>
          <m:r>
            <w:rPr>
              <w:rFonts w:ascii="Cambria Math" w:hAnsi="Cambria Math"/>
            </w:rPr>
            <m:t>(y)=</m:t>
          </m:r>
          <m:sSub>
            <m:sSubPr>
              <m:ctrlPr>
                <w:rPr>
                  <w:rFonts w:ascii="Cambria Math" w:hAnsi="Cambria Math"/>
                </w:rPr>
              </m:ctrlPr>
            </m:sSubPr>
            <m:e>
              <m:r>
                <w:rPr>
                  <w:rFonts w:ascii="Cambria Math" w:hAnsi="Cambria Math"/>
                </w:rPr>
                <m:t>N</m:t>
              </m:r>
            </m:e>
            <m:sub>
              <m:r>
                <m:rPr>
                  <m:sty m:val="p"/>
                </m:rPr>
                <w:rPr>
                  <w:rFonts w:ascii="Cambria Math" w:hAnsi="Cambria Math"/>
                </w:rPr>
                <m:t>new</m:t>
              </m:r>
            </m:sub>
          </m:sSub>
          <m:r>
            <w:rPr>
              <w:rFonts w:ascii="Cambria Math" w:hAnsi="Cambria Math"/>
            </w:rPr>
            <m:t>(y)</m:t>
          </m:r>
          <m:sSub>
            <m:sSubPr>
              <m:ctrlPr>
                <w:rPr>
                  <w:rFonts w:ascii="Cambria Math" w:hAnsi="Cambria Math"/>
                </w:rPr>
              </m:ctrlPr>
            </m:sSubPr>
            <m:e>
              <m:r>
                <w:rPr>
                  <w:rFonts w:ascii="Cambria Math" w:hAnsi="Cambria Math"/>
                </w:rPr>
                <m:t>M</m:t>
              </m:r>
            </m:e>
            <m:sub>
              <m:r>
                <m:rPr>
                  <m:sty m:val="p"/>
                </m:rPr>
                <w:rPr>
                  <w:rFonts w:ascii="Cambria Math" w:hAnsi="Cambria Math"/>
                </w:rPr>
                <m:t>Be</m:t>
              </m:r>
              <m:r>
                <w:rPr>
                  <w:rFonts w:ascii="Cambria Math" w:hAnsi="Cambria Math"/>
                </w:rPr>
                <m:t>,</m:t>
              </m:r>
              <m:r>
                <m:rPr>
                  <m:sty m:val="p"/>
                </m:rPr>
                <w:rPr>
                  <w:rFonts w:ascii="Cambria Math" w:hAnsi="Cambria Math"/>
                </w:rPr>
                <m:t>startup</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Be</m:t>
              </m:r>
              <m:r>
                <w:rPr>
                  <w:rFonts w:ascii="Cambria Math" w:hAnsi="Cambria Math"/>
                </w:rPr>
                <m:t>,</m:t>
              </m:r>
              <m:r>
                <m:rPr>
                  <m:sty m:val="p"/>
                </m:rPr>
                <w:rPr>
                  <w:rFonts w:ascii="Cambria Math" w:hAnsi="Cambria Math"/>
                </w:rPr>
                <m:t>replacement</m:t>
              </m:r>
            </m:sub>
          </m:sSub>
          <m:r>
            <w:rPr>
              <w:rFonts w:ascii="Cambria Math" w:hAnsi="Cambria Math"/>
            </w:rPr>
            <m:t>(y),</m:t>
          </m:r>
          <m:r>
            <w:rPr>
              <w:i/>
            </w:rPr>
            <w:br/>
          </m:r>
        </m:oMath>
      </m:oMathPara>
    </w:p>
    <w:p w14:paraId="7996A1AE" w14:textId="77777777" w:rsidR="00B7190B" w:rsidRPr="00B7190B" w:rsidRDefault="00B7190B" w:rsidP="00B7190B">
      <w:r w:rsidRPr="00B7190B">
        <w:t>where the second term represents periodic replacement of the first-wall inventory according to the assumed replacement interval (5 or 10 years). The cumulative beryllium demand is then obtained by summing the annual demand over the deployment period.</w:t>
      </w:r>
    </w:p>
    <w:p w14:paraId="22C5790A" w14:textId="0BC4CA4E" w:rsidR="00B7190B" w:rsidRPr="00B7190B" w:rsidRDefault="00B7190B" w:rsidP="00B7190B">
      <w:r w:rsidRPr="00B7190B">
        <w:t xml:space="preserve">Finally, the cumulative material demand is compared with cumulative supply projections. Material supply is assumed to evolve independently from reactor deployment, beginning from the reference year (2024) with a prescribed initial production rate and compound annual growth rate (CAGR). For a material with an initial annual production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B7190B">
        <w:t xml:space="preserve">and annual growth rate </w:t>
      </w:r>
      <m:oMath>
        <m:r>
          <w:rPr>
            <w:rFonts w:ascii="Cambria Math" w:hAnsi="Cambria Math"/>
          </w:rPr>
          <m:t>g</m:t>
        </m:r>
      </m:oMath>
      <w:r w:rsidRPr="00B7190B">
        <w:t xml:space="preserve">, the cumulative supply by year </w:t>
      </w:r>
      <m:oMath>
        <m:r>
          <w:rPr>
            <w:rFonts w:ascii="Cambria Math" w:hAnsi="Cambria Math"/>
          </w:rPr>
          <m:t>y</m:t>
        </m:r>
      </m:oMath>
      <w:r w:rsidRPr="00B7190B">
        <w:t>is calculated as</w:t>
      </w:r>
    </w:p>
    <w:p w14:paraId="0CC12C9C" w14:textId="12ED3FD6" w:rsidR="00B7190B" w:rsidRPr="00B7190B" w:rsidRDefault="00B7190B" w:rsidP="00B7190B">
      <m:oMathPara>
        <m:oMath>
          <m:sSub>
            <m:sSubPr>
              <m:ctrlPr>
                <w:rPr>
                  <w:rFonts w:ascii="Cambria Math" w:hAnsi="Cambria Math"/>
                </w:rPr>
              </m:ctrlPr>
            </m:sSubPr>
            <m:e>
              <m:r>
                <w:rPr>
                  <w:rFonts w:ascii="Cambria Math" w:hAnsi="Cambria Math"/>
                </w:rPr>
                <m:t>S</m:t>
              </m:r>
            </m:e>
            <m:sub>
              <m:r>
                <m:rPr>
                  <m:sty m:val="p"/>
                </m:rPr>
                <w:rPr>
                  <w:rFonts w:ascii="Cambria Math" w:hAnsi="Cambria Math"/>
                </w:rPr>
                <m:t>cum</m:t>
              </m:r>
            </m:sub>
          </m:sSub>
          <m:r>
            <w:rPr>
              <w:rFonts w:ascii="Cambria Math" w:hAnsi="Cambria Math"/>
            </w:rPr>
            <m:t>(y)=</m:t>
          </m:r>
          <m:nary>
            <m:naryPr>
              <m:chr m:val="∑"/>
              <m:limLoc m:val="undOvr"/>
              <m:grow m:val="1"/>
              <m:ctrlPr>
                <w:rPr>
                  <w:rFonts w:ascii="Cambria Math" w:hAnsi="Cambria Math"/>
                </w:rPr>
              </m:ctrlPr>
            </m:naryPr>
            <m:sub>
              <m:r>
                <w:rPr>
                  <w:rFonts w:ascii="Cambria Math" w:hAnsi="Cambria Math"/>
                </w:rPr>
                <m:t>t=2024</m:t>
              </m:r>
            </m:sub>
            <m:sup>
              <m:r>
                <w:rPr>
                  <w:rFonts w:ascii="Cambria Math" w:hAnsi="Cambria Math"/>
                </w:rPr>
                <m:t>y</m:t>
              </m:r>
            </m:sup>
            <m:e>
              <m:sSub>
                <m:sSubPr>
                  <m:ctrlPr>
                    <w:rPr>
                      <w:rFonts w:ascii="Cambria Math" w:hAnsi="Cambria Math"/>
                    </w:rPr>
                  </m:ctrlPr>
                </m:sSubPr>
                <m:e>
                  <m:r>
                    <w:rPr>
                      <w:rFonts w:ascii="Cambria Math" w:hAnsi="Cambria Math"/>
                    </w:rPr>
                    <m:t>S</m:t>
                  </m:r>
                </m:e>
                <m:sub>
                  <m:r>
                    <w:rPr>
                      <w:rFonts w:ascii="Cambria Math" w:hAnsi="Cambria Math"/>
                    </w:rPr>
                    <m:t>0</m:t>
                  </m:r>
                </m:sub>
              </m:sSub>
            </m:e>
          </m:nary>
          <m:r>
            <w:rPr>
              <w:rFonts w:ascii="Cambria Math" w:hAnsi="Cambria Math"/>
            </w:rPr>
            <m:t>(1+g</m:t>
          </m:r>
          <m:sSup>
            <m:sSupPr>
              <m:ctrlPr>
                <w:rPr>
                  <w:rFonts w:ascii="Cambria Math" w:hAnsi="Cambria Math"/>
                </w:rPr>
              </m:ctrlPr>
            </m:sSupPr>
            <m:e>
              <m:r>
                <w:rPr>
                  <w:rFonts w:ascii="Cambria Math" w:hAnsi="Cambria Math"/>
                </w:rPr>
                <m:t>)</m:t>
              </m:r>
            </m:e>
            <m:sup>
              <m:r>
                <m:rPr>
                  <m:nor/>
                </m:rPr>
                <w:rPr>
                  <w:rFonts w:ascii="Arial" w:hAnsi="Arial" w:cs="Arial"/>
                </w:rPr>
                <m:t> </m:t>
              </m:r>
              <m:r>
                <w:rPr>
                  <w:rFonts w:ascii="Cambria Math" w:hAnsi="Cambria Math"/>
                </w:rPr>
                <m:t>t-2024</m:t>
              </m:r>
            </m:sup>
          </m:sSup>
          <m:r>
            <m:rPr>
              <m:sty m:val="p"/>
            </m:rPr>
            <w:rPr>
              <w:rFonts w:ascii="Cambria Math" w:hAnsi="Cambria Math"/>
            </w:rPr>
            <m:t>.</m:t>
          </m:r>
          <m:r>
            <w:br/>
          </m:r>
        </m:oMath>
      </m:oMathPara>
    </w:p>
    <w:p w14:paraId="69D90415" w14:textId="581336CE" w:rsidR="00B7190B" w:rsidRPr="00B7190B" w:rsidRDefault="00B7190B" w:rsidP="00B7190B">
      <w:r w:rsidRPr="00B7190B">
        <w:t xml:space="preserve">Comparison of </w:t>
      </w:r>
      <m:oMath>
        <m:sSub>
          <m:sSubPr>
            <m:ctrlPr>
              <w:rPr>
                <w:rFonts w:ascii="Cambria Math" w:hAnsi="Cambria Math"/>
              </w:rPr>
            </m:ctrlPr>
          </m:sSubPr>
          <m:e>
            <m:r>
              <w:rPr>
                <w:rFonts w:ascii="Cambria Math" w:hAnsi="Cambria Math"/>
              </w:rPr>
              <m:t>D</m:t>
            </m:r>
          </m:e>
          <m:sub>
            <m:r>
              <w:rPr>
                <w:rFonts w:ascii="Cambria Math" w:hAnsi="Cambria Math"/>
              </w:rPr>
              <m:t>m,</m:t>
            </m:r>
            <m:r>
              <m:rPr>
                <m:sty m:val="p"/>
              </m:rPr>
              <w:rPr>
                <w:rFonts w:ascii="Cambria Math" w:hAnsi="Cambria Math"/>
              </w:rPr>
              <m:t>cum</m:t>
            </m:r>
          </m:sub>
        </m:sSub>
        <m:r>
          <w:rPr>
            <w:rFonts w:ascii="Cambria Math" w:hAnsi="Cambria Math"/>
          </w:rPr>
          <m:t>(y)</m:t>
        </m:r>
      </m:oMath>
      <w:r w:rsidRPr="00B7190B">
        <w:t xml:space="preserve">and </w:t>
      </w:r>
      <m:oMath>
        <m:sSub>
          <m:sSubPr>
            <m:ctrlPr>
              <w:rPr>
                <w:rFonts w:ascii="Cambria Math" w:hAnsi="Cambria Math"/>
              </w:rPr>
            </m:ctrlPr>
          </m:sSubPr>
          <m:e>
            <m:r>
              <w:rPr>
                <w:rFonts w:ascii="Cambria Math" w:hAnsi="Cambria Math"/>
              </w:rPr>
              <m:t>S</m:t>
            </m:r>
          </m:e>
          <m:sub>
            <m:r>
              <m:rPr>
                <m:sty m:val="p"/>
              </m:rPr>
              <w:rPr>
                <w:rFonts w:ascii="Cambria Math" w:hAnsi="Cambria Math"/>
              </w:rPr>
              <m:t>cum</m:t>
            </m:r>
          </m:sub>
        </m:sSub>
        <m:r>
          <w:rPr>
            <w:rFonts w:ascii="Cambria Math" w:hAnsi="Cambria Math"/>
          </w:rPr>
          <m:t>(y)</m:t>
        </m:r>
      </m:oMath>
      <w:r w:rsidRPr="00B7190B">
        <w:t>provides a direct assessment of whether the projected industrial supply is sufficient to sustain the prescribed deployment pathway.</w:t>
      </w:r>
    </w:p>
    <w:p w14:paraId="7FA4C560" w14:textId="77777777" w:rsidR="00114761" w:rsidRDefault="00114761"/>
    <w:sectPr w:rsidR="00114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7256"/>
    <w:multiLevelType w:val="multilevel"/>
    <w:tmpl w:val="35A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97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90B"/>
    <w:rsid w:val="00114761"/>
    <w:rsid w:val="001972F1"/>
    <w:rsid w:val="0025036D"/>
    <w:rsid w:val="00571B14"/>
    <w:rsid w:val="00B719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B1396"/>
  <w15:chartTrackingRefBased/>
  <w15:docId w15:val="{50BCA4EA-BC10-4EC7-8F87-6B465E2F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71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71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7190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7190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719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719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719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719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719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7190B"/>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B7190B"/>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B7190B"/>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B7190B"/>
    <w:rPr>
      <w:rFonts w:eastAsiaTheme="majorEastAsia" w:cstheme="majorBidi"/>
      <w:i/>
      <w:iCs/>
      <w:color w:val="0F4761" w:themeColor="accent1" w:themeShade="BF"/>
    </w:rPr>
  </w:style>
  <w:style w:type="character" w:customStyle="1" w:styleId="5Char">
    <w:name w:val="제목 5 Char"/>
    <w:basedOn w:val="a0"/>
    <w:link w:val="5"/>
    <w:uiPriority w:val="9"/>
    <w:semiHidden/>
    <w:rsid w:val="00B7190B"/>
    <w:rPr>
      <w:rFonts w:eastAsiaTheme="majorEastAsia" w:cstheme="majorBidi"/>
      <w:color w:val="0F4761" w:themeColor="accent1" w:themeShade="BF"/>
    </w:rPr>
  </w:style>
  <w:style w:type="character" w:customStyle="1" w:styleId="6Char">
    <w:name w:val="제목 6 Char"/>
    <w:basedOn w:val="a0"/>
    <w:link w:val="6"/>
    <w:uiPriority w:val="9"/>
    <w:semiHidden/>
    <w:rsid w:val="00B7190B"/>
    <w:rPr>
      <w:rFonts w:eastAsiaTheme="majorEastAsia" w:cstheme="majorBidi"/>
      <w:i/>
      <w:iCs/>
      <w:color w:val="595959" w:themeColor="text1" w:themeTint="A6"/>
    </w:rPr>
  </w:style>
  <w:style w:type="character" w:customStyle="1" w:styleId="7Char">
    <w:name w:val="제목 7 Char"/>
    <w:basedOn w:val="a0"/>
    <w:link w:val="7"/>
    <w:uiPriority w:val="9"/>
    <w:semiHidden/>
    <w:rsid w:val="00B7190B"/>
    <w:rPr>
      <w:rFonts w:eastAsiaTheme="majorEastAsia" w:cstheme="majorBidi"/>
      <w:color w:val="595959" w:themeColor="text1" w:themeTint="A6"/>
    </w:rPr>
  </w:style>
  <w:style w:type="character" w:customStyle="1" w:styleId="8Char">
    <w:name w:val="제목 8 Char"/>
    <w:basedOn w:val="a0"/>
    <w:link w:val="8"/>
    <w:uiPriority w:val="9"/>
    <w:semiHidden/>
    <w:rsid w:val="00B7190B"/>
    <w:rPr>
      <w:rFonts w:eastAsiaTheme="majorEastAsia" w:cstheme="majorBidi"/>
      <w:i/>
      <w:iCs/>
      <w:color w:val="272727" w:themeColor="text1" w:themeTint="D8"/>
    </w:rPr>
  </w:style>
  <w:style w:type="character" w:customStyle="1" w:styleId="9Char">
    <w:name w:val="제목 9 Char"/>
    <w:basedOn w:val="a0"/>
    <w:link w:val="9"/>
    <w:uiPriority w:val="9"/>
    <w:semiHidden/>
    <w:rsid w:val="00B7190B"/>
    <w:rPr>
      <w:rFonts w:eastAsiaTheme="majorEastAsia" w:cstheme="majorBidi"/>
      <w:color w:val="272727" w:themeColor="text1" w:themeTint="D8"/>
    </w:rPr>
  </w:style>
  <w:style w:type="paragraph" w:styleId="a3">
    <w:name w:val="Title"/>
    <w:basedOn w:val="a"/>
    <w:next w:val="a"/>
    <w:link w:val="Char"/>
    <w:uiPriority w:val="10"/>
    <w:qFormat/>
    <w:rsid w:val="00B71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719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7190B"/>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B7190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7190B"/>
    <w:pPr>
      <w:spacing w:before="160"/>
      <w:jc w:val="center"/>
    </w:pPr>
    <w:rPr>
      <w:i/>
      <w:iCs/>
      <w:color w:val="404040" w:themeColor="text1" w:themeTint="BF"/>
    </w:rPr>
  </w:style>
  <w:style w:type="character" w:customStyle="1" w:styleId="Char1">
    <w:name w:val="인용 Char"/>
    <w:basedOn w:val="a0"/>
    <w:link w:val="a5"/>
    <w:uiPriority w:val="29"/>
    <w:rsid w:val="00B7190B"/>
    <w:rPr>
      <w:i/>
      <w:iCs/>
      <w:color w:val="404040" w:themeColor="text1" w:themeTint="BF"/>
    </w:rPr>
  </w:style>
  <w:style w:type="paragraph" w:styleId="a6">
    <w:name w:val="List Paragraph"/>
    <w:basedOn w:val="a"/>
    <w:uiPriority w:val="34"/>
    <w:qFormat/>
    <w:rsid w:val="00B7190B"/>
    <w:pPr>
      <w:ind w:left="720"/>
      <w:contextualSpacing/>
    </w:pPr>
  </w:style>
  <w:style w:type="character" w:styleId="a7">
    <w:name w:val="Intense Emphasis"/>
    <w:basedOn w:val="a0"/>
    <w:uiPriority w:val="21"/>
    <w:qFormat/>
    <w:rsid w:val="00B7190B"/>
    <w:rPr>
      <w:i/>
      <w:iCs/>
      <w:color w:val="0F4761" w:themeColor="accent1" w:themeShade="BF"/>
    </w:rPr>
  </w:style>
  <w:style w:type="paragraph" w:styleId="a8">
    <w:name w:val="Intense Quote"/>
    <w:basedOn w:val="a"/>
    <w:next w:val="a"/>
    <w:link w:val="Char2"/>
    <w:uiPriority w:val="30"/>
    <w:qFormat/>
    <w:rsid w:val="00B71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7190B"/>
    <w:rPr>
      <w:i/>
      <w:iCs/>
      <w:color w:val="0F4761" w:themeColor="accent1" w:themeShade="BF"/>
    </w:rPr>
  </w:style>
  <w:style w:type="character" w:styleId="a9">
    <w:name w:val="Intense Reference"/>
    <w:basedOn w:val="a0"/>
    <w:uiPriority w:val="32"/>
    <w:qFormat/>
    <w:rsid w:val="00B71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464</Words>
  <Characters>2651</Characters>
  <Application>Microsoft Office Word</Application>
  <DocSecurity>0</DocSecurity>
  <Lines>22</Lines>
  <Paragraphs>6</Paragraphs>
  <ScaleCrop>false</ScaleCrop>
  <Company>M365 Install</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Taesuk Oh</dc:creator>
  <cp:keywords/>
  <dc:description/>
  <cp:lastModifiedBy>Taesuk Oh</cp:lastModifiedBy>
  <cp:revision>1</cp:revision>
  <dcterms:created xsi:type="dcterms:W3CDTF">2026-06-27T06:25:00Z</dcterms:created>
  <dcterms:modified xsi:type="dcterms:W3CDTF">2026-06-27T06:27:00Z</dcterms:modified>
</cp:coreProperties>
</file>