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26C1E97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1A1309" w:rsidRPr="001A1309">
        <w:rPr>
          <w:rFonts w:ascii="Verdana" w:hAnsi="Verdana" w:cs="Arial"/>
          <w:color w:val="auto"/>
          <w:sz w:val="52"/>
          <w:szCs w:val="52"/>
        </w:rPr>
        <w:t>RTR_EPM_ARCS_FX_RATES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1592EB3D"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w:t>
      </w:r>
      <w:r w:rsidR="006C18A2">
        <w:rPr>
          <w:rFonts w:ascii="Verdana" w:hAnsi="Verdana" w:cs="Arial"/>
          <w:color w:val="auto"/>
          <w:sz w:val="48"/>
          <w:szCs w:val="48"/>
        </w:rPr>
        <w:t>–</w:t>
      </w:r>
      <w:r w:rsidR="0082434D" w:rsidRPr="4521CC68">
        <w:rPr>
          <w:rFonts w:ascii="Verdana" w:hAnsi="Verdana" w:cs="Arial"/>
          <w:color w:val="auto"/>
          <w:sz w:val="48"/>
          <w:szCs w:val="48"/>
        </w:rPr>
        <w:t xml:space="preserve"> </w:t>
      </w:r>
      <w:r w:rsidRPr="000D6D79">
        <w:rPr>
          <w:rFonts w:ascii="Verdana" w:hAnsi="Verdana" w:cs="Arial"/>
          <w:color w:val="auto"/>
          <w:sz w:val="48"/>
          <w:szCs w:val="48"/>
        </w:rPr>
        <w:t>EP</w:t>
      </w:r>
      <w:r w:rsidR="006C18A2">
        <w:rPr>
          <w:rFonts w:ascii="Verdana" w:hAnsi="Verdana" w:cs="Arial"/>
          <w:color w:val="auto"/>
          <w:sz w:val="48"/>
          <w:szCs w:val="48"/>
        </w:rPr>
        <w:t>M</w:t>
      </w:r>
      <w:r w:rsidRPr="000D6D79">
        <w:rPr>
          <w:rFonts w:ascii="Verdana" w:hAnsi="Verdana" w:cs="Arial"/>
          <w:color w:val="auto"/>
          <w:sz w:val="48"/>
          <w:szCs w:val="48"/>
        </w:rPr>
        <w:t xml:space="preserve">CS - Integration - </w:t>
      </w:r>
      <w:r w:rsidR="001A1309" w:rsidRPr="001A1309">
        <w:rPr>
          <w:rFonts w:ascii="Verdana" w:hAnsi="Verdana" w:cs="Arial"/>
          <w:color w:val="auto"/>
          <w:sz w:val="48"/>
          <w:szCs w:val="48"/>
        </w:rPr>
        <w:t>EPM_ARCS_FX_RATES</w:t>
      </w:r>
      <w:r w:rsidR="0082434D" w:rsidRPr="4521CC68">
        <w:rPr>
          <w:rFonts w:ascii="Verdana" w:hAnsi="Verdana" w:cs="Arial"/>
          <w:color w:val="auto"/>
          <w:sz w:val="48"/>
          <w:szCs w:val="48"/>
        </w:rPr>
        <w:t>- (</w:t>
      </w:r>
      <w:r w:rsidR="001A1309">
        <w:rPr>
          <w:rFonts w:ascii="Verdana" w:hAnsi="Verdana" w:cs="Arial"/>
          <w:color w:val="auto"/>
          <w:sz w:val="48"/>
          <w:szCs w:val="48"/>
        </w:rPr>
        <w:t>RTR_ARC</w:t>
      </w:r>
      <w:r w:rsidR="00275678">
        <w:rPr>
          <w:rFonts w:ascii="Verdana" w:hAnsi="Verdana" w:cs="Arial"/>
          <w:color w:val="auto"/>
          <w:sz w:val="48"/>
          <w:szCs w:val="48"/>
        </w:rPr>
        <w:t>_INT_</w:t>
      </w:r>
      <w:r w:rsidR="00275678" w:rsidRPr="451A47D5">
        <w:rPr>
          <w:rFonts w:ascii="Verdana" w:hAnsi="Verdana" w:cs="Arial"/>
          <w:color w:val="auto"/>
          <w:sz w:val="48"/>
          <w:szCs w:val="48"/>
        </w:rPr>
        <w:t>0</w:t>
      </w:r>
      <w:r w:rsidR="006C18A2">
        <w:rPr>
          <w:rFonts w:ascii="Verdana" w:hAnsi="Verdana" w:cs="Arial"/>
          <w:color w:val="auto"/>
          <w:sz w:val="48"/>
          <w:szCs w:val="48"/>
        </w:rPr>
        <w:t>1</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19F9F13D" w:rsidR="00B25E3C" w:rsidRPr="00547370" w:rsidRDefault="006C18A2"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1</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511182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6C18A2">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6C18A2" w:rsidRPr="006C18A2">
              <w:rPr>
                <w:rFonts w:asciiTheme="minorHAnsi" w:hAnsiTheme="minorHAnsi" w:cstheme="minorHAnsi"/>
                <w:b/>
                <w:bCs/>
                <w:color w:val="auto"/>
                <w:sz w:val="18"/>
                <w:szCs w:val="18"/>
                <w:lang w:val="en-US"/>
              </w:rPr>
              <w:t>EPM_ARCS_FX_RATES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CA069AA" w:rsidR="00075D9E" w:rsidRPr="00547370" w:rsidRDefault="00892265"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7B3328D2" w:rsidR="00075D9E" w:rsidRPr="00547370" w:rsidRDefault="00892265"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6746A823" w14:textId="0974C1F7" w:rsidR="008A654C" w:rsidRDefault="00F0659F" w:rsidP="008A654C">
      <w:pPr>
        <w:pStyle w:val="BodyTextNormal"/>
        <w:spacing w:line="276" w:lineRule="auto"/>
        <w:ind w:left="432" w:firstLine="360"/>
        <w:rPr>
          <w:rFonts w:asciiTheme="minorHAnsi" w:hAnsiTheme="minorHAnsi" w:cstheme="minorHAnsi"/>
        </w:rPr>
      </w:pPr>
      <w:bookmarkStart w:id="11" w:name="_Toc327804512"/>
      <w:bookmarkStart w:id="12" w:name="_Toc338404555"/>
      <w:bookmarkStart w:id="13" w:name="_Toc408523239"/>
      <w:bookmarkStart w:id="14" w:name="_Toc486508596"/>
      <w:bookmarkStart w:id="15" w:name="_Toc189094578"/>
      <w:r w:rsidRPr="000D6D79">
        <w:rPr>
          <w:rFonts w:asciiTheme="minorHAnsi" w:hAnsiTheme="minorHAnsi" w:cstheme="minorHAnsi"/>
        </w:rPr>
        <w:t xml:space="preserve">The purpose of this outbound integration using Oracle Integration Cloud (OIC) is to </w:t>
      </w:r>
      <w:r>
        <w:rPr>
          <w:rFonts w:asciiTheme="minorHAnsi" w:hAnsiTheme="minorHAnsi" w:cstheme="minorHAnsi"/>
        </w:rPr>
        <w:t>process</w:t>
      </w:r>
      <w:r w:rsidRPr="000D6D79">
        <w:rPr>
          <w:rFonts w:asciiTheme="minorHAnsi" w:hAnsiTheme="minorHAnsi" w:cstheme="minorHAnsi"/>
        </w:rPr>
        <w:t xml:space="preserve"> the data </w:t>
      </w:r>
      <w:r>
        <w:rPr>
          <w:rFonts w:asciiTheme="minorHAnsi" w:hAnsiTheme="minorHAnsi" w:cstheme="minorHAnsi"/>
        </w:rPr>
        <w:t>of</w:t>
      </w:r>
      <w:r w:rsidRPr="000D6D79">
        <w:rPr>
          <w:rFonts w:asciiTheme="minorHAnsi" w:hAnsiTheme="minorHAnsi" w:cstheme="minorHAnsi"/>
        </w:rPr>
        <w:t xml:space="preserve"> Enterprise Performance </w:t>
      </w:r>
      <w:r>
        <w:rPr>
          <w:rFonts w:asciiTheme="minorHAnsi" w:hAnsiTheme="minorHAnsi" w:cstheme="minorHAnsi"/>
        </w:rPr>
        <w:t>Management system.</w:t>
      </w:r>
      <w:r w:rsidRPr="000D6D79">
        <w:rPr>
          <w:rFonts w:asciiTheme="minorHAnsi" w:hAnsiTheme="minorHAnsi" w:cstheme="minorHAnsi"/>
        </w:rPr>
        <w:t xml:space="preserve"> </w:t>
      </w:r>
      <w:r>
        <w:rPr>
          <w:rFonts w:asciiTheme="minorHAnsi" w:hAnsiTheme="minorHAnsi" w:cstheme="minorHAnsi"/>
        </w:rPr>
        <w:t>Data</w:t>
      </w:r>
      <w:r w:rsidRPr="000D6D79">
        <w:rPr>
          <w:rFonts w:asciiTheme="minorHAnsi" w:hAnsiTheme="minorHAnsi" w:cstheme="minorHAnsi"/>
        </w:rPr>
        <w:t xml:space="preserve"> is picked </w:t>
      </w:r>
      <w:r>
        <w:rPr>
          <w:rFonts w:asciiTheme="minorHAnsi" w:hAnsiTheme="minorHAnsi" w:cstheme="minorHAnsi"/>
        </w:rPr>
        <w:t>from</w:t>
      </w:r>
      <w:r w:rsidRPr="000D6D79">
        <w:rPr>
          <w:rFonts w:asciiTheme="minorHAnsi" w:hAnsiTheme="minorHAnsi" w:cstheme="minorHAnsi"/>
        </w:rPr>
        <w:t xml:space="preserve"> </w:t>
      </w:r>
      <w:r>
        <w:rPr>
          <w:rFonts w:asciiTheme="minorHAnsi" w:hAnsiTheme="minorHAnsi" w:cstheme="minorHAnsi"/>
        </w:rPr>
        <w:t>Account Reconciliation(</w:t>
      </w:r>
      <w:r w:rsidRPr="000D6D79">
        <w:rPr>
          <w:rFonts w:asciiTheme="minorHAnsi" w:hAnsiTheme="minorHAnsi" w:cstheme="minorHAnsi"/>
        </w:rPr>
        <w:t xml:space="preserve"> </w:t>
      </w:r>
      <w:r>
        <w:rPr>
          <w:rFonts w:asciiTheme="minorHAnsi" w:hAnsiTheme="minorHAnsi" w:cstheme="minorHAnsi"/>
        </w:rPr>
        <w:t>ARCS) using oic, which is sub module of EPMCS. T</w:t>
      </w:r>
      <w:r w:rsidRPr="000D6D79">
        <w:rPr>
          <w:rFonts w:asciiTheme="minorHAnsi" w:hAnsiTheme="minorHAnsi" w:cstheme="minorHAnsi"/>
        </w:rPr>
        <w:t xml:space="preserve">his integration aims to enhance efficiency, reduce manual intervention, and ensure timely and accurate </w:t>
      </w:r>
      <w:r>
        <w:rPr>
          <w:rFonts w:asciiTheme="minorHAnsi" w:hAnsiTheme="minorHAnsi" w:cstheme="minorHAnsi"/>
        </w:rPr>
        <w:t>run</w:t>
      </w:r>
      <w:r w:rsidR="008A654C">
        <w:rPr>
          <w:rFonts w:asciiTheme="minorHAnsi" w:hAnsiTheme="minorHAnsi" w:cstheme="minorHAnsi"/>
        </w:rPr>
        <w:t xml:space="preserve"> foreign exchange</w:t>
      </w:r>
      <w:r>
        <w:rPr>
          <w:rFonts w:asciiTheme="minorHAnsi" w:hAnsiTheme="minorHAnsi" w:cstheme="minorHAnsi"/>
        </w:rPr>
        <w:t xml:space="preserve"> </w:t>
      </w:r>
      <w:r w:rsidRPr="000D6D79">
        <w:rPr>
          <w:rFonts w:asciiTheme="minorHAnsi" w:hAnsiTheme="minorHAnsi" w:cstheme="minorHAnsi"/>
        </w:rPr>
        <w:t>data</w:t>
      </w:r>
      <w:r>
        <w:rPr>
          <w:rFonts w:asciiTheme="minorHAnsi" w:hAnsiTheme="minorHAnsi" w:cstheme="minorHAnsi"/>
        </w:rPr>
        <w:t xml:space="preserve"> loads</w:t>
      </w:r>
      <w:r w:rsidRPr="000D6D79">
        <w:rPr>
          <w:rFonts w:asciiTheme="minorHAnsi" w:hAnsiTheme="minorHAnsi" w:cstheme="minorHAnsi"/>
        </w:rPr>
        <w:t>.</w:t>
      </w:r>
      <w:r w:rsidR="008A654C">
        <w:rPr>
          <w:rFonts w:asciiTheme="minorHAnsi" w:hAnsiTheme="minorHAnsi" w:cstheme="minorHAnsi"/>
        </w:rPr>
        <w:t xml:space="preserve"> </w:t>
      </w:r>
      <w:r w:rsidR="008A654C" w:rsidRPr="008A654C">
        <w:rPr>
          <w:rFonts w:asciiTheme="minorHAnsi" w:hAnsiTheme="minorHAnsi" w:cstheme="minorHAnsi"/>
        </w:rPr>
        <w:t>After initial data loading, the integration is executed again to import exchange rates and verify the import status</w:t>
      </w:r>
      <w:r w:rsidR="008A654C">
        <w:rPr>
          <w:rFonts w:asciiTheme="minorHAnsi" w:hAnsiTheme="minorHAnsi" w:cstheme="minorHAnsi"/>
        </w:rPr>
        <w:t>.</w:t>
      </w:r>
    </w:p>
    <w:p w14:paraId="65D34F72" w14:textId="1CAD267A" w:rsidR="00F0659F" w:rsidRPr="00FF648A" w:rsidRDefault="00F0659F" w:rsidP="00F0659F">
      <w:pPr>
        <w:pStyle w:val="Bodycopy"/>
        <w:spacing w:line="276" w:lineRule="auto"/>
        <w:ind w:left="360" w:firstLine="432"/>
        <w:rPr>
          <w:rFonts w:asciiTheme="minorHAnsi" w:hAnsiTheme="minorHAnsi" w:cstheme="minorHAnsi"/>
          <w:color w:val="auto"/>
        </w:rPr>
      </w:pP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119CC83A" w14:textId="77777777" w:rsidR="008A654C" w:rsidRDefault="008A654C" w:rsidP="00015178">
      <w:pPr>
        <w:pStyle w:val="BodyTextNormal"/>
        <w:spacing w:line="276" w:lineRule="auto"/>
        <w:ind w:left="432" w:firstLine="360"/>
        <w:rPr>
          <w:rFonts w:asciiTheme="minorHAnsi" w:hAnsiTheme="minorHAnsi" w:cstheme="minorHAnsi"/>
        </w:rPr>
      </w:pPr>
      <w:r w:rsidRPr="008A654C">
        <w:rPr>
          <w:rFonts w:asciiTheme="minorHAnsi" w:hAnsiTheme="minorHAnsi" w:cstheme="minorHAnsi"/>
        </w:rPr>
        <w:t>The Oracle Integration Cloud (OIC) is used to connect with the Oracle Account Reconciliation System (ARCS) of Oracle EPM. This connection allows OIC to access data from specific ARCS modules. Leveraging OIC ensures a seamless process for loading foreign exchange data. After initial data loading, the integration is executed again to import exchange rates and verify the import status</w:t>
      </w:r>
    </w:p>
    <w:p w14:paraId="702FAB3F" w14:textId="60DCCC76"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28FB222A" w14:textId="77777777" w:rsidR="00FF50F0" w:rsidRPr="00EE5FA1" w:rsidRDefault="00FF50F0" w:rsidP="00FF50F0">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455A720F" w14:textId="77777777" w:rsidR="00FF50F0" w:rsidRPr="009E51F3" w:rsidRDefault="00FF50F0" w:rsidP="00FF50F0">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39D68A42" w14:textId="77777777" w:rsidR="00FF50F0" w:rsidRPr="009E51F3" w:rsidRDefault="00FF50F0" w:rsidP="00FF50F0">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0A0B8770"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C421D8" w:rsidRPr="00547370" w14:paraId="05EBF8ED" w14:textId="77777777" w:rsidTr="4521CC68">
        <w:trPr>
          <w:trHeight w:val="367"/>
        </w:trPr>
        <w:tc>
          <w:tcPr>
            <w:tcW w:w="1620" w:type="dxa"/>
            <w:tcBorders>
              <w:top w:val="single" w:sz="4" w:space="0" w:color="002776"/>
              <w:bottom w:val="single" w:sz="4" w:space="0" w:color="002776"/>
            </w:tcBorders>
          </w:tcPr>
          <w:p w14:paraId="490E7FC2" w14:textId="276A1F07" w:rsidR="00C421D8" w:rsidRPr="00547370" w:rsidRDefault="00C421D8" w:rsidP="00C421D8">
            <w:pPr>
              <w:pStyle w:val="Tabletext"/>
              <w:rPr>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2D3522CA" w:rsidR="00C421D8" w:rsidRPr="00547370" w:rsidRDefault="00C421D8" w:rsidP="00C421D8">
            <w:pPr>
              <w:pStyle w:val="Tabletext"/>
              <w:rPr>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6A8471A7" w:rsidR="00C421D8" w:rsidRPr="00547370" w:rsidRDefault="00C421D8" w:rsidP="00C421D8">
            <w:pPr>
              <w:pStyle w:val="Tabletext"/>
              <w:rPr>
                <w:sz w:val="20"/>
                <w:szCs w:val="20"/>
              </w:rPr>
            </w:pPr>
            <w:r w:rsidRPr="00664316">
              <w:rPr>
                <w:b w:val="0"/>
                <w:bCs w:val="0"/>
              </w:rPr>
              <w:t>The Oracle Autonomous Transaction Processing (ATP) adapter in Oracle Integration Cloud.</w:t>
            </w:r>
          </w:p>
        </w:tc>
      </w:tr>
      <w:tr w:rsidR="00C421D8" w:rsidRPr="00547370" w14:paraId="7F422949" w14:textId="77777777" w:rsidTr="4521CC68">
        <w:trPr>
          <w:trHeight w:val="367"/>
        </w:trPr>
        <w:tc>
          <w:tcPr>
            <w:tcW w:w="1620" w:type="dxa"/>
            <w:tcBorders>
              <w:top w:val="single" w:sz="4" w:space="0" w:color="002776"/>
              <w:bottom w:val="single" w:sz="4" w:space="0" w:color="002776"/>
            </w:tcBorders>
          </w:tcPr>
          <w:p w14:paraId="48B95439" w14:textId="7608FE70" w:rsidR="00C421D8" w:rsidRPr="00547370" w:rsidRDefault="00C421D8" w:rsidP="00C421D8">
            <w:pPr>
              <w:pStyle w:val="Tabletext"/>
              <w:rPr>
                <w:sz w:val="20"/>
                <w:szCs w:val="20"/>
              </w:rPr>
            </w:pPr>
            <w:r w:rsidRPr="00664316">
              <w:rPr>
                <w:b w:val="0"/>
                <w:bCs w:val="0"/>
                <w:sz w:val="20"/>
                <w:szCs w:val="20"/>
              </w:rPr>
              <w:lastRenderedPageBreak/>
              <w:t>OIC</w:t>
            </w:r>
          </w:p>
        </w:tc>
        <w:tc>
          <w:tcPr>
            <w:tcW w:w="2520" w:type="dxa"/>
            <w:tcBorders>
              <w:top w:val="single" w:sz="4" w:space="0" w:color="002776"/>
              <w:bottom w:val="single" w:sz="4" w:space="0" w:color="002776"/>
            </w:tcBorders>
          </w:tcPr>
          <w:p w14:paraId="08E0DB0E" w14:textId="521608AC" w:rsidR="00C421D8" w:rsidRPr="00547370" w:rsidRDefault="00C421D8" w:rsidP="00C421D8">
            <w:pPr>
              <w:pStyle w:val="Tabletext"/>
              <w:rPr>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32577D3C" w:rsidR="00C421D8" w:rsidRPr="00547370" w:rsidRDefault="00C421D8" w:rsidP="00C421D8">
            <w:pPr>
              <w:pStyle w:val="Tabletext"/>
              <w:rPr>
                <w:sz w:val="20"/>
                <w:szCs w:val="20"/>
              </w:rPr>
            </w:pPr>
            <w:r w:rsidRPr="00664316">
              <w:rPr>
                <w:b w:val="0"/>
                <w:bCs w:val="0"/>
              </w:rPr>
              <w:t>OIC refers to Oracle Integration Cloud, a cloud-based integration platform from Oracle.</w:t>
            </w:r>
          </w:p>
        </w:tc>
      </w:tr>
      <w:tr w:rsidR="00C421D8" w:rsidRPr="00547370" w14:paraId="52577101" w14:textId="77777777" w:rsidTr="4521CC68">
        <w:trPr>
          <w:trHeight w:val="367"/>
        </w:trPr>
        <w:tc>
          <w:tcPr>
            <w:tcW w:w="1620" w:type="dxa"/>
            <w:tcBorders>
              <w:top w:val="single" w:sz="4" w:space="0" w:color="002776"/>
              <w:bottom w:val="single" w:sz="4" w:space="0" w:color="002776"/>
            </w:tcBorders>
          </w:tcPr>
          <w:p w14:paraId="2836D01B" w14:textId="616C3CF6" w:rsidR="00C421D8" w:rsidRPr="00547370" w:rsidRDefault="00C421D8" w:rsidP="00C421D8">
            <w:pPr>
              <w:pStyle w:val="Tabletext"/>
              <w:rPr>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106BA53A" w:rsidR="00C421D8" w:rsidRPr="00547370" w:rsidRDefault="00C421D8" w:rsidP="00C421D8">
            <w:pPr>
              <w:pStyle w:val="Tabletext"/>
              <w:rPr>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0CAE5F37" w:rsidR="00C421D8" w:rsidRPr="00547370" w:rsidRDefault="00C421D8" w:rsidP="00C421D8">
            <w:pPr>
              <w:pStyle w:val="Tabletext"/>
              <w:rPr>
                <w:sz w:val="20"/>
                <w:szCs w:val="20"/>
              </w:rPr>
            </w:pPr>
            <w:r w:rsidRPr="00664316">
              <w:rPr>
                <w:b w:val="0"/>
                <w:bCs w:val="0"/>
              </w:rPr>
              <w:t>The EPM adapter allows you to integrate Oracle's EPM Cloud services with other applications and systems using OIC. </w:t>
            </w:r>
          </w:p>
        </w:tc>
      </w:tr>
      <w:tr w:rsidR="00C421D8" w:rsidRPr="00547370" w14:paraId="358988F9" w14:textId="77777777" w:rsidTr="4521CC68">
        <w:trPr>
          <w:trHeight w:val="367"/>
        </w:trPr>
        <w:tc>
          <w:tcPr>
            <w:tcW w:w="1620" w:type="dxa"/>
            <w:tcBorders>
              <w:top w:val="single" w:sz="4" w:space="0" w:color="002776"/>
              <w:bottom w:val="single" w:sz="4" w:space="0" w:color="002776"/>
            </w:tcBorders>
          </w:tcPr>
          <w:p w14:paraId="0DA00099" w14:textId="78587D63" w:rsidR="00C421D8" w:rsidRPr="00664316" w:rsidRDefault="00C421D8" w:rsidP="00C421D8">
            <w:pPr>
              <w:pStyle w:val="Tabletext"/>
              <w:rPr>
                <w:b w:val="0"/>
                <w:bCs w:val="0"/>
                <w:sz w:val="20"/>
                <w:szCs w:val="20"/>
              </w:rPr>
            </w:pPr>
            <w:r w:rsidRPr="00664316">
              <w:rPr>
                <w:b w:val="0"/>
                <w:bCs w:val="0"/>
                <w:sz w:val="20"/>
                <w:szCs w:val="20"/>
              </w:rPr>
              <w:t>ARCS</w:t>
            </w:r>
          </w:p>
        </w:tc>
        <w:tc>
          <w:tcPr>
            <w:tcW w:w="2520" w:type="dxa"/>
            <w:tcBorders>
              <w:top w:val="single" w:sz="4" w:space="0" w:color="002776"/>
              <w:bottom w:val="single" w:sz="4" w:space="0" w:color="002776"/>
            </w:tcBorders>
          </w:tcPr>
          <w:p w14:paraId="4E43AE8B" w14:textId="75CF435C" w:rsidR="00C421D8" w:rsidRPr="00664316" w:rsidRDefault="00C421D8" w:rsidP="00C421D8">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158BF6D8" w14:textId="2B581F21" w:rsidR="00C421D8" w:rsidRPr="00664316" w:rsidRDefault="00C421D8" w:rsidP="00C421D8">
            <w:pPr>
              <w:pStyle w:val="Tabletext"/>
              <w:rPr>
                <w:b w:val="0"/>
                <w:bCs w:val="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7EFC0489"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w:t>
      </w:r>
      <w:r w:rsidR="00CB00A3">
        <w:rPr>
          <w:rFonts w:asciiTheme="minorHAnsi" w:hAnsiTheme="minorHAnsi" w:cstheme="minorBidi"/>
          <w:lang w:val="en-CA"/>
        </w:rPr>
        <w:t>rule</w:t>
      </w:r>
      <w:r>
        <w:rPr>
          <w:rFonts w:asciiTheme="minorHAnsi" w:hAnsiTheme="minorHAnsi" w:cstheme="minorBidi"/>
          <w:lang w:val="en-CA"/>
        </w:rPr>
        <w:t xml:space="preserve">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62F2DE7C"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transaction data load for </w:t>
      </w:r>
      <w:r w:rsidR="00CB00A3">
        <w:rPr>
          <w:rFonts w:asciiTheme="minorHAnsi" w:hAnsiTheme="minorHAnsi" w:cstheme="minorBidi"/>
          <w:lang w:val="en-CA"/>
        </w:rPr>
        <w:t>importRates</w:t>
      </w:r>
    </w:p>
    <w:p w14:paraId="47CFB412" w14:textId="4D63C490"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Get the job status for </w:t>
      </w:r>
      <w:r w:rsidR="00CB00A3">
        <w:rPr>
          <w:rFonts w:asciiTheme="minorHAnsi" w:hAnsiTheme="minorHAnsi" w:cstheme="minorBidi"/>
          <w:lang w:val="en-CA"/>
        </w:rPr>
        <w:t>importRates</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8" w:name="_Toc500937150"/>
      <w:bookmarkStart w:id="29" w:name="_Toc189094587"/>
      <w:r w:rsidRPr="4521CC68">
        <w:t>High Level Flow Diagram</w:t>
      </w:r>
      <w:bookmarkEnd w:id="28"/>
      <w:bookmarkEnd w:id="29"/>
    </w:p>
    <w:p w14:paraId="745C8F16" w14:textId="7CDCDEC5" w:rsidR="46CFEDE7" w:rsidRDefault="00294D66" w:rsidP="00440428">
      <w:pPr>
        <w:ind w:left="720"/>
      </w:pPr>
      <w:r w:rsidRPr="00294D66">
        <w:rPr>
          <w:noProof/>
        </w:rPr>
        <w:drawing>
          <wp:inline distT="0" distB="0" distL="0" distR="0" wp14:anchorId="405B1EBB" wp14:editId="28D46D4D">
            <wp:extent cx="4470400" cy="1621616"/>
            <wp:effectExtent l="0" t="0" r="6350" b="0"/>
            <wp:docPr id="63253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38149" name=""/>
                    <pic:cNvPicPr/>
                  </pic:nvPicPr>
                  <pic:blipFill>
                    <a:blip r:embed="rId13"/>
                    <a:stretch>
                      <a:fillRect/>
                    </a:stretch>
                  </pic:blipFill>
                  <pic:spPr>
                    <a:xfrm>
                      <a:off x="0" y="0"/>
                      <a:ext cx="4497826" cy="1631565"/>
                    </a:xfrm>
                    <a:prstGeom prst="rect">
                      <a:avLst/>
                    </a:prstGeom>
                  </pic:spPr>
                </pic:pic>
              </a:graphicData>
            </a:graphic>
          </wp:inline>
        </w:drawing>
      </w: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4521CC68">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3459F35A" w:rsidR="00C5348B" w:rsidRPr="00547370" w:rsidRDefault="00EE5FA1" w:rsidP="4521CC68">
            <w:pPr>
              <w:keepNext/>
              <w:rPr>
                <w:rFonts w:ascii="Verdana" w:hAnsi="Verdana" w:cs="Arial"/>
                <w:sz w:val="20"/>
              </w:rPr>
            </w:pPr>
            <w:r>
              <w:rPr>
                <w:rFonts w:ascii="Verdana" w:hAnsi="Verdana" w:cs="Arial"/>
                <w:sz w:val="20"/>
              </w:rPr>
              <w:t xml:space="preserve">Run the data </w:t>
            </w:r>
            <w:r w:rsidR="00CB00A3">
              <w:rPr>
                <w:rFonts w:ascii="Verdana" w:hAnsi="Verdana" w:cs="Arial"/>
                <w:sz w:val="20"/>
              </w:rPr>
              <w:t>rule</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4D8621B9" w:rsidR="00956256" w:rsidRPr="00547370" w:rsidRDefault="00956256" w:rsidP="00956256">
            <w:pPr>
              <w:keepNext/>
              <w:rPr>
                <w:rFonts w:ascii="Verdana" w:hAnsi="Verdana" w:cs="Arial"/>
                <w:sz w:val="20"/>
              </w:rPr>
            </w:pPr>
            <w:r>
              <w:rPr>
                <w:rFonts w:ascii="Verdana" w:hAnsi="Verdana" w:cs="Arial"/>
                <w:sz w:val="20"/>
              </w:rPr>
              <w:t xml:space="preserve">Run the </w:t>
            </w:r>
            <w:r w:rsidR="00CB00A3">
              <w:rPr>
                <w:rFonts w:ascii="Verdana" w:hAnsi="Verdana" w:cs="Arial"/>
                <w:sz w:val="20"/>
              </w:rPr>
              <w:t>import rates</w:t>
            </w:r>
            <w:r>
              <w:rPr>
                <w:rFonts w:ascii="Verdana" w:hAnsi="Verdana" w:cs="Arial"/>
                <w:sz w:val="20"/>
              </w:rPr>
              <w:t xml:space="preserve"> data load  using rest api call</w:t>
            </w:r>
          </w:p>
        </w:tc>
      </w:tr>
      <w:tr w:rsidR="00956256" w:rsidRPr="00547370" w14:paraId="7C4E7C49" w14:textId="77777777" w:rsidTr="4521CC68">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7B05656D"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CB00A3">
        <w:rPr>
          <w:lang w:val="en-IN"/>
        </w:rPr>
        <w:t xml:space="preserve">Get period while invoking db. </w:t>
      </w:r>
      <w:r w:rsidRPr="00A61EA8">
        <w:rPr>
          <w:lang w:val="en-IN"/>
        </w:rPr>
        <w:t>When the rest api call is invoked, the EPM at the designated location is connected</w:t>
      </w:r>
      <w:r w:rsidR="008A654C">
        <w:rPr>
          <w:lang w:val="en-IN"/>
        </w:rPr>
        <w:t xml:space="preserve"> to run the foreign exchange data loads</w:t>
      </w:r>
      <w:r w:rsidRPr="00A61EA8">
        <w:rPr>
          <w:lang w:val="en-IN"/>
        </w:rPr>
        <w:t xml:space="preserve">. Verify the </w:t>
      </w:r>
      <w:r>
        <w:rPr>
          <w:lang w:val="en-IN"/>
        </w:rPr>
        <w:t>job</w:t>
      </w:r>
      <w:r w:rsidRPr="00A61EA8">
        <w:rPr>
          <w:lang w:val="en-IN"/>
        </w:rPr>
        <w:t xml:space="preserve"> status by giving the URL through a rest api request. If the job is finished, </w:t>
      </w:r>
      <w:r w:rsidR="00956256">
        <w:rPr>
          <w:lang w:val="en-IN"/>
        </w:rPr>
        <w:t xml:space="preserve">invoke the rest api call for </w:t>
      </w:r>
      <w:r w:rsidR="00CB00A3">
        <w:rPr>
          <w:lang w:val="en-IN"/>
        </w:rPr>
        <w:t>importRates</w:t>
      </w:r>
      <w:r w:rsidR="00956256">
        <w:rPr>
          <w:lang w:val="en-IN"/>
        </w:rPr>
        <w:t xml:space="preserve">. verify the job status </w:t>
      </w:r>
      <w:r w:rsidR="00956256" w:rsidRPr="00A61EA8">
        <w:rPr>
          <w:lang w:val="en-IN"/>
        </w:rPr>
        <w:t>by giving the URL through a rest api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3327F100" w:rsidR="3C23175F" w:rsidRPr="00C5348B" w:rsidRDefault="00C5348B" w:rsidP="00671786">
      <w:pPr>
        <w:pStyle w:val="Heading2"/>
      </w:pPr>
      <w:bookmarkStart w:id="34" w:name="_Toc486508614"/>
      <w:bookmarkStart w:id="35" w:name="_Toc189094590"/>
      <w:r w:rsidRPr="4521CC68">
        <w:t>&lt;</w:t>
      </w:r>
      <w:r w:rsidR="00E542C7" w:rsidRPr="00E542C7">
        <w:t xml:space="preserve"> RTR_EPM_ARCS_FX_RATES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D226A74" w:rsidR="007046E3" w:rsidRPr="00C5348B" w:rsidRDefault="00A61EA8" w:rsidP="4521CC68">
            <w:pPr>
              <w:keepNext/>
              <w:rPr>
                <w:rFonts w:ascii="Verdana" w:hAnsi="Verdana" w:cs="Arial"/>
                <w:sz w:val="20"/>
              </w:rPr>
            </w:pPr>
            <w:r>
              <w:rPr>
                <w:rFonts w:ascii="Verdana" w:hAnsi="Verdana" w:cs="Arial"/>
                <w:sz w:val="20"/>
              </w:rPr>
              <w:t>RTR_EPM_ARCS_</w:t>
            </w:r>
            <w:r w:rsidR="00CB00A3">
              <w:rPr>
                <w:rFonts w:ascii="Verdana" w:hAnsi="Verdana" w:cs="Arial"/>
                <w:sz w:val="20"/>
              </w:rPr>
              <w:t>FX_RATES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4"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1BBDCAE5" w:rsidR="00956256" w:rsidRDefault="00956256" w:rsidP="00A61EA8">
      <w:pPr>
        <w:pStyle w:val="Bodycopy"/>
        <w:ind w:left="792"/>
        <w:rPr>
          <w:lang w:val="en-US"/>
        </w:rPr>
      </w:pPr>
      <w:r>
        <w:rPr>
          <w:b/>
          <w:bCs/>
          <w:lang w:val="en-US"/>
        </w:rPr>
        <w:t xml:space="preserve">URL: </w:t>
      </w:r>
      <w:r>
        <w:t>(</w:t>
      </w:r>
      <w:hyperlink r:id="rId15"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/arm</w:t>
        </w:r>
        <w:r w:rsidR="00B37A29">
          <w:rPr>
            <w:rStyle w:val="Hyperlink"/>
            <w:lang w:val="en-US"/>
          </w:rPr>
          <w:t>ARCS</w:t>
        </w:r>
        <w:r w:rsidRPr="00956256">
          <w:rPr>
            <w:rStyle w:val="Hyperlink"/>
            <w:lang w:val="en-US"/>
          </w:rPr>
          <w:t xml:space="preserve">/rest/v1/jobs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72524EBC"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w:t>
      </w:r>
      <w:r w:rsidR="00B37A29">
        <w:rPr>
          <w:b/>
          <w:bCs/>
          <w:lang w:val="en-US"/>
        </w:rPr>
        <w:t>ARCS</w:t>
      </w:r>
      <w:r w:rsidRPr="00956256">
        <w:rPr>
          <w:b/>
          <w:bCs/>
          <w:lang w:val="en-US"/>
        </w:rPr>
        <w:t>/rest/v1/jobs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049AC4A4" w14:textId="77777777" w:rsidR="008E700A" w:rsidRDefault="008E700A" w:rsidP="008E700A">
      <w:pPr>
        <w:pStyle w:val="Bodycopy"/>
        <w:ind w:left="720"/>
      </w:pPr>
      <w:r>
        <w:t>Get period details from ATP</w:t>
      </w:r>
    </w:p>
    <w:p w14:paraId="407686E5" w14:textId="77777777" w:rsidR="008E700A" w:rsidRDefault="008E700A" w:rsidP="008E700A">
      <w:pPr>
        <w:pStyle w:val="Bodycopy"/>
        <w:ind w:left="720"/>
      </w:pPr>
      <w:r>
        <w:t>•</w:t>
      </w:r>
      <w:r>
        <w:tab/>
        <w:t>Schema : RTR_INT</w:t>
      </w:r>
    </w:p>
    <w:p w14:paraId="1E21C554" w14:textId="77777777" w:rsidR="008E700A" w:rsidRDefault="008E700A" w:rsidP="008E700A">
      <w:pPr>
        <w:pStyle w:val="Bodycopy"/>
        <w:ind w:left="720"/>
      </w:pPr>
      <w:r>
        <w:t>•</w:t>
      </w:r>
      <w:r>
        <w:tab/>
        <w:t>Package : default package</w:t>
      </w:r>
    </w:p>
    <w:p w14:paraId="109BDB98" w14:textId="77777777" w:rsidR="008E700A" w:rsidRPr="009E51F3" w:rsidRDefault="008E700A" w:rsidP="008E700A">
      <w:pPr>
        <w:pStyle w:val="Bodycopy"/>
        <w:ind w:left="720"/>
      </w:pPr>
      <w:r>
        <w:t>•</w:t>
      </w:r>
      <w:r>
        <w:tab/>
        <w:t>Procedure Name : PRC_RTR_ARC_008</w:t>
      </w:r>
    </w:p>
    <w:p w14:paraId="56845C06" w14:textId="77777777" w:rsidR="008E700A" w:rsidRPr="008E700A" w:rsidRDefault="008E700A" w:rsidP="008E700A">
      <w:pPr>
        <w:pStyle w:val="Bodycopy"/>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Pr="00710941" w:rsidRDefault="46C177AB" w:rsidP="00671786">
      <w:pPr>
        <w:pStyle w:val="Heading2"/>
      </w:pPr>
      <w:bookmarkStart w:id="76" w:name="_Toc189094628"/>
      <w:r w:rsidRPr="00710941">
        <w:t>Error handling and Retry Mechanism</w:t>
      </w:r>
      <w:bookmarkEnd w:id="76"/>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6"/>
      <w:footerReference w:type="default" r:id="rId17"/>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EE15F" w14:textId="77777777" w:rsidR="00330AD4" w:rsidRDefault="00330AD4">
      <w:r>
        <w:separator/>
      </w:r>
    </w:p>
    <w:p w14:paraId="66B8B740" w14:textId="77777777" w:rsidR="00330AD4" w:rsidRDefault="00330AD4"/>
    <w:p w14:paraId="575B05DD" w14:textId="77777777" w:rsidR="00330AD4" w:rsidRDefault="00330AD4"/>
  </w:endnote>
  <w:endnote w:type="continuationSeparator" w:id="0">
    <w:p w14:paraId="534C3052" w14:textId="77777777" w:rsidR="00330AD4" w:rsidRDefault="00330AD4">
      <w:r>
        <w:continuationSeparator/>
      </w:r>
    </w:p>
    <w:p w14:paraId="2CE695CD" w14:textId="77777777" w:rsidR="00330AD4" w:rsidRDefault="00330AD4"/>
    <w:p w14:paraId="250DB569" w14:textId="77777777" w:rsidR="00330AD4" w:rsidRDefault="00330AD4"/>
  </w:endnote>
  <w:endnote w:type="continuationNotice" w:id="1">
    <w:p w14:paraId="735BFB9F" w14:textId="77777777" w:rsidR="00330AD4" w:rsidRDefault="00330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FE8BFD0"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8A654C">
            <w:rPr>
              <w:rFonts w:cs="Arial"/>
              <w:noProof/>
              <w:lang w:val="en-US" w:eastAsia="en-US"/>
            </w:rPr>
            <w:t>Technical Unit Test</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91E381F" w:rsidR="0039610B" w:rsidRPr="00EF3637" w:rsidRDefault="00506E81" w:rsidP="005003E9">
          <w:pPr>
            <w:pStyle w:val="Footer"/>
            <w:jc w:val="right"/>
            <w:rPr>
              <w:rFonts w:cs="Arial"/>
              <w:szCs w:val="18"/>
              <w:lang w:val="en-US" w:eastAsia="en-US"/>
            </w:rPr>
          </w:pPr>
          <w:r>
            <w:rPr>
              <w:rFonts w:cs="Arial"/>
              <w:szCs w:val="18"/>
              <w:lang w:val="en-US" w:eastAsia="en-US"/>
            </w:rPr>
            <w:t>[</w:t>
          </w:r>
          <w:r w:rsidR="00892265">
            <w:rPr>
              <w:rFonts w:cs="Arial"/>
              <w:szCs w:val="18"/>
              <w:lang w:val="en-US" w:eastAsia="en-US"/>
            </w:rPr>
            <w:t>RTR_ARC</w:t>
          </w:r>
          <w:r w:rsidR="00A23B85">
            <w:rPr>
              <w:rFonts w:cs="Arial"/>
              <w:szCs w:val="18"/>
              <w:lang w:val="en-US" w:eastAsia="en-US"/>
            </w:rPr>
            <w:t>_INT_0</w:t>
          </w:r>
          <w:r w:rsidR="00892265">
            <w:rPr>
              <w:rFonts w:cs="Arial"/>
              <w:szCs w:val="18"/>
              <w:lang w:val="en-US" w:eastAsia="en-US"/>
            </w:rPr>
            <w:t>1</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892265" w:rsidRPr="00892265">
            <w:rPr>
              <w:rFonts w:cs="Arial"/>
              <w:szCs w:val="18"/>
              <w:lang w:val="en-US" w:eastAsia="en-US"/>
            </w:rPr>
            <w:t>EPM_ARCS_FX_RATES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8FCD5" w14:textId="77777777" w:rsidR="00330AD4" w:rsidRDefault="00330AD4">
      <w:r>
        <w:separator/>
      </w:r>
    </w:p>
    <w:p w14:paraId="55B82DB3" w14:textId="77777777" w:rsidR="00330AD4" w:rsidRDefault="00330AD4"/>
    <w:p w14:paraId="15BE2052" w14:textId="77777777" w:rsidR="00330AD4" w:rsidRDefault="00330AD4"/>
  </w:footnote>
  <w:footnote w:type="continuationSeparator" w:id="0">
    <w:p w14:paraId="78161194" w14:textId="77777777" w:rsidR="00330AD4" w:rsidRDefault="00330AD4">
      <w:r>
        <w:continuationSeparator/>
      </w:r>
    </w:p>
    <w:p w14:paraId="01AD6084" w14:textId="77777777" w:rsidR="00330AD4" w:rsidRDefault="00330AD4"/>
    <w:p w14:paraId="735C6445" w14:textId="77777777" w:rsidR="00330AD4" w:rsidRDefault="00330AD4"/>
  </w:footnote>
  <w:footnote w:type="continuationNotice" w:id="1">
    <w:p w14:paraId="4A5F726B" w14:textId="77777777" w:rsidR="00330AD4" w:rsidRDefault="00330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5F39"/>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E5FB3"/>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309"/>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4D6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7F5"/>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AD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E7915"/>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706E"/>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8A2"/>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741"/>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2265"/>
    <w:rsid w:val="008930EE"/>
    <w:rsid w:val="00893FE0"/>
    <w:rsid w:val="0089478F"/>
    <w:rsid w:val="008947A1"/>
    <w:rsid w:val="00894E56"/>
    <w:rsid w:val="00896E02"/>
    <w:rsid w:val="00897262"/>
    <w:rsid w:val="00897785"/>
    <w:rsid w:val="008A0DF5"/>
    <w:rsid w:val="008A21B2"/>
    <w:rsid w:val="008A2240"/>
    <w:rsid w:val="008A40C8"/>
    <w:rsid w:val="008A5D0B"/>
    <w:rsid w:val="008A654C"/>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0A"/>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38A6"/>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A29"/>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21D8"/>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0A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CF7073"/>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42C7"/>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59F"/>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0F0"/>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113</TotalTime>
  <Pages>18</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14</cp:revision>
  <cp:lastPrinted>2015-10-09T20:46:00Z</cp:lastPrinted>
  <dcterms:created xsi:type="dcterms:W3CDTF">2025-05-05T13:54:00Z</dcterms:created>
  <dcterms:modified xsi:type="dcterms:W3CDTF">2025-05-15T11:40:00Z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