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UTA2025 - Autonomous Donor Engagement Solution</w:t>
      </w:r>
    </w:p>
    <w:p>
      <w:pPr>
        <w:pStyle w:val="Heading1"/>
        <w:spacing w:after="200"/>
        <w:jc w:val="center"/>
      </w:pPr>
      <w:r>
        <w:t xml:space="preserve">Cost Proposal</w:t>
      </w:r>
    </w:p>
    <w:p>
      <w:pPr>
        <w:spacing w:after="200"/>
        <w:jc w:val="center"/>
      </w:pPr>
      <w:r>
        <w:t xml:space="preserve">Solicitation: UTA2025</w:t>
      </w:r>
    </w:p>
    <w:p>
      <w:pPr>
        <w:spacing w:after="200"/>
        <w:jc w:val="center"/>
      </w:pPr>
      <w:r>
        <w:t xml:space="preserve">Prepared by CDM Suite LLC</w:t>
      </w:r>
    </w:p>
    <w:p>
      <w:pPr>
        <w:spacing w:after="400"/>
        <w:jc w:val="center"/>
      </w:pPr>
      <w:r>
        <w:t xml:space="preserve">Date: 11/11/2025</w:t>
      </w:r>
    </w:p>
    <w:p>
      <w:pPr>
        <w:spacing w:after="800"/>
        <w:jc w:val="center"/>
      </w:pPr>
      <w:r>
        <w:rPr>
          <w:i/>
          <w:iCs/>
        </w:rPr>
        <w:t xml:space="preserve">Confidential &amp; Proprietary</w:t>
      </w:r>
    </w:p>
    <w:p>
      <w:pPr>
        <w:pStyle w:val="Heading1"/>
        <w:spacing w:before="400" w:after="200"/>
      </w:pPr>
      <w:r>
        <w:t xml:space="preserve">Executive Summary</w:t>
      </w:r>
    </w:p>
    <w:p>
      <w:pPr>
        <w:spacing w:after="120"/>
      </w:pPr>
      <w:r>
        <w:t xml:space="preserve">CDM Suite LLC is pleased to submit this comprehensive cost proposal for the University of Texas at Arlington's (UTA) Autonomous Donor Engagement Solution. Our proposed solution is designed to enhance donor engagement and fundraising efficiency through secure, AI-driven automation. CDM Suite has a proven track record, including a 98% client satisfaction rate, 3.5x average ROI, and 95% on-time delivery rate.</w:t>
      </w:r>
    </w:p>
    <w:p>
      <w:pPr>
        <w:spacing w:after="120"/>
      </w:pPr>
      <w:r>
        <w:t xml:space="preserve">We have carefully structured our pricing to reflect competitive market rates while delivering exceptional value. The total first-year investment for this project is $89,800, with optional annual renewals for continued support and hosting at $32,500/year.</w:t>
      </w:r>
    </w:p>
    <w:p>
      <w:pPr>
        <w:spacing w:after="120"/>
      </w:pPr>
      <w:r>
        <w:t xml:space="preserve">This proposal emphasizes transparency, fiscal responsibility, and long-term impact, ensuring that UTA achieves measurable success in donor engagement and fundraising efficiency.</w:t>
      </w:r>
    </w:p>
    <w:p>
      <w:pPr>
        <w:spacing w:after="120"/>
      </w:pPr>
      <w:r>
        <w:t xml:space="preserve">---</w:t>
      </w:r>
    </w:p>
    <w:p>
      <w:pPr>
        <w:pStyle w:val="Heading1"/>
        <w:spacing w:before="400" w:after="200"/>
      </w:pPr>
      <w:r>
        <w:t xml:space="preserve">Total Project Cost: $89,800</w:t>
      </w:r>
    </w:p>
    <w:p>
      <w:pPr>
        <w:spacing w:after="120"/>
      </w:pPr>
      <w:r>
        <w:t xml:space="preserve">---</w:t>
      </w:r>
    </w:p>
    <w:p>
      <w:pPr>
        <w:pStyle w:val="Heading1"/>
        <w:spacing w:before="400" w:after="200"/>
      </w:pPr>
      <w:r>
        <w:t xml:space="preserve">Detailed Pricing Breakdown</w:t>
      </w:r>
    </w:p>
    <w:p>
      <w:pPr>
        <w:spacing w:after="120"/>
      </w:pPr>
      <w:r>
        <w:t xml:space="preserve">| Phase/Deliverable                | Description                                                                 | Cost (USD)      |</w:t>
      </w:r>
    </w:p>
    <w:p>
      <w:pPr>
        <w:spacing w:after="120"/>
      </w:pPr>
      <w:r>
        <w:t xml:space="preserve">|----------------------------------|-----------------------------------------------------------------------------|-----------------|</w:t>
      </w:r>
    </w:p>
    <w:p>
      <w:pPr>
        <w:spacing w:after="120"/>
      </w:pPr>
      <w:r>
        <w:t xml:space="preserve">| Platform Setup &amp; Integration     | System configuration, workflow mapping, and secure cloud deployment         | $28,000 (one-time) |</w:t>
      </w:r>
    </w:p>
    <w:p>
      <w:pPr>
        <w:spacing w:after="120"/>
      </w:pPr>
      <w:r>
        <w:t xml:space="preserve">| AI Workflow &amp; Campaign Design    | Automated donor segmentation and personalization setup                      | $19,000 (one-time) |</w:t>
      </w:r>
    </w:p>
    <w:p>
      <w:pPr>
        <w:spacing w:after="120"/>
      </w:pPr>
      <w:r>
        <w:t xml:space="preserve">| Annual License &amp; Hosting         | Cloud hosting, maintenance, and compliance updates                         | $30,000/year    |</w:t>
      </w:r>
    </w:p>
    <w:p>
      <w:pPr>
        <w:spacing w:after="120"/>
      </w:pPr>
      <w:r>
        <w:t xml:space="preserve">| Reporting &amp; Analytics            | Dashboard setup, data analysis, and reporting                              | $8,000/year     |</w:t>
      </w:r>
    </w:p>
    <w:p>
      <w:pPr>
        <w:spacing w:after="120"/>
      </w:pPr>
      <w:r>
        <w:t xml:space="preserve">| Ongoing Support                  | Dedicated project management and helpdesk                                  | $4,800/year     |</w:t>
      </w:r>
    </w:p>
    <w:p>
      <w:pPr>
        <w:spacing w:after="120"/>
      </w:pPr>
      <w:r>
        <w:t xml:space="preserve">| Total Project Cost           |                                                                             | $89,800     |</w:t>
      </w:r>
    </w:p>
    <w:p>
      <w:pPr>
        <w:spacing w:after="120"/>
      </w:pPr>
      <w:r>
        <w:t xml:space="preserve">---</w:t>
      </w:r>
    </w:p>
    <w:p>
      <w:pPr>
        <w:pStyle w:val="Heading1"/>
        <w:spacing w:before="400" w:after="200"/>
      </w:pPr>
      <w:r>
        <w:t xml:space="preserve">Payment Schedule</w:t>
      </w:r>
    </w:p>
    <w:p>
      <w:pPr>
        <w:spacing w:after="120"/>
      </w:pPr>
      <w:r>
        <w:t xml:space="preserve">| Milestone               | Deliverables                                   | Payment (%) | Amount (USD) | Timeline   |</w:t>
      </w:r>
    </w:p>
    <w:p>
      <w:pPr>
        <w:spacing w:after="120"/>
      </w:pPr>
      <w:r>
        <w:t xml:space="preserve">|-------------------------|-----------------------------------------------|-------------|--------------|------------|</w:t>
      </w:r>
    </w:p>
    <w:p>
      <w:pPr>
        <w:spacing w:after="120"/>
      </w:pPr>
      <w:r>
        <w:t xml:space="preserve">| Contract Signing        | Kickoff meeting, project plan                 | 30%         | $26,940      | Week 1     |</w:t>
      </w:r>
    </w:p>
    <w:p>
      <w:pPr>
        <w:spacing w:after="120"/>
      </w:pPr>
      <w:r>
        <w:t xml:space="preserve">| Onboarding Completion   | System configuration, data upload, approvals  | 25%         | $22,450      | Week 3     |</w:t>
      </w:r>
    </w:p>
    <w:p>
      <w:pPr>
        <w:spacing w:after="120"/>
      </w:pPr>
      <w:r>
        <w:t xml:space="preserve">| Engagement Launch       | AI workflows live, donor outreach begins      | 25%         | $22,450      | Week 4     |</w:t>
      </w:r>
    </w:p>
    <w:p>
      <w:pPr>
        <w:spacing w:after="120"/>
      </w:pPr>
      <w:r>
        <w:t xml:space="preserve">| Final Delivery &amp; Report | Final report, insights, and recommendations   | 20%         | $17,960      | Week 12    |</w:t>
      </w:r>
    </w:p>
    <w:p>
      <w:pPr>
        <w:spacing w:after="120"/>
      </w:pPr>
      <w:r>
        <w:t xml:space="preserve">| Total               |                                               | 100%    | $89,800  |            |</w:t>
      </w:r>
    </w:p>
    <w:p>
      <w:pPr>
        <w:spacing w:after="120"/>
      </w:pPr>
      <w:r>
        <w:t xml:space="preserve">---</w:t>
      </w:r>
    </w:p>
    <w:p>
      <w:pPr>
        <w:pStyle w:val="Heading1"/>
        <w:spacing w:before="400" w:after="200"/>
      </w:pPr>
      <w:r>
        <w:t xml:space="preserve">Optional Services/Add-Ons</w:t>
      </w:r>
    </w:p>
    <w:p>
      <w:pPr>
        <w:spacing w:after="120"/>
      </w:pPr>
      <w:r>
        <w:t xml:space="preserve">| Service/Deliverable                   | Description                                      | Cost (USD)         |</w:t>
      </w:r>
    </w:p>
    <w:p>
      <w:pPr>
        <w:spacing w:after="120"/>
      </w:pPr>
      <w:r>
        <w:t xml:space="preserve">|--------------------------------------|--------------------------------------------------|--------------------|</w:t>
      </w:r>
    </w:p>
    <w:p>
      <w:pPr>
        <w:spacing w:after="120"/>
      </w:pPr>
      <w:r>
        <w:t xml:space="preserve">| Additional AI Campaigns              | Setup and deployment of additional workflows     | $5,000 per campaign |</w:t>
      </w:r>
    </w:p>
    <w:p>
      <w:pPr>
        <w:spacing w:after="120"/>
      </w:pPr>
      <w:r>
        <w:t xml:space="preserve">| Advanced Customization               | Tailored functionality beyond the base platform  | $10,000+ (based on scope) |</w:t>
      </w:r>
    </w:p>
    <w:p>
      <w:pPr>
        <w:spacing w:after="120"/>
      </w:pPr>
      <w:r>
        <w:t xml:space="preserve">| Premium Training Sessions            | In-depth, hands-on user training for staff       | $2,500/session     |</w:t>
      </w:r>
    </w:p>
    <w:p>
      <w:pPr>
        <w:spacing w:after="120"/>
      </w:pPr>
      <w:r>
        <w:t xml:space="preserve">| Optional Services Total          |                                                  | Varies by scope |</w:t>
      </w:r>
    </w:p>
    <w:p>
      <w:pPr>
        <w:spacing w:after="120"/>
      </w:pPr>
      <w:r>
        <w:t xml:space="preserve">---</w:t>
      </w:r>
    </w:p>
    <w:p>
      <w:pPr>
        <w:pStyle w:val="Heading1"/>
        <w:spacing w:before="400" w:after="200"/>
      </w:pPr>
      <w:r>
        <w:t xml:space="preserve">Post-Launch Support &amp; Maintenance</w:t>
      </w:r>
    </w:p>
    <w:p>
      <w:pPr>
        <w:spacing w:after="120"/>
      </w:pPr>
      <w:r>
        <w:t xml:space="preserve">CDM Suite offers three support tiers to ensure continued success and smooth operation of the platform:</w:t>
      </w:r>
    </w:p>
    <w:p>
      <w:pPr>
        <w:spacing w:after="120"/>
      </w:pPr>
      <w:r>
        <w:t xml:space="preserve">| Support Tier         | Description                                                                 | Cost (USD)          |</w:t>
      </w:r>
    </w:p>
    <w:p>
      <w:pPr>
        <w:spacing w:after="120"/>
      </w:pPr>
      <w:r>
        <w:t xml:space="preserve">|----------------------|-----------------------------------------------------------------------------|---------------------|</w:t>
      </w:r>
    </w:p>
    <w:p>
      <w:pPr>
        <w:spacing w:after="120"/>
      </w:pPr>
      <w:r>
        <w:t xml:space="preserve">| Basic            | Email support, quarterly check-ins, minor updates                          | $2,500 - $5,000/year |</w:t>
      </w:r>
    </w:p>
    <w:p>
      <w:pPr>
        <w:spacing w:after="120"/>
      </w:pPr>
      <w:r>
        <w:t xml:space="preserve">| Priority         | Priority email/phone support, monthly performance reviews, moderate updates | $5,000 - $10,000/year |</w:t>
      </w:r>
    </w:p>
    <w:p>
      <w:pPr>
        <w:spacing w:after="120"/>
      </w:pPr>
      <w:r>
        <w:t xml:space="preserve">| Enterprise       | 24/7 support, dedicated account manager, advanced updates and customizations | $15,000+/year       |</w:t>
      </w:r>
    </w:p>
    <w:p>
      <w:pPr>
        <w:spacing w:after="120"/>
      </w:pPr>
      <w:r>
        <w:t xml:space="preserve">---</w:t>
      </w:r>
    </w:p>
    <w:p>
      <w:pPr>
        <w:pStyle w:val="Heading1"/>
        <w:spacing w:before="400" w:after="200"/>
      </w:pPr>
      <w:r>
        <w:t xml:space="preserve">Assumptions &amp; Exclusions</w:t>
      </w:r>
    </w:p>
    <w:p>
      <w:pPr>
        <w:pStyle w:val="Heading2"/>
        <w:spacing w:before="200" w:after="120"/>
      </w:pPr>
      <w:r>
        <w:t xml:space="preserve">Assumptions:</w:t>
      </w:r>
    </w:p>
    <w:p>
      <w:pPr>
        <w:pStyle w:val="ListParagraph"/>
        <w:numPr>
          <w:ilvl w:val="0"/>
          <w:numId w:val="1"/>
        </w:numPr>
        <w:spacing w:after="120"/>
      </w:pPr>
      <w:r>
        <w:t xml:space="preserve">UTA will provide access to existing donor data and templates for AI training.</w:t>
      </w:r>
    </w:p>
    <w:p>
      <w:pPr>
        <w:pStyle w:val="ListParagraph"/>
        <w:numPr>
          <w:ilvl w:val="0"/>
          <w:numId w:val="1"/>
        </w:numPr>
        <w:spacing w:after="120"/>
      </w:pPr>
      <w:r>
        <w:t xml:space="preserve">All automated messages will be reviewed and approved by UTA's Development and Alumni Relations (DAR) Team prior to deployment.</w:t>
      </w:r>
    </w:p>
    <w:p>
      <w:pPr>
        <w:pStyle w:val="ListParagraph"/>
        <w:numPr>
          <w:ilvl w:val="0"/>
          <w:numId w:val="1"/>
        </w:numPr>
        <w:spacing w:after="120"/>
      </w:pPr>
      <w:r>
        <w:t xml:space="preserve">UTA will allocate 8–10 hours for onboarding and training sessions.</w:t>
      </w:r>
    </w:p>
    <w:p>
      <w:pPr>
        <w:pStyle w:val="Heading2"/>
        <w:spacing w:before="200" w:after="120"/>
      </w:pPr>
      <w:r>
        <w:t xml:space="preserve">Exclusions:</w:t>
      </w:r>
    </w:p>
    <w:p>
      <w:pPr>
        <w:pStyle w:val="ListParagraph"/>
        <w:numPr>
          <w:ilvl w:val="0"/>
          <w:numId w:val="1"/>
        </w:numPr>
        <w:spacing w:after="120"/>
      </w:pPr>
      <w:r>
        <w:t xml:space="preserve">Travel costs (not applicable as project is fully remote).</w:t>
      </w:r>
    </w:p>
    <w:p>
      <w:pPr>
        <w:pStyle w:val="ListParagraph"/>
        <w:numPr>
          <w:ilvl w:val="0"/>
          <w:numId w:val="1"/>
        </w:numPr>
        <w:spacing w:after="120"/>
      </w:pPr>
      <w:r>
        <w:t xml:space="preserve">Hardware or on-premises installations (solution is fully cloud-based).</w:t>
      </w:r>
    </w:p>
    <w:p>
      <w:pPr>
        <w:pStyle w:val="ListParagraph"/>
        <w:numPr>
          <w:ilvl w:val="0"/>
          <w:numId w:val="1"/>
        </w:numPr>
        <w:spacing w:after="120"/>
      </w:pPr>
      <w:r>
        <w:t xml:space="preserve">Customizations beyond the scope outlined in this proposal (can be added as optional services).</w:t>
      </w:r>
    </w:p>
    <w:p>
      <w:pPr>
        <w:spacing w:after="120"/>
      </w:pPr>
      <w:r>
        <w:t xml:space="preserve">---</w:t>
      </w:r>
    </w:p>
    <w:p>
      <w:pPr>
        <w:pStyle w:val="Heading1"/>
        <w:spacing w:before="400" w:after="200"/>
      </w:pPr>
      <w:r>
        <w:t xml:space="preserve">Pricing Validity</w:t>
      </w:r>
    </w:p>
    <w:p>
      <w:pPr>
        <w:spacing w:after="120"/>
      </w:pPr>
      <w:r>
        <w:t xml:space="preserve">This pricing proposal is valid for 90 days from the submission date.</w:t>
      </w:r>
    </w:p>
    <w:p>
      <w:pPr>
        <w:spacing w:after="120"/>
      </w:pPr>
      <w:r>
        <w:t xml:space="preserve">---</w:t>
      </w:r>
    </w:p>
    <w:p>
      <w:pPr>
        <w:pStyle w:val="Heading1"/>
        <w:spacing w:before="400" w:after="200"/>
      </w:pPr>
      <w:r>
        <w:t xml:space="preserve">Value Proposition</w:t>
      </w:r>
    </w:p>
    <w:p>
      <w:pPr>
        <w:spacing w:after="120"/>
      </w:pPr>
      <w:r>
        <w:t xml:space="preserve">CDM Suite’s solution stands out in the market due to its combination of affordability, performance, and ROI. Key highlights include:</w:t>
      </w:r>
    </w:p>
    <w:p>
      <w:pPr>
        <w:pStyle w:val="ListParagraph"/>
        <w:numPr>
          <w:ilvl w:val="0"/>
          <w:numId w:val="1"/>
        </w:numPr>
        <w:spacing w:after="120"/>
      </w:pPr>
      <w:r>
        <w:t xml:space="preserve">Proven Results: Clients experience an average 3.5x ROI within the first year.</w:t>
      </w:r>
    </w:p>
    <w:p>
      <w:pPr>
        <w:pStyle w:val="ListParagraph"/>
        <w:numPr>
          <w:ilvl w:val="0"/>
          <w:numId w:val="1"/>
        </w:numPr>
        <w:spacing w:after="120"/>
      </w:pPr>
      <w:r>
        <w:t xml:space="preserve">Exceptional Quality: 98% client satisfaction and 95% on-time delivery rates.</w:t>
      </w:r>
    </w:p>
    <w:p>
      <w:pPr>
        <w:pStyle w:val="ListParagraph"/>
        <w:numPr>
          <w:ilvl w:val="0"/>
          <w:numId w:val="1"/>
        </w:numPr>
        <w:spacing w:after="120"/>
      </w:pPr>
      <w:r>
        <w:t xml:space="preserve">Efficiency Gains: Save at least 30% of staff time on donor communication tasks.</w:t>
      </w:r>
    </w:p>
    <w:p>
      <w:pPr>
        <w:pStyle w:val="ListParagraph"/>
        <w:numPr>
          <w:ilvl w:val="0"/>
          <w:numId w:val="1"/>
        </w:numPr>
        <w:spacing w:after="120"/>
      </w:pPr>
      <w:r>
        <w:t xml:space="preserve">Data Security: Fully compliant with SOC 2, GDPR, and CCPA standards.</w:t>
      </w:r>
    </w:p>
    <w:p>
      <w:pPr>
        <w:spacing w:after="120"/>
      </w:pPr>
      <w:r>
        <w:t xml:space="preserve">By choosing CDM Suite, UTA will benefit from a secure, scalable, and cost-effective donor engagement platform that delivers measurable outcomes.</w:t>
      </w:r>
    </w:p>
    <w:p>
      <w:pPr>
        <w:spacing w:after="120"/>
      </w:pPr>
      <w:r>
        <w:t xml:space="preserve">---</w:t>
      </w:r>
    </w:p>
    <w:p>
      <w:pPr>
        <w:spacing w:after="120"/>
      </w:pPr>
      <w:r>
        <w:t xml:space="preserve">We look forward to the opportunity to partner with UTA and help achieve its donor engagement and fundraising goals. If you have any questions or require further details, please feel free to contact us.</w:t>
      </w:r>
    </w:p>
    <w:p>
      <w:pPr>
        <w:spacing w:after="120"/>
      </w:pPr>
      <w:r>
        <w:t xml:space="preserve">Warm regards,</w:t>
      </w:r>
    </w:p>
    <w:p>
      <w:pPr>
        <w:spacing w:after="120"/>
      </w:pPr>
      <w:r>
        <w:t xml:space="preserve">Everoy Thomas</w:t>
      </w:r>
    </w:p>
    <w:p>
      <w:pPr>
        <w:spacing w:after="120"/>
      </w:pPr>
      <w:r>
        <w:t xml:space="preserve">Sales &amp; Marketing Manager</w:t>
      </w:r>
    </w:p>
    <w:p>
      <w:pPr>
        <w:spacing w:after="120"/>
      </w:pPr>
      <w:r>
        <w:t xml:space="preserve">CDM Suite LLC</w:t>
      </w:r>
    </w:p>
    <w:p>
      <w:pPr>
        <w:spacing w:after="120"/>
      </w:pPr>
      <w:r>
        <w:t xml:space="preserve">📞 876-853-1796 | 862-272-7623</w:t>
      </w:r>
    </w:p>
    <w:p>
      <w:pPr>
        <w:spacing w:after="120"/>
      </w:pPr>
      <w:r>
        <w:t xml:space="preserve">📧 everoy@cdmsuite.com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2025-11-11T19:40:11.221Z</dcterms:created>
  <dcterms:modified xsi:type="dcterms:W3CDTF">2025-11-11T19:40:11.221Z</dcterms:modified>
</cp:coreProperties>
</file>

<file path=docProps/custom.xml><?xml version="1.0" encoding="utf-8"?>
<Properties xmlns="http://schemas.openxmlformats.org/officeDocument/2006/custom-properties" xmlns:vt="http://schemas.openxmlformats.org/officeDocument/2006/docPropsVTypes"/>
</file>