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UTA2025 - Autonomous Donor Engagement Solution</w:t>
      </w:r>
    </w:p>
    <w:p>
      <w:pPr>
        <w:pStyle w:val="Heading1"/>
        <w:spacing w:after="200"/>
        <w:jc w:val="center"/>
      </w:pPr>
      <w:r>
        <w:t xml:space="preserve">Technical Proposal</w:t>
      </w:r>
    </w:p>
    <w:p>
      <w:pPr>
        <w:spacing w:after="200"/>
        <w:jc w:val="center"/>
      </w:pPr>
      <w:r>
        <w:t xml:space="preserve">Solicitation: UTA2025</w:t>
      </w:r>
    </w:p>
    <w:p>
      <w:pPr>
        <w:spacing w:after="200"/>
        <w:jc w:val="center"/>
      </w:pPr>
      <w:r>
        <w:t xml:space="preserve">Prepared by CDM Suite LLC</w:t>
      </w:r>
    </w:p>
    <w:p>
      <w:pPr>
        <w:spacing w:after="400"/>
        <w:jc w:val="center"/>
      </w:pPr>
      <w:r>
        <w:t xml:space="preserve">Date: 11/11/2025</w:t>
      </w:r>
    </w:p>
    <w:p>
      <w:pPr>
        <w:spacing w:after="800"/>
        <w:jc w:val="center"/>
      </w:pPr>
      <w:r>
        <w:rPr>
          <w:i/>
          <w:iCs/>
        </w:rPr>
        <w:t xml:space="preserve">Confidential &amp; Proprietary</w:t>
      </w:r>
    </w:p>
    <w:p>
      <w:pPr>
        <w:pStyle w:val="Heading1"/>
        <w:spacing w:before="400" w:after="200"/>
      </w:pPr>
      <w:r>
        <w:t xml:space="preserve">1. Executive Summary</w:t>
      </w:r>
    </w:p>
    <w:p>
      <w:pPr>
        <w:spacing w:after="120"/>
      </w:pPr>
      <w:r>
        <w:t xml:space="preserve">CDM Suite LLC is pleased to submit this proposal for the University of Texas at Arlington’s (UTA) solicitation for an Autonomous Donor Engagement Solution. Our cutting-edge, cloud-based platform is designed to transform donor engagement by leveraging AI-driven automation and personalized communication workflows across the donor lifecycle.</w:t>
      </w:r>
    </w:p>
    <w:p>
      <w:pPr>
        <w:spacing w:after="120"/>
      </w:pPr>
      <w:r>
        <w:t xml:space="preserve">CDM Suite’s solution will enhance UTA’s fundraising efficiency by streamlining processes such as prospect discovery, qualification, engagement, solicitation, and stewardship. Built with robust compliance and security standards, our platform ensures seamless integration into UTA’s existing systems while reducing manual workloads for the Development and Alumni Relations (DAR) team. With capabilities for multi-channel outreach, real-time analytics, and AI transparency, our solution empowers UTA to achieve measurable results, including increased donor retention, giving frequency, and operational efficiency.</w:t>
      </w:r>
    </w:p>
    <w:p>
      <w:pPr>
        <w:spacing w:after="120"/>
      </w:pPr>
      <w:r>
        <w:t xml:space="preserve">Key Highlights of Our Proposal:</w:t>
      </w:r>
    </w:p>
    <w:p>
      <w:pPr>
        <w:pStyle w:val="ListParagraph"/>
        <w:numPr>
          <w:ilvl w:val="0"/>
          <w:numId w:val="1"/>
        </w:numPr>
        <w:spacing w:after="120"/>
      </w:pPr>
      <w:r>
        <w:t xml:space="preserve">Secure and Compliant Cloud-Based Platform: Fully hosted solution adhering to SOC 2 Type II, GDPR, and CCPA standards.</w:t>
      </w:r>
    </w:p>
    <w:p>
      <w:pPr>
        <w:pStyle w:val="ListParagraph"/>
        <w:numPr>
          <w:ilvl w:val="0"/>
          <w:numId w:val="1"/>
        </w:numPr>
        <w:spacing w:after="120"/>
      </w:pPr>
      <w:r>
        <w:t xml:space="preserve">AI-Driven Workflows: Automated segmentation, personalized engagement, and real-time reporting.</w:t>
      </w:r>
    </w:p>
    <w:p>
      <w:pPr>
        <w:pStyle w:val="ListParagraph"/>
        <w:numPr>
          <w:ilvl w:val="0"/>
          <w:numId w:val="1"/>
        </w:numPr>
        <w:spacing w:after="120"/>
      </w:pPr>
      <w:r>
        <w:t xml:space="preserve">Proven Results: Expertise in delivering scalable, impactful solutions to public and private sector organizations.</w:t>
      </w:r>
    </w:p>
    <w:p>
      <w:pPr>
        <w:pStyle w:val="ListParagraph"/>
        <w:numPr>
          <w:ilvl w:val="0"/>
          <w:numId w:val="1"/>
        </w:numPr>
        <w:spacing w:after="120"/>
      </w:pPr>
      <w:r>
        <w:t xml:space="preserve">Minimal Onboarding Time: Quick implementation with no internal IT requirements.</w:t>
      </w:r>
    </w:p>
    <w:p>
      <w:pPr>
        <w:spacing w:after="120"/>
      </w:pPr>
      <w:r>
        <w:t xml:space="preserve">CDM Suite is committed to providing a best-in-class platform that meets UTA’s requirements while delivering exceptional value and long-term impact.</w:t>
      </w:r>
    </w:p>
    <w:p>
      <w:pPr>
        <w:spacing w:after="120"/>
      </w:pPr>
      <w:r>
        <w:t xml:space="preserve">---</w:t>
      </w:r>
    </w:p>
    <w:p>
      <w:pPr>
        <w:pStyle w:val="Heading1"/>
        <w:spacing w:before="400" w:after="200"/>
      </w:pPr>
      <w:r>
        <w:t xml:space="preserve">2. Understanding of Requirements</w:t>
      </w:r>
    </w:p>
    <w:p>
      <w:pPr>
        <w:spacing w:after="120"/>
      </w:pPr>
      <w:r>
        <w:t xml:space="preserve">CDM Suite fully understands the scope and objectives outlined in the solicitation. We are confident in our ability to deliver a solution that aligns with UTA’s needs and priorities.</w:t>
      </w:r>
    </w:p>
    <w:p>
      <w:pPr>
        <w:spacing w:after="120"/>
      </w:pPr>
      <w:r>
        <w:t xml:space="preserve">Key Objectives:</w:t>
      </w:r>
    </w:p>
    <w:p>
      <w:pPr>
        <w:pStyle w:val="ListParagraph"/>
        <w:numPr>
          <w:ilvl w:val="0"/>
          <w:numId w:val="1"/>
        </w:numPr>
        <w:spacing w:after="120"/>
      </w:pPr>
      <w:r>
        <w:t xml:space="preserve">Engage and qualify a targeted donor pool using AI-driven workflows.</w:t>
      </w:r>
    </w:p>
    <w:p>
      <w:pPr>
        <w:pStyle w:val="ListParagraph"/>
        <w:numPr>
          <w:ilvl w:val="0"/>
          <w:numId w:val="1"/>
        </w:numPr>
        <w:spacing w:after="120"/>
      </w:pPr>
      <w:r>
        <w:t xml:space="preserve">Deliver personalized, multi-channel donor communications at scale.</w:t>
      </w:r>
    </w:p>
    <w:p>
      <w:pPr>
        <w:pStyle w:val="ListParagraph"/>
        <w:numPr>
          <w:ilvl w:val="0"/>
          <w:numId w:val="1"/>
        </w:numPr>
        <w:spacing w:after="120"/>
      </w:pPr>
      <w:r>
        <w:t xml:space="preserve">Provide real-time reporting and analytics on engagement, conversions, and ROI.</w:t>
      </w:r>
    </w:p>
    <w:p>
      <w:pPr>
        <w:pStyle w:val="ListParagraph"/>
        <w:numPr>
          <w:ilvl w:val="0"/>
          <w:numId w:val="1"/>
        </w:numPr>
        <w:spacing w:after="120"/>
      </w:pPr>
      <w:r>
        <w:t xml:space="preserve">Automate manual processes to reduce staff workload and increase efficiency.</w:t>
      </w:r>
    </w:p>
    <w:p>
      <w:pPr>
        <w:spacing w:after="120"/>
      </w:pPr>
      <w:r>
        <w:t xml:space="preserve">Project Scope:</w:t>
      </w:r>
    </w:p>
    <w:p>
      <w:pPr>
        <w:spacing w:after="120"/>
      </w:pPr>
      <w:r>
        <w:t xml:space="preserve">The proposed AI-driven platform will autonomously manage communications across the donor lifecycle, including:</w:t>
      </w:r>
    </w:p>
    <w:p>
      <w:pPr>
        <w:pStyle w:val="ListParagraph"/>
        <w:numPr>
          <w:ilvl w:val="0"/>
          <w:numId w:val="1"/>
        </w:numPr>
        <w:spacing w:after="120"/>
      </w:pPr>
      <w:r>
        <w:t xml:space="preserve">Prospect Discovery: Automated identification and ranking of potential donors.</w:t>
      </w:r>
    </w:p>
    <w:p>
      <w:pPr>
        <w:pStyle w:val="ListParagraph"/>
        <w:numPr>
          <w:ilvl w:val="0"/>
          <w:numId w:val="1"/>
        </w:numPr>
        <w:spacing w:after="120"/>
      </w:pPr>
      <w:r>
        <w:t xml:space="preserve">Donor Qualification: AI-powered segmentation based on donor behavior and data.</w:t>
      </w:r>
    </w:p>
    <w:p>
      <w:pPr>
        <w:pStyle w:val="ListParagraph"/>
        <w:numPr>
          <w:ilvl w:val="0"/>
          <w:numId w:val="1"/>
        </w:numPr>
        <w:spacing w:after="120"/>
      </w:pPr>
      <w:r>
        <w:t xml:space="preserve">Engagement and Solicitation: Personalized outreach campaigns delivered via email, SMS, and video.</w:t>
      </w:r>
    </w:p>
    <w:p>
      <w:pPr>
        <w:pStyle w:val="ListParagraph"/>
        <w:numPr>
          <w:ilvl w:val="0"/>
          <w:numId w:val="1"/>
        </w:numPr>
        <w:spacing w:after="120"/>
      </w:pPr>
      <w:r>
        <w:t xml:space="preserve">Stewardship: Ongoing relationship management to foster loyalty and retention.</w:t>
      </w:r>
    </w:p>
    <w:p>
      <w:pPr>
        <w:spacing w:after="120"/>
      </w:pPr>
      <w:r>
        <w:t xml:space="preserve">Our solution will ensure data security, compliance, and transparency while meeting UTA’s performance metrics, including engaging at least 1,000 donors, achieving a 20% qualification rate, and reducing manual communication efforts by 30%.</w:t>
      </w:r>
    </w:p>
    <w:p>
      <w:pPr>
        <w:spacing w:after="120"/>
      </w:pPr>
      <w:r>
        <w:t xml:space="preserve">---</w:t>
      </w:r>
    </w:p>
    <w:p>
      <w:pPr>
        <w:pStyle w:val="Heading1"/>
        <w:spacing w:before="400" w:after="200"/>
      </w:pPr>
      <w:r>
        <w:t xml:space="preserve">3. Technical Approach &amp; Methodology</w:t>
      </w:r>
    </w:p>
    <w:p>
      <w:pPr>
        <w:spacing w:after="120"/>
      </w:pPr>
      <w:r>
        <w:t xml:space="preserve">CDM Suite’s approach ensures seamless implementation and measurable outcomes through the following methodology:</w:t>
      </w:r>
    </w:p>
    <w:p>
      <w:pPr>
        <w:pStyle w:val="Heading2"/>
        <w:spacing w:before="200" w:after="120"/>
      </w:pPr>
      <w:r>
        <w:t xml:space="preserve">Platform Setup &amp; Hosting</w:t>
      </w:r>
    </w:p>
    <w:p>
      <w:pPr>
        <w:pStyle w:val="ListParagraph"/>
        <w:numPr>
          <w:ilvl w:val="0"/>
          <w:numId w:val="1"/>
        </w:numPr>
        <w:spacing w:after="120"/>
      </w:pPr>
      <w:r>
        <w:t xml:space="preserve">Fully managed, secure cloud-based environment with SOC 2 Type II compliance.</w:t>
      </w:r>
    </w:p>
    <w:p>
      <w:pPr>
        <w:pStyle w:val="ListParagraph"/>
        <w:numPr>
          <w:ilvl w:val="0"/>
          <w:numId w:val="1"/>
        </w:numPr>
        <w:spacing w:after="120"/>
      </w:pPr>
      <w:r>
        <w:t xml:space="preserve">No internal IT resources required; all services are vendor-hosted.</w:t>
      </w:r>
    </w:p>
    <w:p>
      <w:pPr>
        <w:pStyle w:val="Heading2"/>
        <w:spacing w:before="200" w:after="120"/>
      </w:pPr>
      <w:r>
        <w:t xml:space="preserve">Integration</w:t>
      </w:r>
    </w:p>
    <w:p>
      <w:pPr>
        <w:pStyle w:val="ListParagraph"/>
        <w:numPr>
          <w:ilvl w:val="0"/>
          <w:numId w:val="1"/>
        </w:numPr>
        <w:spacing w:after="120"/>
      </w:pPr>
      <w:r>
        <w:t xml:space="preserve">Secure data connection to UTA’s donor database or CRM system.</w:t>
      </w:r>
    </w:p>
    <w:p>
      <w:pPr>
        <w:pStyle w:val="ListParagraph"/>
        <w:numPr>
          <w:ilvl w:val="0"/>
          <w:numId w:val="1"/>
        </w:numPr>
        <w:spacing w:after="120"/>
      </w:pPr>
      <w:r>
        <w:t xml:space="preserve">Support for data exports and ingestion of client-provided content.</w:t>
      </w:r>
    </w:p>
    <w:p>
      <w:pPr>
        <w:pStyle w:val="Heading2"/>
        <w:spacing w:before="200" w:after="120"/>
      </w:pPr>
      <w:r>
        <w:t xml:space="preserve">AI Workflow Implementation</w:t>
      </w:r>
    </w:p>
    <w:p>
      <w:pPr>
        <w:pStyle w:val="ListParagraph"/>
        <w:numPr>
          <w:ilvl w:val="0"/>
          <w:numId w:val="1"/>
        </w:numPr>
        <w:spacing w:after="120"/>
      </w:pPr>
      <w:r>
        <w:t xml:space="preserve">Automated workflows tailored to donor behavior and giving history.</w:t>
      </w:r>
    </w:p>
    <w:p>
      <w:pPr>
        <w:pStyle w:val="ListParagraph"/>
        <w:numPr>
          <w:ilvl w:val="0"/>
          <w:numId w:val="1"/>
        </w:numPr>
        <w:spacing w:after="120"/>
      </w:pPr>
      <w:r>
        <w:t xml:space="preserve">Configurable engagement cadences across multiple communication channels (email, SMS, video).</w:t>
      </w:r>
    </w:p>
    <w:p>
      <w:pPr>
        <w:pStyle w:val="Heading2"/>
        <w:spacing w:before="200" w:after="120"/>
      </w:pPr>
      <w:r>
        <w:t xml:space="preserve">Personalization</w:t>
      </w:r>
    </w:p>
    <w:p>
      <w:pPr>
        <w:pStyle w:val="ListParagraph"/>
        <w:numPr>
          <w:ilvl w:val="0"/>
          <w:numId w:val="1"/>
        </w:numPr>
        <w:spacing w:after="120"/>
      </w:pPr>
      <w:r>
        <w:t xml:space="preserve">Use of UTA-provided templates and donor segmentation for targeted campaigns.</w:t>
      </w:r>
    </w:p>
    <w:p>
      <w:pPr>
        <w:pStyle w:val="ListParagraph"/>
        <w:numPr>
          <w:ilvl w:val="0"/>
          <w:numId w:val="1"/>
        </w:numPr>
        <w:spacing w:after="120"/>
      </w:pPr>
      <w:r>
        <w:t xml:space="preserve">AI-generated communications with clear disclosure of non-human origin.</w:t>
      </w:r>
    </w:p>
    <w:p>
      <w:pPr>
        <w:pStyle w:val="Heading2"/>
        <w:spacing w:before="200" w:after="120"/>
      </w:pPr>
      <w:r>
        <w:t xml:space="preserve">Monitoring &amp; Reporting</w:t>
      </w:r>
    </w:p>
    <w:p>
      <w:pPr>
        <w:pStyle w:val="ListParagraph"/>
        <w:numPr>
          <w:ilvl w:val="0"/>
          <w:numId w:val="1"/>
        </w:numPr>
        <w:spacing w:after="120"/>
      </w:pPr>
      <w:r>
        <w:t xml:space="preserve">Real-time dashboards for tracking outreach, engagement, and conversions.</w:t>
      </w:r>
    </w:p>
    <w:p>
      <w:pPr>
        <w:pStyle w:val="ListParagraph"/>
        <w:numPr>
          <w:ilvl w:val="0"/>
          <w:numId w:val="1"/>
        </w:numPr>
        <w:spacing w:after="120"/>
      </w:pPr>
      <w:r>
        <w:t xml:space="preserve">Monthly performance reports and a comprehensive final project summary.</w:t>
      </w:r>
    </w:p>
    <w:p>
      <w:pPr>
        <w:spacing w:after="120"/>
      </w:pPr>
      <w:r>
        <w:t xml:space="preserve">Our methodology leverages industry-standard tools and techniques to ensure high-quality implementation, operational efficiency, and adherence to all compliance requirements.</w:t>
      </w:r>
    </w:p>
    <w:p>
      <w:pPr>
        <w:spacing w:after="120"/>
      </w:pPr>
      <w:r>
        <w:t xml:space="preserve">---</w:t>
      </w:r>
    </w:p>
    <w:p>
      <w:pPr>
        <w:pStyle w:val="Heading1"/>
        <w:spacing w:before="400" w:after="200"/>
      </w:pPr>
      <w:r>
        <w:t xml:space="preserve">4. Project Timeline &amp; Milestones</w:t>
      </w:r>
    </w:p>
    <w:p>
      <w:pPr>
        <w:spacing w:after="120"/>
      </w:pPr>
      <w:r>
        <w:t xml:space="preserve">The proposed project will be completed within 12 weeks from kickoff. Key milestones include:</w:t>
      </w:r>
    </w:p>
    <w:p>
      <w:pPr>
        <w:spacing w:after="120"/>
      </w:pPr>
      <w:r>
        <w:t xml:space="preserve">| Milestone             | Target Completion | Description                                                                 |</w:t>
      </w:r>
    </w:p>
    <w:p>
      <w:pPr>
        <w:spacing w:after="120"/>
      </w:pPr>
      <w:r>
        <w:t xml:space="preserve">|----------------------------|-----------------------|---------------------------------------------------------------------------------|</w:t>
      </w:r>
    </w:p>
    <w:p>
      <w:pPr>
        <w:spacing w:after="120"/>
      </w:pPr>
      <w:r>
        <w:t xml:space="preserve">| Kickoff Meeting        | Week 1               | Align objectives, define roles, and share content/data.                         |</w:t>
      </w:r>
    </w:p>
    <w:p>
      <w:pPr>
        <w:spacing w:after="120"/>
      </w:pPr>
      <w:r>
        <w:t xml:space="preserve">| Onboarding Complete    | Week 3               | Systems configured, data uploaded, and messaging approved.                      |</w:t>
      </w:r>
    </w:p>
    <w:p>
      <w:pPr>
        <w:spacing w:after="120"/>
      </w:pPr>
      <w:r>
        <w:t xml:space="preserve">| Engagement Launch      | Week 4               | Initial outreach campaigns to donor list.                                       |</w:t>
      </w:r>
    </w:p>
    <w:p>
      <w:pPr>
        <w:spacing w:after="120"/>
      </w:pPr>
      <w:r>
        <w:t xml:space="preserve">| Midpoint Review        | Week 8               | Review performance metrics and optimize workflows.                              |</w:t>
      </w:r>
    </w:p>
    <w:p>
      <w:pPr>
        <w:spacing w:after="120"/>
      </w:pPr>
      <w:r>
        <w:t xml:space="preserve">| Final Report           | Week 12              | Deliver analysis of outcomes, ROI, and recommendations.                         |</w:t>
      </w:r>
    </w:p>
    <w:p>
      <w:pPr>
        <w:spacing w:after="120"/>
      </w:pPr>
      <w:r>
        <w:t xml:space="preserve">This timeline ensures that all deliverables are met efficiently while maintaining flexibility for adjustments based on UTA’s feedback.</w:t>
      </w:r>
    </w:p>
    <w:p>
      <w:pPr>
        <w:spacing w:after="120"/>
      </w:pPr>
      <w:r>
        <w:t xml:space="preserve">---</w:t>
      </w:r>
    </w:p>
    <w:p>
      <w:pPr>
        <w:pStyle w:val="Heading1"/>
        <w:spacing w:before="400" w:after="200"/>
      </w:pPr>
      <w:r>
        <w:t xml:space="preserve">5. Team Qualifications &amp; Experience</w:t>
      </w:r>
    </w:p>
    <w:p>
      <w:pPr>
        <w:spacing w:after="120"/>
      </w:pPr>
      <w:r>
        <w:t xml:space="preserve">Our team brings a wealth of experience from managing complex, high-stakes projects across public and private sectors. Highlights of our expertise include:</w:t>
      </w:r>
    </w:p>
    <w:p>
      <w:pPr>
        <w:pStyle w:val="ListParagraph"/>
        <w:numPr>
          <w:ilvl w:val="0"/>
          <w:numId w:val="1"/>
        </w:numPr>
        <w:spacing w:after="120"/>
      </w:pPr>
      <w:r>
        <w:t xml:space="preserve">Infrastructure Program Experience: Leadership experience in managing multi-billion-dollar infrastructure projects, including $5.1B and $4.2B terminal development programs.</w:t>
      </w:r>
    </w:p>
    <w:p>
      <w:pPr>
        <w:pStyle w:val="ListParagraph"/>
        <w:numPr>
          <w:ilvl w:val="0"/>
          <w:numId w:val="1"/>
        </w:numPr>
        <w:spacing w:after="120"/>
      </w:pPr>
      <w:r>
        <w:t xml:space="preserve">Project Controls &amp; Scheduling: Expertise in Critical Path Method (CPM) scheduling, Primavera P6, and forensic analysis.</w:t>
      </w:r>
    </w:p>
    <w:p>
      <w:pPr>
        <w:pStyle w:val="ListParagraph"/>
        <w:numPr>
          <w:ilvl w:val="0"/>
          <w:numId w:val="1"/>
        </w:numPr>
        <w:spacing w:after="120"/>
      </w:pPr>
      <w:r>
        <w:t xml:space="preserve">Technical Certifications: Oracle Certified Primavera Specialist, BIM certification, and GDPR compliance expertise.</w:t>
      </w:r>
    </w:p>
    <w:p>
      <w:pPr>
        <w:pStyle w:val="ListParagraph"/>
        <w:numPr>
          <w:ilvl w:val="0"/>
          <w:numId w:val="1"/>
        </w:numPr>
        <w:spacing w:after="120"/>
      </w:pPr>
      <w:r>
        <w:t xml:space="preserve">Cross-Functional Collaboration: Proven ability to unify diverse stakeholders and deliver results in mission-critical environments.</w:t>
      </w:r>
    </w:p>
    <w:p>
      <w:pPr>
        <w:pStyle w:val="ListParagraph"/>
        <w:numPr>
          <w:ilvl w:val="0"/>
          <w:numId w:val="1"/>
        </w:numPr>
        <w:spacing w:after="120"/>
      </w:pPr>
      <w:r>
        <w:t xml:space="preserve">Digital Transformation: Successful delivery of web development, branding, and automation projects for educational institutions and nonprofits.</w:t>
      </w:r>
    </w:p>
    <w:p>
      <w:pPr>
        <w:spacing w:after="120"/>
      </w:pPr>
      <w:r>
        <w:t xml:space="preserve">This extensive background ensures that we have the skills and knowledge required to deliver UTA’s donor engagement solution with excellence.</w:t>
      </w:r>
    </w:p>
    <w:p>
      <w:pPr>
        <w:spacing w:after="120"/>
      </w:pPr>
      <w:r>
        <w:t xml:space="preserve">---</w:t>
      </w:r>
    </w:p>
    <w:p>
      <w:pPr>
        <w:pStyle w:val="Heading1"/>
        <w:spacing w:before="400" w:after="200"/>
      </w:pPr>
      <w:r>
        <w:t xml:space="preserve">6. Technology Stack &amp; Tools</w:t>
      </w:r>
    </w:p>
    <w:p>
      <w:pPr>
        <w:spacing w:after="120"/>
      </w:pPr>
      <w:r>
        <w:t xml:space="preserve">CDM Suite’s solution is built on a modern, secure, and scalable technology stack:</w:t>
      </w:r>
    </w:p>
    <w:p>
      <w:pPr>
        <w:pStyle w:val="ListParagraph"/>
        <w:numPr>
          <w:ilvl w:val="0"/>
          <w:numId w:val="1"/>
        </w:numPr>
        <w:spacing w:after="120"/>
      </w:pPr>
      <w:r>
        <w:t xml:space="preserve">Frontend Development: React, Next.js, TypeScript, Tailwind CSS.</w:t>
      </w:r>
    </w:p>
    <w:p>
      <w:pPr>
        <w:pStyle w:val="ListParagraph"/>
        <w:numPr>
          <w:ilvl w:val="0"/>
          <w:numId w:val="1"/>
        </w:numPr>
        <w:spacing w:after="120"/>
      </w:pPr>
      <w:r>
        <w:t xml:space="preserve">Backend Development: Node.js, Python.</w:t>
      </w:r>
    </w:p>
    <w:p>
      <w:pPr>
        <w:pStyle w:val="ListParagraph"/>
        <w:numPr>
          <w:ilvl w:val="0"/>
          <w:numId w:val="1"/>
        </w:numPr>
        <w:spacing w:after="120"/>
      </w:pPr>
      <w:r>
        <w:t xml:space="preserve">Databases: PostgreSQL, MongoDB.</w:t>
      </w:r>
    </w:p>
    <w:p>
      <w:pPr>
        <w:pStyle w:val="ListParagraph"/>
        <w:numPr>
          <w:ilvl w:val="0"/>
          <w:numId w:val="1"/>
        </w:numPr>
        <w:spacing w:after="120"/>
      </w:pPr>
      <w:r>
        <w:t xml:space="preserve">Cloud Hosting: AWS, Vercel.</w:t>
      </w:r>
    </w:p>
    <w:p>
      <w:pPr>
        <w:pStyle w:val="ListParagraph"/>
        <w:numPr>
          <w:ilvl w:val="0"/>
          <w:numId w:val="1"/>
        </w:numPr>
        <w:spacing w:after="120"/>
      </w:pPr>
      <w:r>
        <w:t xml:space="preserve">Version Control: Git, GitHub.</w:t>
      </w:r>
    </w:p>
    <w:p>
      <w:pPr>
        <w:spacing w:after="120"/>
      </w:pPr>
      <w:r>
        <w:t xml:space="preserve">These technologies enable high-performance, user-friendly solutions while ensuring robust security and maintainability.</w:t>
      </w:r>
    </w:p>
    <w:p>
      <w:pPr>
        <w:spacing w:after="120"/>
      </w:pPr>
      <w:r>
        <w:t xml:space="preserve">---</w:t>
      </w:r>
    </w:p>
    <w:p>
      <w:pPr>
        <w:pStyle w:val="Heading1"/>
        <w:spacing w:before="400" w:after="200"/>
      </w:pPr>
      <w:r>
        <w:t xml:space="preserve">7. Quality Assurance &amp; Testing</w:t>
      </w:r>
    </w:p>
    <w:p>
      <w:pPr>
        <w:spacing w:after="120"/>
      </w:pPr>
      <w:r>
        <w:t xml:space="preserve">CDM Suite employs rigorous quality assurance processes to ensure the success of the project:</w:t>
      </w:r>
    </w:p>
    <w:p>
      <w:pPr>
        <w:pStyle w:val="ListParagraph"/>
        <w:numPr>
          <w:ilvl w:val="0"/>
          <w:numId w:val="1"/>
        </w:numPr>
        <w:spacing w:after="120"/>
      </w:pPr>
      <w:r>
        <w:t xml:space="preserve">Testing Environment: A sandbox environment will be provided for testing before full deployment.</w:t>
      </w:r>
    </w:p>
    <w:p>
      <w:pPr>
        <w:pStyle w:val="ListParagraph"/>
        <w:numPr>
          <w:ilvl w:val="0"/>
          <w:numId w:val="1"/>
        </w:numPr>
        <w:spacing w:after="120"/>
      </w:pPr>
      <w:r>
        <w:t xml:space="preserve">Message Review: All automated communications will be reviewed and approved by UTA’s DAR Team prior to deployment.</w:t>
      </w:r>
    </w:p>
    <w:p>
      <w:pPr>
        <w:pStyle w:val="ListParagraph"/>
        <w:numPr>
          <w:ilvl w:val="0"/>
          <w:numId w:val="1"/>
        </w:numPr>
        <w:spacing w:after="120"/>
      </w:pPr>
      <w:r>
        <w:t xml:space="preserve">Compliance Verification: Regular audits to ensure adherence to SOC 2, GDPR, and CCPA standards.</w:t>
      </w:r>
    </w:p>
    <w:p>
      <w:pPr>
        <w:pStyle w:val="ListParagraph"/>
        <w:numPr>
          <w:ilvl w:val="0"/>
          <w:numId w:val="1"/>
        </w:numPr>
        <w:spacing w:after="120"/>
      </w:pPr>
      <w:r>
        <w:t xml:space="preserve">Performance Monitoring: Continuous tracking of engagement metrics to optimize workflows.</w:t>
      </w:r>
    </w:p>
    <w:p>
      <w:pPr>
        <w:spacing w:after="120"/>
      </w:pPr>
      <w:r>
        <w:t xml:space="preserve">These measures guarantee a reliable and effective solution that meets UTA’s expectations.</w:t>
      </w:r>
    </w:p>
    <w:p>
      <w:pPr>
        <w:spacing w:after="120"/>
      </w:pPr>
      <w:r>
        <w:t xml:space="preserve">---</w:t>
      </w:r>
    </w:p>
    <w:p>
      <w:pPr>
        <w:pStyle w:val="Heading1"/>
        <w:spacing w:before="400" w:after="200"/>
      </w:pPr>
      <w:r>
        <w:t xml:space="preserve">8. Risk Management</w:t>
      </w:r>
    </w:p>
    <w:p>
      <w:pPr>
        <w:spacing w:after="120"/>
      </w:pPr>
      <w:r>
        <w:t xml:space="preserve">CDM Suite proactively identifies and mitigates potential risks to ensure project success:</w:t>
      </w:r>
    </w:p>
    <w:p>
      <w:pPr>
        <w:pStyle w:val="ListParagraph"/>
        <w:numPr>
          <w:ilvl w:val="0"/>
          <w:numId w:val="1"/>
        </w:numPr>
        <w:spacing w:after="120"/>
      </w:pPr>
      <w:r>
        <w:t xml:space="preserve">Data Security: Adherence to strict security protocols, including role-based access and encryption.</w:t>
      </w:r>
    </w:p>
    <w:p>
      <w:pPr>
        <w:pStyle w:val="ListParagraph"/>
        <w:numPr>
          <w:ilvl w:val="0"/>
          <w:numId w:val="1"/>
        </w:numPr>
        <w:spacing w:after="120"/>
      </w:pPr>
      <w:r>
        <w:t xml:space="preserve">Workflow Optimization: Regular reviews to address any underperforming campaigns.</w:t>
      </w:r>
    </w:p>
    <w:p>
      <w:pPr>
        <w:pStyle w:val="ListParagraph"/>
        <w:numPr>
          <w:ilvl w:val="0"/>
          <w:numId w:val="1"/>
        </w:numPr>
        <w:spacing w:after="120"/>
      </w:pPr>
      <w:r>
        <w:t xml:space="preserve">Stakeholder Coordination: Clear communication channels to resolve issues promptly.</w:t>
      </w:r>
    </w:p>
    <w:p>
      <w:pPr>
        <w:spacing w:after="120"/>
      </w:pPr>
      <w:r>
        <w:t xml:space="preserve">Our risk management framework ensures that potential challenges are addressed before they impact project outcomes.</w:t>
      </w:r>
    </w:p>
    <w:p>
      <w:pPr>
        <w:spacing w:after="120"/>
      </w:pPr>
      <w:r>
        <w:t xml:space="preserve">---</w:t>
      </w:r>
    </w:p>
    <w:p>
      <w:pPr>
        <w:pStyle w:val="Heading1"/>
        <w:spacing w:before="400" w:after="200"/>
      </w:pPr>
      <w:r>
        <w:t xml:space="preserve">9. Post-Launch Support &amp; Maintenance</w:t>
      </w:r>
    </w:p>
    <w:p>
      <w:pPr>
        <w:spacing w:after="120"/>
      </w:pPr>
      <w:r>
        <w:t xml:space="preserve">CDM Suite is committed to providing ongoing support to ensure the long-term success of the platform:</w:t>
      </w:r>
    </w:p>
    <w:p>
      <w:pPr>
        <w:pStyle w:val="ListParagraph"/>
        <w:numPr>
          <w:ilvl w:val="0"/>
          <w:numId w:val="1"/>
        </w:numPr>
        <w:spacing w:after="120"/>
      </w:pPr>
      <w:r>
        <w:t xml:space="preserve">Dedicated Project Manager: A single point of contact throughout the project lifecycle.</w:t>
      </w:r>
    </w:p>
    <w:p>
      <w:pPr>
        <w:pStyle w:val="ListParagraph"/>
        <w:numPr>
          <w:ilvl w:val="0"/>
          <w:numId w:val="1"/>
        </w:numPr>
        <w:spacing w:after="120"/>
      </w:pPr>
      <w:r>
        <w:t xml:space="preserve">Helpdesk Support: Assistance with technical issues and platform updates.</w:t>
      </w:r>
    </w:p>
    <w:p>
      <w:pPr>
        <w:pStyle w:val="ListParagraph"/>
        <w:numPr>
          <w:ilvl w:val="0"/>
          <w:numId w:val="1"/>
        </w:numPr>
        <w:spacing w:after="120"/>
      </w:pPr>
      <w:r>
        <w:t xml:space="preserve">Maintenance &amp; Compliance Updates: Regular updates to ensure continued adherence to security and compliance standards.</w:t>
      </w:r>
    </w:p>
    <w:p>
      <w:pPr>
        <w:spacing w:after="120"/>
      </w:pPr>
      <w:r>
        <w:t xml:space="preserve">We prioritize client satisfaction and are available to address any concerns promptly.</w:t>
      </w:r>
    </w:p>
    <w:p>
      <w:pPr>
        <w:spacing w:after="120"/>
      </w:pPr>
      <w:r>
        <w:t xml:space="preserve">---</w:t>
      </w:r>
    </w:p>
    <w:p>
      <w:pPr>
        <w:pStyle w:val="Heading1"/>
        <w:spacing w:before="400" w:after="200"/>
      </w:pPr>
      <w:r>
        <w:t xml:space="preserve">10. Why Choose CDM Suite</w:t>
      </w:r>
    </w:p>
    <w:p>
      <w:pPr>
        <w:spacing w:after="120"/>
      </w:pPr>
      <w:r>
        <w:t xml:space="preserve">CDM Suite offers a unique combination of expertise, technology, and commitment to client success:</w:t>
      </w:r>
    </w:p>
    <w:p>
      <w:pPr>
        <w:pStyle w:val="ListParagraph"/>
        <w:numPr>
          <w:ilvl w:val="0"/>
          <w:numId w:val="1"/>
        </w:numPr>
        <w:spacing w:after="120"/>
      </w:pPr>
      <w:r>
        <w:t xml:space="preserve">Proven Track Record: Experience delivering impactful digital solutions across sectors.</w:t>
      </w:r>
    </w:p>
    <w:p>
      <w:pPr>
        <w:pStyle w:val="ListParagraph"/>
        <w:numPr>
          <w:ilvl w:val="0"/>
          <w:numId w:val="1"/>
        </w:numPr>
        <w:spacing w:after="120"/>
      </w:pPr>
      <w:r>
        <w:t xml:space="preserve">Compliance Excellence: Full adherence to SOC 2, GDPR, and CCPA standards.</w:t>
      </w:r>
    </w:p>
    <w:p>
      <w:pPr>
        <w:pStyle w:val="ListParagraph"/>
        <w:numPr>
          <w:ilvl w:val="0"/>
          <w:numId w:val="1"/>
        </w:numPr>
        <w:spacing w:after="120"/>
      </w:pPr>
      <w:r>
        <w:t xml:space="preserve">Data-Driven Results: Real-time analytics and reporting for informed decision-making.</w:t>
      </w:r>
    </w:p>
    <w:p>
      <w:pPr>
        <w:pStyle w:val="ListParagraph"/>
        <w:numPr>
          <w:ilvl w:val="0"/>
          <w:numId w:val="1"/>
        </w:numPr>
        <w:spacing w:after="120"/>
      </w:pPr>
      <w:r>
        <w:t xml:space="preserve">Ease of Use: Minimal onboarding time with seamless integration into existing workflows.</w:t>
      </w:r>
    </w:p>
    <w:p>
      <w:pPr>
        <w:pStyle w:val="ListParagraph"/>
        <w:numPr>
          <w:ilvl w:val="0"/>
          <w:numId w:val="1"/>
        </w:numPr>
        <w:spacing w:after="120"/>
      </w:pPr>
      <w:r>
        <w:t xml:space="preserve">Focus on Impact: Technology designed to strengthen donor relationships and maximize ROI.</w:t>
      </w:r>
    </w:p>
    <w:p>
      <w:pPr>
        <w:spacing w:after="120"/>
      </w:pPr>
      <w:r>
        <w:t xml:space="preserve">We are excited about the opportunity to partner with UTA to achieve transformative results in donor engagement.</w:t>
      </w:r>
    </w:p>
    <w:p>
      <w:pPr>
        <w:spacing w:after="120"/>
      </w:pPr>
      <w:r>
        <w:t xml:space="preserve">---</w:t>
      </w:r>
    </w:p>
    <w:p>
      <w:pPr>
        <w:spacing w:after="120"/>
      </w:pPr>
      <w:r>
        <w:t xml:space="preserve">Contact Information:</w:t>
      </w:r>
    </w:p>
    <w:p>
      <w:pPr>
        <w:spacing w:after="120"/>
      </w:pPr>
      <w:r>
        <w:t xml:space="preserve">For questions or further discussion, please contact:</w:t>
      </w:r>
    </w:p>
    <w:p>
      <w:pPr>
        <w:spacing w:after="120"/>
      </w:pPr>
      <w:r>
        <w:t xml:space="preserve">CDM Suite LLC</w:t>
      </w:r>
    </w:p>
    <w:p>
      <w:pPr>
        <w:spacing w:after="120"/>
      </w:pPr>
      <w:r>
        <w:t xml:space="preserve">Website: [https://cdmsuite.com](https://cdmsuite.com)</w:t>
      </w:r>
    </w:p>
    <w:p>
      <w:pPr>
        <w:spacing w:after="120"/>
      </w:pPr>
      <w:r>
        <w:t xml:space="preserve">Email: support@cdmsuite.com</w:t>
      </w:r>
    </w:p>
    <w:p>
      <w:pPr>
        <w:spacing w:after="120"/>
      </w:pPr>
      <w:r>
        <w:t xml:space="preserve">We look forward to the opportunity to collaborate on this important project.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2025-11-11T19:40:10.090Z</dcterms:created>
  <dcterms:modified xsi:type="dcterms:W3CDTF">2025-11-11T19:40:10.090Z</dcterms:modified>
</cp:coreProperties>
</file>

<file path=docProps/custom.xml><?xml version="1.0" encoding="utf-8"?>
<Properties xmlns="http://schemas.openxmlformats.org/officeDocument/2006/custom-properties" xmlns:vt="http://schemas.openxmlformats.org/officeDocument/2006/docPropsVTypes"/>
</file>