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Comprehensive HR Knowledge Pack (2025–2035)</w:t>
      </w:r>
    </w:p>
    <w:p>
      <w:r>
        <w:t>Machine-Readable · MBA-Level · RAG-Optimized · Chicago Citations</w:t>
      </w:r>
    </w:p>
    <w:p/>
    <w:p>
      <w:r>
        <w:t>SECTION 1 — Modern Workforce Psychology &amp; Sociology (2025)</w:t>
      </w:r>
    </w:p>
    <w:p>
      <w:r>
        <w:t>- Flexibility, autonomy, psychological safety.</w:t>
      </w:r>
    </w:p>
    <w:p>
      <w:r>
        <w:t>- Hybrid work norm; majority employee preference.</w:t>
      </w:r>
    </w:p>
    <w:p>
      <w:r>
        <w:t>- Motivation trends: meaning, transparency, mental health.</w:t>
      </w:r>
    </w:p>
    <w:p/>
    <w:p>
      <w:r>
        <w:t>SECTION 2 — Employment Structures</w:t>
      </w:r>
    </w:p>
    <w:p>
      <w:r>
        <w:t>Salary, Hourly, Commission, Union, Non‑Union.</w:t>
      </w:r>
    </w:p>
    <w:p/>
    <w:p>
      <w:r>
        <w:t>SECTION 3 — Organizational Behavior Frameworks</w:t>
      </w:r>
    </w:p>
    <w:p>
      <w:r>
        <w:t>Psychological contract; leadership norms; async-first culture.</w:t>
      </w:r>
    </w:p>
    <w:p/>
    <w:p>
      <w:r>
        <w:t>SECTION 4 — Interview Playbook</w:t>
      </w:r>
    </w:p>
    <w:p>
      <w:r>
        <w:t>Internal vs external frameworks; behavioral, technical, situational, values‑based.</w:t>
      </w:r>
    </w:p>
    <w:p/>
    <w:p>
      <w:r>
        <w:t>SECTION 5 — Reviews, Promotions &amp; Merit Cycles</w:t>
      </w:r>
    </w:p>
    <w:p>
      <w:r>
        <w:t>Competency models; next‑level readiness; KPI alignment.</w:t>
      </w:r>
    </w:p>
    <w:p/>
    <w:p>
      <w:r>
        <w:t>SECTION 6 — Compensation &amp; Market Value (2025)</w:t>
      </w:r>
    </w:p>
    <w:p>
      <w:r>
        <w:t>Benchmarking; transparency laws; geographic compression.</w:t>
      </w:r>
    </w:p>
    <w:p/>
    <w:p>
      <w:r>
        <w:t>SECTION 7 — HR Technology &amp; AI Modernization</w:t>
      </w:r>
    </w:p>
    <w:p>
      <w:r>
        <w:t>Skills-first hiring; ATS automation; bias mitigation; agentic HR systems.</w:t>
      </w:r>
    </w:p>
    <w:p/>
    <w:p>
      <w:r>
        <w:t>SECTION 8 — Hiring History (1930–2025)</w:t>
      </w:r>
    </w:p>
    <w:p>
      <w:r>
        <w:t>Informal → structured → digital → AI-native hiring.</w:t>
      </w:r>
    </w:p>
    <w:p/>
    <w:p>
      <w:r>
        <w:t>SECTION 9 — Workforce Projections (2026–2035)</w:t>
      </w:r>
    </w:p>
    <w:p>
      <w:r>
        <w:t>AI-native jobs; compressed hiring cycles; skills‑graph organizations.</w:t>
      </w:r>
    </w:p>
    <w:p/>
    <w:p>
      <w:r>
        <w:t>SECTION 10 — Enterprise Interview Question Library</w:t>
      </w:r>
    </w:p>
    <w:p>
      <w:r>
        <w:t>Leadership, execution, culture, communication.</w:t>
      </w:r>
    </w:p>
    <w:p/>
    <w:p>
      <w:r>
        <w:t>SECTION 11 — RAG Metadata Guidelines</w:t>
      </w:r>
    </w:p>
    <w:p>
      <w:r>
        <w:t>Chunking, headings, machine-optimal formatting.</w:t>
      </w:r>
    </w:p>
    <w:p/>
    <w:p>
      <w:r>
        <w:t>Citations (Short Form)</w:t>
      </w:r>
    </w:p>
    <w:p>
      <w:r>
        <w:t xml:space="preserve">[1] SHRM 2025  </w:t>
      </w:r>
    </w:p>
    <w:p>
      <w:r>
        <w:t xml:space="preserve">[2] Gallup 2024  </w:t>
      </w:r>
    </w:p>
    <w:p>
      <w:r>
        <w:t xml:space="preserve">[3] BLS 2025  </w:t>
      </w:r>
    </w:p>
    <w:p>
      <w:r>
        <w:t xml:space="preserve">[4] McKinsey 2025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