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p>
      <w:r>
        <w:pict>
          <v:rect style="width:0;height:1.5pt" o:hralign="center" o:hrstd="t" o:hr="t"/>
        </w:pict>
      </w:r>
    </w:p>
    <w:p>
      <w:pPr>
        <w:pStyle w:val="FirstParagraph"/>
      </w:pPr>
      <w:r>
        <w:t xml:space="preserve">title: "Dimensional Lumber: Sizes, Conversions &amp; Rules of Thumb"</w:t>
      </w:r>
      <w:r>
        <w:t xml:space="preserve"> </w:t>
      </w:r>
      <w:r>
        <w:t xml:space="preserve">version: "1.0"</w:t>
      </w:r>
      <w:r>
        <w:t xml:space="preserve"> </w:t>
      </w:r>
      <w:r>
        <w:t xml:space="preserve">topic_key: "dimensional_lumber"</w:t>
      </w:r>
      <w:r>
        <w:t xml:space="preserve"> </w:t>
      </w:r>
      <w:r>
        <w:t xml:space="preserve">date: "2025-10-09"</w:t>
      </w:r>
    </w:p>
    <w:p>
      <w:r>
        <w:pict>
          <v:rect style="width:0;height:1.5pt" o:hralign="center" o:hrstd="t" o:hr="t"/>
        </w:pict>
      </w:r>
    </w:p>
    <w:bookmarkStart w:id="21" w:name="definitions"/>
    <w:p>
      <w:pPr>
        <w:pStyle w:val="Heading2"/>
      </w:pPr>
      <w:r>
        <w:t xml:space="preserve">Definitions</w:t>
      </w:r>
    </w:p>
    <w:p>
      <w:pPr>
        <w:pStyle w:val="FirstParagraph"/>
      </w:pPr>
      <w:r>
        <w:t xml:space="preserve">BFS (Builders FirstSource) =</w:t>
      </w:r>
      <w:r>
        <w:t xml:space="preserve"> </w:t>
      </w:r>
      <w:r>
        <w:rPr>
          <w:b/>
          <w:bCs/>
        </w:rPr>
        <w:t xml:space="preserve">BLDR.com</w:t>
      </w:r>
      <w:r>
        <w:t xml:space="preserve">, NYSE: BLDR – a building‑products, components and distribution company.</w:t>
      </w:r>
    </w:p>
    <w:bookmarkEnd w:id="21"/>
    <w:bookmarkStart w:id="23" w:name="introduction"/>
    <w:p>
      <w:pPr>
        <w:pStyle w:val="Heading2"/>
      </w:pPr>
      <w:r>
        <w:t xml:space="preserve">Introduction</w:t>
      </w:r>
    </w:p>
    <w:p>
      <w:pPr>
        <w:pStyle w:val="FirstParagraph"/>
      </w:pPr>
      <w:r>
        <w:t xml:space="preserve">Dimensional lumber refers to</w:t>
      </w:r>
      <w:r>
        <w:t xml:space="preserve"> </w:t>
      </w:r>
      <w:r>
        <w:rPr>
          <w:b/>
          <w:bCs/>
        </w:rPr>
        <w:t xml:space="preserve">softwood boards and timbers that are cut to standardized cross‑section dimensions</w:t>
      </w:r>
      <w:r>
        <w:t xml:space="preserve">. These boards are used extensively in residential and light‑commercial construction for framing walls, floors, roofs and decks. Unlike rough‑sawn lumber, dimensional lumber is planed and surfaced on four sides, so it is ready for immediate use. Because lumber is sawn oversize to account for shrinkage and planing, there is a</w:t>
      </w:r>
      <w:r>
        <w:t xml:space="preserve"> </w:t>
      </w:r>
      <w:r>
        <w:rPr>
          <w:b/>
          <w:bCs/>
        </w:rPr>
        <w:t xml:space="preserve">difference between the name of a board (its</w:t>
      </w:r>
      <w:r>
        <w:rPr>
          <w:b/>
          <w:bCs/>
        </w:rPr>
        <w:t xml:space="preserve"> </w:t>
      </w:r>
      <w:r>
        <w:rPr>
          <w:b/>
          <w:bCs/>
          <w:i/>
          <w:iCs/>
        </w:rPr>
        <w:t xml:space="preserve">nominal</w:t>
      </w:r>
      <w:r>
        <w:rPr>
          <w:b/>
          <w:bCs/>
        </w:rPr>
        <w:t xml:space="preserve"> </w:t>
      </w:r>
      <w:r>
        <w:rPr>
          <w:b/>
          <w:bCs/>
        </w:rPr>
        <w:t xml:space="preserve">size) and its</w:t>
      </w:r>
      <w:r>
        <w:rPr>
          <w:b/>
          <w:bCs/>
        </w:rPr>
        <w:t xml:space="preserve"> </w:t>
      </w:r>
      <w:r>
        <w:rPr>
          <w:b/>
          <w:bCs/>
          <w:i/>
          <w:iCs/>
        </w:rPr>
        <w:t xml:space="preserve">actual</w:t>
      </w:r>
      <w:r>
        <w:rPr>
          <w:b/>
          <w:bCs/>
        </w:rPr>
        <w:t xml:space="preserve"> </w:t>
      </w:r>
      <w:r>
        <w:rPr>
          <w:b/>
          <w:bCs/>
        </w:rPr>
        <w:t xml:space="preserve">dimensions</w:t>
      </w:r>
      <w:r>
        <w:t xml:space="preserve">. For example, a board sold as a “2×4” started life 2 inches thick and 4 inches wide but after drying and planing it typically measures about</w:t>
      </w:r>
      <w:r>
        <w:t xml:space="preserve"> </w:t>
      </w:r>
      <w:r>
        <w:rPr>
          <w:b/>
          <w:bCs/>
        </w:rPr>
        <w:t xml:space="preserve">1½ inches by 3½ inches</w:t>
      </w:r>
      <w:hyperlink r:id="rId22">
        <w:r>
          <w:rPr>
            <w:rStyle w:val="Hyperlink"/>
          </w:rPr>
          <w:t xml:space="preserve">[1]</w:t>
        </w:r>
      </w:hyperlink>
      <w:r>
        <w:t xml:space="preserve">. Understanding nominal vs. actual dimensions and how to convert between linear footage, board‑feet, thousand board‑feet (MBF) and thousand square‑feet (MSF) helps builders estimate material quantities and cost.</w:t>
      </w:r>
    </w:p>
    <w:bookmarkEnd w:id="23"/>
    <w:bookmarkStart w:id="37" w:name="Xb9d5b307580400316f424ef6ac2687f70ef620e"/>
    <w:p>
      <w:pPr>
        <w:pStyle w:val="Heading2"/>
      </w:pPr>
      <w:r>
        <w:t xml:space="preserve">Common Nominal vs Actual Dimensions (2×4, 2×6, etc.)</w:t>
      </w:r>
    </w:p>
    <w:bookmarkStart w:id="28" w:name="nominal-and-actual-sizing"/>
    <w:p>
      <w:pPr>
        <w:pStyle w:val="Heading3"/>
      </w:pPr>
      <w:r>
        <w:t xml:space="preserve">Nominal and actual sizing</w:t>
      </w:r>
    </w:p>
    <w:p>
      <w:pPr>
        <w:pStyle w:val="FirstParagraph"/>
      </w:pPr>
      <w:r>
        <w:t xml:space="preserve">Lumber is described by</w:t>
      </w:r>
      <w:r>
        <w:t xml:space="preserve"> </w:t>
      </w:r>
      <w:r>
        <w:rPr>
          <w:b/>
          <w:bCs/>
        </w:rPr>
        <w:t xml:space="preserve">nominal sizes</w:t>
      </w:r>
      <w:r>
        <w:t xml:space="preserve"> </w:t>
      </w:r>
      <w:r>
        <w:t xml:space="preserve">(convenient names such as “2×4” or “2×10”) and by</w:t>
      </w:r>
      <w:r>
        <w:t xml:space="preserve"> </w:t>
      </w:r>
      <w:r>
        <w:rPr>
          <w:b/>
          <w:bCs/>
        </w:rPr>
        <w:t xml:space="preserve">actual sizes</w:t>
      </w:r>
      <w:r>
        <w:t xml:space="preserve"> </w:t>
      </w:r>
      <w:r>
        <w:t xml:space="preserve">(the finished dimensions after shrinkage and planing). The Kreg Tool Academy explains that nominal sizes are based on the rough‑sawn board before drying, while the</w:t>
      </w:r>
      <w:r>
        <w:t xml:space="preserve"> </w:t>
      </w:r>
      <w:r>
        <w:rPr>
          <w:b/>
          <w:bCs/>
        </w:rPr>
        <w:t xml:space="preserve">actual size refers to wood that has been planed and trimmed to its final dimensions</w:t>
      </w:r>
      <w:hyperlink r:id="rId24">
        <w:r>
          <w:rPr>
            <w:rStyle w:val="Hyperlink"/>
          </w:rPr>
          <w:t xml:space="preserve">[2]</w:t>
        </w:r>
      </w:hyperlink>
      <w:r>
        <w:t xml:space="preserve">. The difference dates back to early lumber production: boards were cut oversized to allow for shrinkage and were then planed smooth, resulting in final dimensions slightly smaller than nominal</w:t>
      </w:r>
      <w:hyperlink r:id="rId25">
        <w:r>
          <w:rPr>
            <w:rStyle w:val="Hyperlink"/>
          </w:rPr>
          <w:t xml:space="preserve">[3]</w:t>
        </w:r>
      </w:hyperlink>
      <w:r>
        <w:t xml:space="preserve">. Despite the size change, nominal names became industry standard because they allow consistent ordering</w:t>
      </w:r>
      <w:hyperlink r:id="rId26">
        <w:r>
          <w:rPr>
            <w:rStyle w:val="Hyperlink"/>
          </w:rPr>
          <w:t xml:space="preserve">[4]</w:t>
        </w:r>
      </w:hyperlink>
      <w:r>
        <w:t xml:space="preserve">. Rough‑cut boards may measure closer to their nominal size</w:t>
      </w:r>
      <w:hyperlink r:id="rId27">
        <w:r>
          <w:rPr>
            <w:rStyle w:val="Hyperlink"/>
          </w:rPr>
          <w:t xml:space="preserve">[5]</w:t>
        </w:r>
      </w:hyperlink>
      <w:r>
        <w:t xml:space="preserve">.</w:t>
      </w:r>
    </w:p>
    <w:bookmarkEnd w:id="28"/>
    <w:bookmarkStart w:id="31" w:name="standard-lengths"/>
    <w:p>
      <w:pPr>
        <w:pStyle w:val="Heading3"/>
      </w:pPr>
      <w:r>
        <w:t xml:space="preserve">Standard lengths</w:t>
      </w:r>
    </w:p>
    <w:p>
      <w:pPr>
        <w:pStyle w:val="FirstParagraph"/>
      </w:pPr>
      <w:r>
        <w:t xml:space="preserve">Standard dimensional lumber lengths in North America range from</w:t>
      </w:r>
      <w:r>
        <w:t xml:space="preserve"> </w:t>
      </w:r>
      <w:r>
        <w:rPr>
          <w:b/>
          <w:bCs/>
        </w:rPr>
        <w:t xml:space="preserve">6 ft to 20 ft in two‑foot increments</w:t>
      </w:r>
      <w:r>
        <w:t xml:space="preserve">, with longer lengths (up to 24 ft) sometimes available</w:t>
      </w:r>
      <w:hyperlink r:id="rId29">
        <w:r>
          <w:rPr>
            <w:rStyle w:val="Hyperlink"/>
          </w:rPr>
          <w:t xml:space="preserve">[6]</w:t>
        </w:r>
      </w:hyperlink>
      <w:r>
        <w:t xml:space="preserve">. By code, the actual length must be at least equal to the nominal length and can be up to 3 inches longer</w:t>
      </w:r>
      <w:hyperlink r:id="rId30">
        <w:r>
          <w:rPr>
            <w:rStyle w:val="Hyperlink"/>
          </w:rPr>
          <w:t xml:space="preserve">[7]</w:t>
        </w:r>
      </w:hyperlink>
      <w:r>
        <w:t xml:space="preserve">.</w:t>
      </w:r>
    </w:p>
    <w:bookmarkEnd w:id="31"/>
    <w:bookmarkStart w:id="34" w:name="common-dimensional-sizes"/>
    <w:p>
      <w:pPr>
        <w:pStyle w:val="Heading3"/>
      </w:pPr>
      <w:r>
        <w:t xml:space="preserve">Common dimensional sizes</w:t>
      </w:r>
    </w:p>
    <w:p>
      <w:pPr>
        <w:pStyle w:val="FirstParagraph"/>
      </w:pPr>
      <w:r>
        <w:t xml:space="preserve">The table below summarizes the most common 2‑by lumber sizes and their actual finished dimensions (Surfaced 4 Sides, S4S) in inches and millimetres</w:t>
      </w:r>
      <w:hyperlink r:id="rId22">
        <w:r>
          <w:rPr>
            <w:rStyle w:val="Hyperlink"/>
          </w:rPr>
          <w:t xml:space="preserve">[1]</w:t>
        </w:r>
      </w:hyperlink>
      <w:r>
        <w:t xml:space="preserve">. Values are rounded.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Nominal size</w:t>
            </w:r>
          </w:p>
        </w:tc>
        <w:tc>
          <w:tcPr/>
          <w:p>
            <w:pPr>
              <w:pStyle w:val="Compact"/>
            </w:pPr>
            <w:r>
              <w:t xml:space="preserve">Typical actual size (inches)</w:t>
            </w:r>
          </w:p>
        </w:tc>
        <w:tc>
          <w:tcPr/>
          <w:p>
            <w:pPr>
              <w:pStyle w:val="Compact"/>
            </w:pPr>
            <w:r>
              <w:t xml:space="preserve">Typical actual size (mm)</w:t>
            </w:r>
          </w:p>
        </w:tc>
      </w:tr>
      <w:tr>
        <w:tc>
          <w:tcPr/>
          <w:p>
            <w:pPr>
              <w:pStyle w:val="Compact"/>
            </w:pPr>
            <w:r>
              <w:t xml:space="preserve">2×2</w:t>
            </w:r>
          </w:p>
        </w:tc>
        <w:tc>
          <w:tcPr/>
          <w:p>
            <w:pPr>
              <w:pStyle w:val="Compact"/>
            </w:pPr>
            <w:r>
              <w:t xml:space="preserve">1.5 × 1.5</w:t>
            </w:r>
          </w:p>
        </w:tc>
        <w:tc>
          <w:tcPr/>
          <w:p>
            <w:pPr>
              <w:pStyle w:val="Compact"/>
            </w:pPr>
            <w:r>
              <w:t xml:space="preserve">38 × 38</w:t>
            </w:r>
          </w:p>
        </w:tc>
      </w:tr>
      <w:tr>
        <w:tc>
          <w:tcPr/>
          <w:p>
            <w:pPr>
              <w:pStyle w:val="Compact"/>
            </w:pPr>
            <w:r>
              <w:t xml:space="preserve">2×4</w:t>
            </w:r>
          </w:p>
        </w:tc>
        <w:tc>
          <w:tcPr/>
          <w:p>
            <w:pPr>
              <w:pStyle w:val="Compact"/>
            </w:pPr>
            <w:r>
              <w:t xml:space="preserve">1.5 × 3.5</w:t>
            </w:r>
          </w:p>
        </w:tc>
        <w:tc>
          <w:tcPr/>
          <w:p>
            <w:pPr>
              <w:pStyle w:val="Compact"/>
            </w:pPr>
            <w:r>
              <w:t xml:space="preserve">38 × 89</w:t>
            </w:r>
            <w:hyperlink r:id="rId22">
              <w:r>
                <w:rPr>
                  <w:rStyle w:val="Hyperlink"/>
                </w:rPr>
                <w:t xml:space="preserve">[8]</w:t>
              </w:r>
            </w:hyperlink>
          </w:p>
        </w:tc>
      </w:tr>
      <w:tr>
        <w:tc>
          <w:tcPr/>
          <w:p>
            <w:pPr>
              <w:pStyle w:val="Compact"/>
            </w:pPr>
            <w:r>
              <w:t xml:space="preserve">2×6</w:t>
            </w:r>
          </w:p>
        </w:tc>
        <w:tc>
          <w:tcPr/>
          <w:p>
            <w:pPr>
              <w:pStyle w:val="Compact"/>
            </w:pPr>
            <w:r>
              <w:t xml:space="preserve">1.5 × 5.5</w:t>
            </w:r>
          </w:p>
        </w:tc>
        <w:tc>
          <w:tcPr/>
          <w:p>
            <w:pPr>
              <w:pStyle w:val="Compact"/>
            </w:pPr>
            <w:r>
              <w:t xml:space="preserve">38 × 140</w:t>
            </w:r>
            <w:hyperlink r:id="rId22">
              <w:r>
                <w:rPr>
                  <w:rStyle w:val="Hyperlink"/>
                </w:rPr>
                <w:t xml:space="preserve">[8]</w:t>
              </w:r>
            </w:hyperlink>
          </w:p>
        </w:tc>
      </w:tr>
      <w:tr>
        <w:tc>
          <w:tcPr/>
          <w:p>
            <w:pPr>
              <w:pStyle w:val="Compact"/>
            </w:pPr>
            <w:r>
              <w:t xml:space="preserve">2×8</w:t>
            </w:r>
          </w:p>
        </w:tc>
        <w:tc>
          <w:tcPr/>
          <w:p>
            <w:pPr>
              <w:pStyle w:val="Compact"/>
            </w:pPr>
            <w:r>
              <w:t xml:space="preserve">1.5 × 7.25</w:t>
            </w:r>
          </w:p>
        </w:tc>
        <w:tc>
          <w:tcPr/>
          <w:p>
            <w:pPr>
              <w:pStyle w:val="Compact"/>
            </w:pPr>
            <w:r>
              <w:t xml:space="preserve">38 × 184</w:t>
            </w:r>
            <w:hyperlink r:id="rId22">
              <w:r>
                <w:rPr>
                  <w:rStyle w:val="Hyperlink"/>
                </w:rPr>
                <w:t xml:space="preserve">[1]</w:t>
              </w:r>
            </w:hyperlink>
          </w:p>
        </w:tc>
      </w:tr>
      <w:tr>
        <w:tc>
          <w:tcPr/>
          <w:p>
            <w:pPr>
              <w:pStyle w:val="Compact"/>
            </w:pPr>
            <w:r>
              <w:t xml:space="preserve">2×10</w:t>
            </w:r>
          </w:p>
        </w:tc>
        <w:tc>
          <w:tcPr/>
          <w:p>
            <w:pPr>
              <w:pStyle w:val="Compact"/>
            </w:pPr>
            <w:r>
              <w:t xml:space="preserve">1.5 × 9.25</w:t>
            </w:r>
          </w:p>
        </w:tc>
        <w:tc>
          <w:tcPr/>
          <w:p>
            <w:pPr>
              <w:pStyle w:val="Compact"/>
            </w:pPr>
            <w:r>
              <w:t xml:space="preserve">38 × 235</w:t>
            </w:r>
            <w:hyperlink r:id="rId22">
              <w:r>
                <w:rPr>
                  <w:rStyle w:val="Hyperlink"/>
                </w:rPr>
                <w:t xml:space="preserve">[1]</w:t>
              </w:r>
            </w:hyperlink>
          </w:p>
        </w:tc>
      </w:tr>
      <w:tr>
        <w:tc>
          <w:tcPr/>
          <w:p>
            <w:pPr>
              <w:pStyle w:val="Compact"/>
            </w:pPr>
            <w:r>
              <w:t xml:space="preserve">2×12</w:t>
            </w:r>
          </w:p>
        </w:tc>
        <w:tc>
          <w:tcPr/>
          <w:p>
            <w:pPr>
              <w:pStyle w:val="Compact"/>
            </w:pPr>
            <w:r>
              <w:t xml:space="preserve">1.5 × 11.25</w:t>
            </w:r>
          </w:p>
        </w:tc>
        <w:tc>
          <w:tcPr/>
          <w:p>
            <w:pPr>
              <w:pStyle w:val="Compact"/>
            </w:pPr>
            <w:r>
              <w:t xml:space="preserve">38 × 286</w:t>
            </w:r>
            <w:hyperlink r:id="rId22">
              <w:r>
                <w:rPr>
                  <w:rStyle w:val="Hyperlink"/>
                </w:rPr>
                <w:t xml:space="preserve">[1]</w:t>
              </w:r>
            </w:hyperlink>
          </w:p>
        </w:tc>
      </w:tr>
      <w:tr>
        <w:tc>
          <w:tcPr/>
          <w:p>
            <w:pPr>
              <w:pStyle w:val="Compact"/>
            </w:pPr>
            <w:r>
              <w:t xml:space="preserve">4×4</w:t>
            </w:r>
          </w:p>
        </w:tc>
        <w:tc>
          <w:tcPr/>
          <w:p>
            <w:pPr>
              <w:pStyle w:val="Compact"/>
            </w:pPr>
            <w:r>
              <w:t xml:space="preserve">3.5 × 3.5</w:t>
            </w:r>
          </w:p>
        </w:tc>
        <w:tc>
          <w:tcPr/>
          <w:p>
            <w:pPr>
              <w:pStyle w:val="Compact"/>
            </w:pPr>
            <w:r>
              <w:t xml:space="preserve">89 × 89</w:t>
            </w:r>
            <w:hyperlink r:id="rId32">
              <w:r>
                <w:rPr>
                  <w:rStyle w:val="Hyperlink"/>
                </w:rPr>
                <w:t xml:space="preserve">[9]</w:t>
              </w:r>
            </w:hyperlink>
          </w:p>
        </w:tc>
      </w:tr>
    </w:tbl>
    <w:p>
      <w:pPr>
        <w:pStyle w:val="BodyText"/>
      </w:pPr>
      <w:r>
        <w:t xml:space="preserve">These sizes apply to softwood species used for framing. Hardwood lumber uses a “quarters” system (4/4 = 1 inch thick, 8/4 = 2 inch thick) where the widths vary and are usually surfaced by the woodworker</w:t>
      </w:r>
      <w:hyperlink r:id="rId33">
        <w:r>
          <w:rPr>
            <w:rStyle w:val="Hyperlink"/>
          </w:rPr>
          <w:t xml:space="preserve">[10]</w:t>
        </w:r>
      </w:hyperlink>
      <w:r>
        <w:t xml:space="preserve">.</w:t>
      </w:r>
    </w:p>
    <w:bookmarkEnd w:id="34"/>
    <w:bookmarkStart w:id="36" w:name="why-nominal-and-actual-sizes-matter"/>
    <w:p>
      <w:pPr>
        <w:pStyle w:val="Heading3"/>
      </w:pPr>
      <w:r>
        <w:t xml:space="preserve">Why nominal and actual sizes matter</w:t>
      </w:r>
    </w:p>
    <w:p>
      <w:pPr>
        <w:pStyle w:val="FirstParagraph"/>
      </w:pPr>
      <w:r>
        <w:t xml:space="preserve">Builders must account for the difference between nominal and actual sizes when designing structures. A 2×4 wall stud is actually 1½ inches thick, so a 10 ft wall framed with 16‑inch on‑center spacing will have slightly different cavity widths than one might expect from nominal dimensions. When ordering lumber by</w:t>
      </w:r>
      <w:r>
        <w:t xml:space="preserve"> </w:t>
      </w:r>
      <w:r>
        <w:rPr>
          <w:b/>
          <w:bCs/>
        </w:rPr>
        <w:t xml:space="preserve">board‑foot</w:t>
      </w:r>
      <w:r>
        <w:t xml:space="preserve"> </w:t>
      </w:r>
      <w:r>
        <w:t xml:space="preserve">(volume), the</w:t>
      </w:r>
      <w:r>
        <w:t xml:space="preserve"> </w:t>
      </w:r>
      <w:r>
        <w:rPr>
          <w:b/>
          <w:bCs/>
        </w:rPr>
        <w:t xml:space="preserve">nominal thickness and width are used</w:t>
      </w:r>
      <w:r>
        <w:t xml:space="preserve">, not the actual size</w:t>
      </w:r>
      <w:hyperlink r:id="rId35">
        <w:r>
          <w:rPr>
            <w:rStyle w:val="Hyperlink"/>
          </w:rPr>
          <w:t xml:space="preserve">[11]</w:t>
        </w:r>
      </w:hyperlink>
      <w:r>
        <w:t xml:space="preserve">. When ordering by</w:t>
      </w:r>
      <w:r>
        <w:t xml:space="preserve"> </w:t>
      </w:r>
      <w:r>
        <w:rPr>
          <w:b/>
          <w:bCs/>
        </w:rPr>
        <w:t xml:space="preserve">linear foot</w:t>
      </w:r>
      <w:r>
        <w:t xml:space="preserve">, the actual length is used. Misinterpreting the size conventions can lead to shortages or over‑ordering.</w:t>
      </w:r>
    </w:p>
    <w:bookmarkEnd w:id="36"/>
    <w:bookmarkEnd w:id="37"/>
    <w:bookmarkStart w:id="49" w:name="conversion-tables-formulas"/>
    <w:p>
      <w:pPr>
        <w:pStyle w:val="Heading2"/>
      </w:pPr>
      <w:r>
        <w:t xml:space="preserve">Conversion Tables &amp; Formulas</w:t>
      </w:r>
    </w:p>
    <w:bookmarkStart w:id="42" w:name="boardfoot-definition-and-formula"/>
    <w:p>
      <w:pPr>
        <w:pStyle w:val="Heading3"/>
      </w:pPr>
      <w:r>
        <w:t xml:space="preserve">Board‑foot definition and formula</w:t>
      </w:r>
    </w:p>
    <w:p>
      <w:pPr>
        <w:pStyle w:val="FirstParagraph"/>
      </w:pPr>
      <w:r>
        <w:t xml:space="preserve">A</w:t>
      </w:r>
      <w:r>
        <w:t xml:space="preserve"> </w:t>
      </w:r>
      <w:r>
        <w:rPr>
          <w:b/>
          <w:bCs/>
        </w:rPr>
        <w:t xml:space="preserve">board foot</w:t>
      </w:r>
      <w:r>
        <w:t xml:space="preserve"> </w:t>
      </w:r>
      <w:r>
        <w:t xml:space="preserve">(bd ft) is a unit of volume equal to a</w:t>
      </w:r>
      <w:r>
        <w:t xml:space="preserve"> </w:t>
      </w:r>
      <w:r>
        <w:rPr>
          <w:b/>
          <w:bCs/>
        </w:rPr>
        <w:t xml:space="preserve">piece of wood 12 inches long, 12 inches wide and 1 inch thick (144 cubic inches)</w:t>
      </w:r>
      <w:hyperlink r:id="rId38">
        <w:r>
          <w:rPr>
            <w:rStyle w:val="Hyperlink"/>
          </w:rPr>
          <w:t xml:space="preserve">[12]</w:t>
        </w:r>
      </w:hyperlink>
      <w:r>
        <w:t xml:space="preserve">. The board‑foot content of any board can be determined by multiplying its length, width and thickness (in inches) and dividing by 144</w:t>
      </w:r>
      <w:hyperlink r:id="rId39">
        <w:r>
          <w:rPr>
            <w:rStyle w:val="Hyperlink"/>
          </w:rPr>
          <w:t xml:space="preserve">[13]</w:t>
        </w:r>
      </w:hyperlink>
      <w:r>
        <w:t xml:space="preserve">. Many lumber calculators express the length in feet and the thickness and width in inches; in that case the formula becomes:</w:t>
      </w:r>
    </w:p>
    <w:p>
      <w:pPr>
        <w:pStyle w:val="BodyText"/>
      </w:pPr>
      <m:oMathPara>
        <m:oMathParaPr>
          <m:jc m:val="center"/>
        </m:oMathParaPr>
        <m:oMath>
          <m:r>
            <m:rPr>
              <m:nor/>
              <m:sty m:val="p"/>
            </m:rPr>
            <m:t>Board Feet</m:t>
          </m:r>
          <m:r>
            <m:rPr>
              <m:sty m:val="p"/>
            </m:rPr>
            <m:t>=</m:t>
          </m:r>
          <m:f>
            <m:fPr>
              <m:type m:val="bar"/>
            </m:fPr>
            <m:num>
              <m:r>
                <m:rPr>
                  <m:nor/>
                  <m:sty m:val="p"/>
                </m:rPr>
                <m:t>Thickness (in)</m:t>
              </m:r>
              <m:r>
                <m:rPr>
                  <m:sty m:val="p"/>
                </m:rPr>
                <m:t>×</m:t>
              </m:r>
              <m:r>
                <m:rPr>
                  <m:nor/>
                  <m:sty m:val="p"/>
                </m:rPr>
                <m:t>Width (in)</m:t>
              </m:r>
              <m:r>
                <m:rPr>
                  <m:sty m:val="p"/>
                </m:rPr>
                <m:t>×</m:t>
              </m:r>
              <m:r>
                <m:rPr>
                  <m:nor/>
                  <m:sty m:val="p"/>
                </m:rPr>
                <m:t>Length (ft)</m:t>
              </m:r>
            </m:num>
            <m:den>
              <m:r>
                <m:t>12</m:t>
              </m:r>
            </m:den>
          </m:f>
        </m:oMath>
      </m:oMathPara>
    </w:p>
    <w:p>
      <w:pPr>
        <w:pStyle w:val="FirstParagraph"/>
      </w:pPr>
      <w:r>
        <w:t xml:space="preserve">This formula appears in multiple industry references</w:t>
      </w:r>
      <w:hyperlink r:id="rId40">
        <w:r>
          <w:rPr>
            <w:rStyle w:val="Hyperlink"/>
          </w:rPr>
          <w:t xml:space="preserve">[14]</w:t>
        </w:r>
      </w:hyperlink>
      <w:hyperlink r:id="rId41">
        <w:r>
          <w:rPr>
            <w:rStyle w:val="Hyperlink"/>
          </w:rPr>
          <w:t xml:space="preserve">[15]</w:t>
        </w:r>
      </w:hyperlink>
      <w:r>
        <w:t xml:space="preserve">.</w:t>
      </w:r>
    </w:p>
    <w:p>
      <w:pPr>
        <w:pStyle w:val="BodyText"/>
      </w:pPr>
      <w:r>
        <w:t xml:space="preserve">When all dimensions are entered in inches, divide by</w:t>
      </w:r>
      <w:r>
        <w:t xml:space="preserve"> </w:t>
      </w:r>
      <w:r>
        <w:rPr>
          <w:b/>
          <w:bCs/>
        </w:rPr>
        <w:t xml:space="preserve">144</w:t>
      </w:r>
      <w:r>
        <w:t xml:space="preserve"> </w:t>
      </w:r>
      <w:r>
        <w:t xml:space="preserve">instead of 12:</w:t>
      </w:r>
    </w:p>
    <w:p>
      <w:pPr>
        <w:pStyle w:val="BodyText"/>
      </w:pPr>
      <m:oMathPara>
        <m:oMathParaPr>
          <m:jc m:val="center"/>
        </m:oMathParaPr>
        <m:oMath>
          <m:r>
            <m:rPr>
              <m:nor/>
              <m:sty m:val="p"/>
            </m:rPr>
            <m:t>Board Feet</m:t>
          </m:r>
          <m:r>
            <m:rPr>
              <m:sty m:val="p"/>
            </m:rPr>
            <m:t>=</m:t>
          </m:r>
          <m:f>
            <m:fPr>
              <m:type m:val="bar"/>
            </m:fPr>
            <m:num>
              <m:r>
                <m:rPr>
                  <m:nor/>
                  <m:sty m:val="p"/>
                </m:rPr>
                <m:t>Thickness (in)</m:t>
              </m:r>
              <m:r>
                <m:rPr>
                  <m:sty m:val="p"/>
                </m:rPr>
                <m:t>×</m:t>
              </m:r>
              <m:r>
                <m:rPr>
                  <m:nor/>
                  <m:sty m:val="p"/>
                </m:rPr>
                <m:t>Width (in)</m:t>
              </m:r>
              <m:r>
                <m:rPr>
                  <m:sty m:val="p"/>
                </m:rPr>
                <m:t>×</m:t>
              </m:r>
              <m:r>
                <m:rPr>
                  <m:nor/>
                  <m:sty m:val="p"/>
                </m:rPr>
                <m:t>Length (in)</m:t>
              </m:r>
            </m:num>
            <m:den>
              <m:r>
                <m:t>144</m:t>
              </m:r>
            </m:den>
          </m:f>
          <m:r>
            <m:rPr>
              <m:sty m:val="p"/>
            </m:rPr>
            <m:t>.</m:t>
          </m:r>
        </m:oMath>
      </m:oMathPara>
    </w:p>
    <w:bookmarkEnd w:id="42"/>
    <w:bookmarkStart w:id="44" w:name="linearfeet-to-boardfeet-conversion"/>
    <w:p>
      <w:pPr>
        <w:pStyle w:val="Heading3"/>
      </w:pPr>
      <w:r>
        <w:t xml:space="preserve">Linear‑feet to board‑feet conversion</w:t>
      </w:r>
    </w:p>
    <w:p>
      <w:pPr>
        <w:pStyle w:val="FirstParagraph"/>
      </w:pPr>
      <w:r>
        <w:t xml:space="preserve">When purchasing dimensional lumber sold by the piece or by linear foot, builders often need to convert to board feet for pricing. The Western Wood Products Association’s conversion table provides the following general formula for converting</w:t>
      </w:r>
      <w:r>
        <w:t xml:space="preserve"> </w:t>
      </w:r>
      <w:r>
        <w:rPr>
          <w:b/>
          <w:bCs/>
        </w:rPr>
        <w:t xml:space="preserve">lineal (linear) feet to board feet</w:t>
      </w:r>
      <w:r>
        <w:t xml:space="preserve">:</w:t>
      </w:r>
    </w:p>
    <w:p>
      <w:pPr>
        <w:pStyle w:val="BodyText"/>
      </w:pPr>
      <m:oMathPara>
        <m:oMathParaPr>
          <m:jc m:val="center"/>
        </m:oMathParaPr>
        <m:oMath>
          <m:r>
            <m:rPr>
              <m:nor/>
              <m:sty m:val="p"/>
            </m:rPr>
            <m:t>Board Feet (bf)</m:t>
          </m:r>
          <m:r>
            <m:rPr>
              <m:sty m:val="p"/>
            </m:rPr>
            <m:t>=</m:t>
          </m:r>
          <m:f>
            <m:fPr>
              <m:type m:val="bar"/>
            </m:fPr>
            <m:num>
              <m:r>
                <m:t>T</m:t>
              </m:r>
              <m:r>
                <m:rPr>
                  <m:sty m:val="p"/>
                </m:rPr>
                <m:t>×</m:t>
              </m:r>
              <m:r>
                <m:t>W</m:t>
              </m:r>
              <m:r>
                <m:rPr>
                  <m:sty m:val="p"/>
                </m:rPr>
                <m:t>×</m:t>
              </m:r>
              <m:r>
                <m:t>L</m:t>
              </m:r>
            </m:num>
            <m:den>
              <m:r>
                <m:t>12</m:t>
              </m:r>
            </m:den>
          </m:f>
        </m:oMath>
      </m:oMathPara>
    </w:p>
    <w:p>
      <w:pPr>
        <w:pStyle w:val="FirstParagraph"/>
      </w:pPr>
      <w:r>
        <w:t xml:space="preserve">where</w:t>
      </w:r>
      <w:r>
        <w:t xml:space="preserve"> </w:t>
      </w:r>
      <w:r>
        <w:rPr>
          <w:b/>
          <w:bCs/>
        </w:rPr>
        <w:t xml:space="preserve">T</w:t>
      </w:r>
      <w:r>
        <w:t xml:space="preserve"> </w:t>
      </w:r>
      <w:r>
        <w:t xml:space="preserve">and</w:t>
      </w:r>
      <w:r>
        <w:t xml:space="preserve"> </w:t>
      </w:r>
      <w:r>
        <w:rPr>
          <w:b/>
          <w:bCs/>
        </w:rPr>
        <w:t xml:space="preserve">W</w:t>
      </w:r>
      <w:r>
        <w:t xml:space="preserve"> </w:t>
      </w:r>
      <w:r>
        <w:t xml:space="preserve">are the</w:t>
      </w:r>
      <w:r>
        <w:t xml:space="preserve"> </w:t>
      </w:r>
      <w:r>
        <w:rPr>
          <w:b/>
          <w:bCs/>
        </w:rPr>
        <w:t xml:space="preserve">nominal thickness and width in inches</w:t>
      </w:r>
      <w:r>
        <w:t xml:space="preserve"> </w:t>
      </w:r>
      <w:r>
        <w:t xml:space="preserve">and</w:t>
      </w:r>
      <w:r>
        <w:t xml:space="preserve"> </w:t>
      </w:r>
      <w:r>
        <w:rPr>
          <w:b/>
          <w:bCs/>
        </w:rPr>
        <w:t xml:space="preserve">L</w:t>
      </w:r>
      <w:r>
        <w:t xml:space="preserve"> </w:t>
      </w:r>
      <w:r>
        <w:t xml:space="preserve">is the length in feet</w:t>
      </w:r>
      <w:hyperlink r:id="rId43">
        <w:r>
          <w:rPr>
            <w:rStyle w:val="Hyperlink"/>
          </w:rPr>
          <w:t xml:space="preserve">[16]</w:t>
        </w:r>
      </w:hyperlink>
      <w:r>
        <w:t xml:space="preserve">. For example, a 2×6 board (T = 2 in., W = 6 in.) has</w:t>
      </w:r>
      <w:r>
        <w:t xml:space="preserve"> </w:t>
      </w:r>
      <w:r>
        <w:rPr>
          <w:b/>
          <w:bCs/>
        </w:rPr>
        <w:t xml:space="preserve">1 board foot per linear foot</w:t>
      </w:r>
      <w:r>
        <w:t xml:space="preserve"> </w:t>
      </w:r>
      <w:r>
        <w:t xml:space="preserve">(2 × 6 ÷ 12 = 1.0 bf/lf). A 2×4 contains 0.667 bf/lf (2 × 4 ÷ 12 = 0.667). When converting board feet back to linear feet, rearrange equation (2):</w:t>
      </w:r>
      <w:r>
        <w:t xml:space="preserve"> </w:t>
      </w:r>
      <m:oMath>
        <m:r>
          <m:t>L</m:t>
        </m:r>
        <m:r>
          <m:rPr>
            <m:sty m:val="p"/>
          </m:rPr>
          <m:t>=</m:t>
        </m:r>
        <m:r>
          <m:t>12</m:t>
        </m:r>
        <m:r>
          <m:t> </m:t>
        </m:r>
        <m:r>
          <m:rPr>
            <m:nor/>
            <m:sty m:val="p"/>
          </m:rPr>
          <m:t>bf</m:t>
        </m:r>
        <m:r>
          <m:rPr>
            <m:sty m:val="p"/>
          </m:rPr>
          <m:t>/</m:t>
        </m:r>
        <m:d>
          <m:dPr>
            <m:begChr m:val="("/>
            <m:sepChr m:val=""/>
            <m:endChr m:val=")"/>
            <m:grow/>
          </m:dPr>
          <m:e>
            <m:r>
              <m:t>T</m:t>
            </m:r>
            <m:r>
              <m:rPr>
                <m:sty m:val="p"/>
              </m:rPr>
              <m:t>×</m:t>
            </m:r>
            <m:r>
              <m:t>W</m:t>
            </m:r>
          </m:e>
        </m:d>
      </m:oMath>
      <w:r>
        <w:t xml:space="preserve"> </w:t>
      </w:r>
      <w:r>
        <w:t xml:space="preserve">.</w:t>
      </w:r>
    </w:p>
    <w:bookmarkEnd w:id="44"/>
    <w:bookmarkStart w:id="45" w:name="thousand-boardfeet-mbf"/>
    <w:p>
      <w:pPr>
        <w:pStyle w:val="Heading3"/>
      </w:pPr>
      <w:r>
        <w:t xml:space="preserve">Thousand board‑feet (MBF)</w:t>
      </w:r>
    </w:p>
    <w:p>
      <w:pPr>
        <w:pStyle w:val="FirstParagraph"/>
      </w:pPr>
      <w:r>
        <w:t xml:space="preserve">Lumber is often traded in</w:t>
      </w:r>
      <w:r>
        <w:t xml:space="preserve"> </w:t>
      </w:r>
      <w:r>
        <w:rPr>
          <w:b/>
          <w:bCs/>
        </w:rPr>
        <w:t xml:space="preserve">thousand board‑feet (MBF)</w:t>
      </w:r>
      <w:r>
        <w:t xml:space="preserve">. Putnam Lumber notes that all MBF calculations are based on the</w:t>
      </w:r>
      <w:r>
        <w:t xml:space="preserve"> </w:t>
      </w:r>
      <w:r>
        <w:rPr>
          <w:b/>
          <w:bCs/>
        </w:rPr>
        <w:t xml:space="preserve">nominal size</w:t>
      </w:r>
      <w:r>
        <w:t xml:space="preserve">, not the actual size</w:t>
      </w:r>
      <w:hyperlink r:id="rId35">
        <w:r>
          <w:rPr>
            <w:rStyle w:val="Hyperlink"/>
          </w:rPr>
          <w:t xml:space="preserve">[11]</w:t>
        </w:r>
      </w:hyperlink>
      <w:r>
        <w:t xml:space="preserve">. The formula is:</w:t>
      </w:r>
    </w:p>
    <w:p>
      <w:pPr>
        <w:pStyle w:val="BodyText"/>
      </w:pPr>
      <m:oMathPara>
        <m:oMathParaPr>
          <m:jc m:val="center"/>
        </m:oMathParaPr>
        <m:oMath>
          <m:r>
            <m:rPr>
              <m:nor/>
              <m:sty m:val="p"/>
            </m:rPr>
            <m:t>MBF</m:t>
          </m:r>
          <m:r>
            <m:rPr>
              <m:sty m:val="p"/>
            </m:rPr>
            <m:t>=</m:t>
          </m:r>
          <m:f>
            <m:fPr>
              <m:type m:val="bar"/>
            </m:fPr>
            <m:num>
              <m:r>
                <m:t>T</m:t>
              </m:r>
              <m:r>
                <m:rPr>
                  <m:sty m:val="p"/>
                </m:rPr>
                <m:t>×</m:t>
              </m:r>
              <m:r>
                <m:t>W</m:t>
              </m:r>
            </m:num>
            <m:den>
              <m:r>
                <m:t>12</m:t>
              </m:r>
            </m:den>
          </m:f>
          <m:r>
            <m:rPr>
              <m:sty m:val="p"/>
            </m:rPr>
            <m:t>×</m:t>
          </m:r>
          <m:f>
            <m:fPr>
              <m:type m:val="bar"/>
            </m:fPr>
            <m:num>
              <m:r>
                <m:t>L</m:t>
              </m:r>
            </m:num>
            <m:den>
              <m:r>
                <m:t>1000</m:t>
              </m:r>
            </m:den>
          </m:f>
          <m:r>
            <m:rPr>
              <m:sty m:val="p"/>
            </m:rPr>
            <m:t>×</m:t>
          </m:r>
          <m:r>
            <m:rPr>
              <m:sty m:val="p"/>
            </m:rPr>
            <m:t>#</m:t>
          </m:r>
          <m:r>
            <m:rPr>
              <m:nor/>
              <m:sty m:val="p"/>
            </m:rPr>
            <m:t>pieces</m:t>
          </m:r>
        </m:oMath>
      </m:oMathPara>
    </w:p>
    <w:p>
      <w:pPr>
        <w:pStyle w:val="FirstParagraph"/>
      </w:pPr>
      <w:r>
        <w:t xml:space="preserve">where</w:t>
      </w:r>
      <w:r>
        <w:t xml:space="preserve"> </w:t>
      </w:r>
      <w:r>
        <w:rPr>
          <w:b/>
          <w:bCs/>
        </w:rPr>
        <w:t xml:space="preserve">T</w:t>
      </w:r>
      <w:r>
        <w:t xml:space="preserve"> </w:t>
      </w:r>
      <w:r>
        <w:t xml:space="preserve">and</w:t>
      </w:r>
      <w:r>
        <w:t xml:space="preserve"> </w:t>
      </w:r>
      <w:r>
        <w:rPr>
          <w:b/>
          <w:bCs/>
        </w:rPr>
        <w:t xml:space="preserve">W</w:t>
      </w:r>
      <w:r>
        <w:t xml:space="preserve"> </w:t>
      </w:r>
      <w:r>
        <w:t xml:space="preserve">are nominal thickness and width (in inches),</w:t>
      </w:r>
      <w:r>
        <w:t xml:space="preserve"> </w:t>
      </w:r>
      <w:r>
        <w:rPr>
          <w:b/>
          <w:bCs/>
        </w:rPr>
        <w:t xml:space="preserve">L</w:t>
      </w:r>
      <w:r>
        <w:t xml:space="preserve"> </w:t>
      </w:r>
      <w:r>
        <w:t xml:space="preserve">is length (ft) and</w:t>
      </w:r>
      <w:r>
        <w:t xml:space="preserve"> </w:t>
      </w:r>
      <w:r>
        <w:rPr>
          <w:b/>
          <w:bCs/>
        </w:rPr>
        <w:t xml:space="preserve">#pieces</w:t>
      </w:r>
      <w:r>
        <w:t xml:space="preserve"> </w:t>
      </w:r>
      <w:r>
        <w:t xml:space="preserve">is the quantity</w:t>
      </w:r>
      <w:hyperlink r:id="rId35">
        <w:r>
          <w:rPr>
            <w:rStyle w:val="Hyperlink"/>
          </w:rPr>
          <w:t xml:space="preserve">[11]</w:t>
        </w:r>
      </w:hyperlink>
      <w:r>
        <w:t xml:space="preserve">.</w:t>
      </w:r>
    </w:p>
    <w:bookmarkEnd w:id="45"/>
    <w:bookmarkStart w:id="47" w:name="thousand-squarefeet-msf-for-panels"/>
    <w:p>
      <w:pPr>
        <w:pStyle w:val="Heading3"/>
      </w:pPr>
      <w:r>
        <w:t xml:space="preserve">Thousand square‑feet (MSF) for panels</w:t>
      </w:r>
    </w:p>
    <w:p>
      <w:pPr>
        <w:pStyle w:val="FirstParagraph"/>
      </w:pPr>
      <w:r>
        <w:t xml:space="preserve">Panel products such as plywood and OSB are sold by the</w:t>
      </w:r>
      <w:r>
        <w:t xml:space="preserve"> </w:t>
      </w:r>
      <w:r>
        <w:rPr>
          <w:b/>
          <w:bCs/>
        </w:rPr>
        <w:t xml:space="preserve">thousand square feet (MSF)</w:t>
      </w:r>
      <w:r>
        <w:t xml:space="preserve">. Thickness is not considered in the MSF calculation. Putnam’s conversion guide shows that the number of MSF in a bundle is:</w:t>
      </w:r>
    </w:p>
    <w:p>
      <w:pPr>
        <w:pStyle w:val="BodyText"/>
      </w:pPr>
      <m:oMathPara>
        <m:oMathParaPr>
          <m:jc m:val="center"/>
        </m:oMathParaPr>
        <m:oMath>
          <m:r>
            <m:rPr>
              <m:nor/>
              <m:sty m:val="p"/>
            </m:rPr>
            <m:t>MSF</m:t>
          </m:r>
          <m:r>
            <m:rPr>
              <m:sty m:val="p"/>
            </m:rPr>
            <m:t>=</m:t>
          </m:r>
          <m:f>
            <m:fPr>
              <m:type m:val="bar"/>
            </m:fPr>
            <m:num>
              <m:r>
                <m:rPr>
                  <m:nor/>
                  <m:sty m:val="p"/>
                </m:rPr>
                <m:t>Width (ft)</m:t>
              </m:r>
              <m:r>
                <m:rPr>
                  <m:sty m:val="p"/>
                </m:rPr>
                <m:t>×</m:t>
              </m:r>
              <m:r>
                <m:rPr>
                  <m:nor/>
                  <m:sty m:val="p"/>
                </m:rPr>
                <m:t>Length (ft)</m:t>
              </m:r>
            </m:num>
            <m:den>
              <m:r>
                <m:t>1000</m:t>
              </m:r>
            </m:den>
          </m:f>
          <m:r>
            <m:rPr>
              <m:sty m:val="p"/>
            </m:rPr>
            <m:t>×</m:t>
          </m:r>
          <m:r>
            <m:rPr>
              <m:sty m:val="p"/>
            </m:rPr>
            <m:t>#</m:t>
          </m:r>
          <m:r>
            <m:rPr>
              <m:nor/>
              <m:sty m:val="p"/>
            </m:rPr>
            <m:t>pieces</m:t>
          </m:r>
        </m:oMath>
      </m:oMathPara>
    </w:p>
    <w:p>
      <w:pPr>
        <w:pStyle w:val="FirstParagraph"/>
      </w:pPr>
      <w:hyperlink r:id="rId46">
        <w:r>
          <w:rPr>
            <w:rStyle w:val="Hyperlink"/>
          </w:rPr>
          <w:t xml:space="preserve">[17]</w:t>
        </w:r>
      </w:hyperlink>
      <w:r>
        <w:t xml:space="preserve">. For example, forty six sheets of ¾‑inch 4′×8′ plywood (each 4 ft × 8 ft) provide</w:t>
      </w:r>
      <w:r>
        <w:t xml:space="preserve"> </w:t>
      </w:r>
      <m:oMath>
        <m:d>
          <m:dPr>
            <m:begChr m:val="("/>
            <m:sepChr m:val=""/>
            <m:endChr m:val=")"/>
            <m:grow/>
          </m:dPr>
          <m:e>
            <m:r>
              <m:t>4</m:t>
            </m:r>
            <m:r>
              <m:rPr>
                <m:sty m:val="p"/>
              </m:rPr>
              <m:t>×</m:t>
            </m:r>
            <m:r>
              <m:t>8</m:t>
            </m:r>
          </m:e>
        </m:d>
        <m:r>
          <m:rPr>
            <m:sty m:val="p"/>
          </m:rPr>
          <m:t>×</m:t>
        </m:r>
        <m:r>
          <m:t>46</m:t>
        </m:r>
        <m:r>
          <m:rPr>
            <m:sty m:val="p"/>
          </m:rPr>
          <m:t>÷</m:t>
        </m:r>
        <m:r>
          <m:t>1000</m:t>
        </m:r>
        <m:r>
          <m:rPr>
            <m:sty m:val="p"/>
          </m:rPr>
          <m:t>=</m:t>
        </m:r>
        <m:r>
          <m:t>1.472</m:t>
        </m:r>
      </m:oMath>
      <w:r>
        <w:t xml:space="preserve"> </w:t>
      </w:r>
      <w:r>
        <w:t xml:space="preserve"> MSF</w:t>
      </w:r>
      <w:hyperlink r:id="rId46">
        <w:r>
          <w:rPr>
            <w:rStyle w:val="Hyperlink"/>
          </w:rPr>
          <w:t xml:space="preserve">[17]</w:t>
        </w:r>
      </w:hyperlink>
      <w:r>
        <w:t xml:space="preserve">.</w:t>
      </w:r>
    </w:p>
    <w:bookmarkEnd w:id="47"/>
    <w:bookmarkStart w:id="48" w:name="boardfeet-per-linear-foot-table"/>
    <w:p>
      <w:pPr>
        <w:pStyle w:val="Heading3"/>
      </w:pPr>
      <w:r>
        <w:t xml:space="preserve">Board‑feet per linear foot table</w:t>
      </w:r>
    </w:p>
    <w:p>
      <w:pPr>
        <w:pStyle w:val="FirstParagraph"/>
      </w:pPr>
      <w:r>
        <w:t xml:space="preserve">Because equation (2) uses nominal dimensions, many contractors memorise board‑feet per linear foot for common sizes. The table below (calculated from equation (2)) shows board‑feet contained in</w:t>
      </w:r>
      <w:r>
        <w:t xml:space="preserve"> </w:t>
      </w:r>
      <w:r>
        <w:rPr>
          <w:b/>
          <w:bCs/>
        </w:rPr>
        <w:t xml:space="preserve">one linear foot</w:t>
      </w:r>
      <w:r>
        <w:t xml:space="preserve"> </w:t>
      </w:r>
      <w:r>
        <w:t xml:space="preserve">of various nominal sizes.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Nominal size</w:t>
            </w:r>
          </w:p>
        </w:tc>
        <w:tc>
          <w:tcPr/>
          <w:p>
            <w:pPr>
              <w:pStyle w:val="Compact"/>
            </w:pPr>
            <w:r>
              <w:t xml:space="preserve">Board feet per linear foot</w:t>
            </w:r>
          </w:p>
        </w:tc>
        <w:tc>
          <w:tcPr/>
          <w:p>
            <w:pPr>
              <w:pStyle w:val="Compact"/>
            </w:pPr>
          </w:p>
        </w:tc>
        <w:tc>
          <w:tcPr/>
          <w:p>
            <w:pPr>
              <w:pStyle w:val="Compact"/>
            </w:pPr>
            <w:r>
              <w:t xml:space="preserve">Nominal size</w:t>
            </w:r>
          </w:p>
        </w:tc>
        <w:tc>
          <w:tcPr/>
          <w:p>
            <w:pPr>
              <w:pStyle w:val="Compact"/>
            </w:pPr>
            <w:r>
              <w:t xml:space="preserve">Board feet per linear foot</w:t>
            </w:r>
          </w:p>
        </w:tc>
      </w:tr>
      <w:tr>
        <w:tc>
          <w:tcPr/>
          <w:p>
            <w:pPr>
              <w:pStyle w:val="Compact"/>
            </w:pPr>
            <w:r>
              <w:t xml:space="preserve">1×2</w:t>
            </w:r>
          </w:p>
        </w:tc>
        <w:tc>
          <w:tcPr/>
          <w:p>
            <w:pPr>
              <w:pStyle w:val="Compact"/>
            </w:pPr>
            <w:r>
              <w:t xml:space="preserve">0.1667 bf/lf</w:t>
            </w:r>
          </w:p>
        </w:tc>
        <w:tc>
          <w:tcPr/>
          <w:p>
            <w:pPr>
              <w:pStyle w:val="Compact"/>
            </w:pPr>
          </w:p>
        </w:tc>
        <w:tc>
          <w:tcPr/>
          <w:p>
            <w:pPr>
              <w:pStyle w:val="Compact"/>
            </w:pPr>
            <w:r>
              <w:t xml:space="preserve">2×6</w:t>
            </w:r>
          </w:p>
        </w:tc>
        <w:tc>
          <w:tcPr/>
          <w:p>
            <w:pPr>
              <w:pStyle w:val="Compact"/>
            </w:pPr>
            <w:r>
              <w:t xml:space="preserve">1.0000 bf/lf</w:t>
            </w:r>
          </w:p>
        </w:tc>
      </w:tr>
      <w:tr>
        <w:tc>
          <w:tcPr/>
          <w:p>
            <w:pPr>
              <w:pStyle w:val="Compact"/>
            </w:pPr>
            <w:r>
              <w:t xml:space="preserve">1×4</w:t>
            </w:r>
          </w:p>
        </w:tc>
        <w:tc>
          <w:tcPr/>
          <w:p>
            <w:pPr>
              <w:pStyle w:val="Compact"/>
            </w:pPr>
            <w:r>
              <w:t xml:space="preserve">0.3333 bf/lf</w:t>
            </w:r>
          </w:p>
        </w:tc>
        <w:tc>
          <w:tcPr/>
          <w:p>
            <w:pPr>
              <w:pStyle w:val="Compact"/>
            </w:pPr>
          </w:p>
        </w:tc>
        <w:tc>
          <w:tcPr/>
          <w:p>
            <w:pPr>
              <w:pStyle w:val="Compact"/>
            </w:pPr>
            <w:r>
              <w:t xml:space="preserve">2×8</w:t>
            </w:r>
          </w:p>
        </w:tc>
        <w:tc>
          <w:tcPr/>
          <w:p>
            <w:pPr>
              <w:pStyle w:val="Compact"/>
            </w:pPr>
            <w:r>
              <w:t xml:space="preserve">1.3333 bf/lf</w:t>
            </w:r>
          </w:p>
        </w:tc>
      </w:tr>
      <w:tr>
        <w:tc>
          <w:tcPr/>
          <w:p>
            <w:pPr>
              <w:pStyle w:val="Compact"/>
            </w:pPr>
            <w:r>
              <w:t xml:space="preserve">1×6</w:t>
            </w:r>
          </w:p>
        </w:tc>
        <w:tc>
          <w:tcPr/>
          <w:p>
            <w:pPr>
              <w:pStyle w:val="Compact"/>
            </w:pPr>
            <w:r>
              <w:t xml:space="preserve">0.5000 bf/lf</w:t>
            </w:r>
          </w:p>
        </w:tc>
        <w:tc>
          <w:tcPr/>
          <w:p>
            <w:pPr>
              <w:pStyle w:val="Compact"/>
            </w:pPr>
          </w:p>
        </w:tc>
        <w:tc>
          <w:tcPr/>
          <w:p>
            <w:pPr>
              <w:pStyle w:val="Compact"/>
            </w:pPr>
            <w:r>
              <w:t xml:space="preserve">2×10</w:t>
            </w:r>
          </w:p>
        </w:tc>
        <w:tc>
          <w:tcPr/>
          <w:p>
            <w:pPr>
              <w:pStyle w:val="Compact"/>
            </w:pPr>
            <w:r>
              <w:t xml:space="preserve">1.6667 bf/lf</w:t>
            </w:r>
          </w:p>
        </w:tc>
      </w:tr>
      <w:tr>
        <w:tc>
          <w:tcPr/>
          <w:p>
            <w:pPr>
              <w:pStyle w:val="Compact"/>
            </w:pPr>
            <w:r>
              <w:t xml:space="preserve">1×8</w:t>
            </w:r>
          </w:p>
        </w:tc>
        <w:tc>
          <w:tcPr/>
          <w:p>
            <w:pPr>
              <w:pStyle w:val="Compact"/>
            </w:pPr>
            <w:r>
              <w:t xml:space="preserve">0.6667 bf/lf</w:t>
            </w:r>
          </w:p>
        </w:tc>
        <w:tc>
          <w:tcPr/>
          <w:p>
            <w:pPr>
              <w:pStyle w:val="Compact"/>
            </w:pPr>
          </w:p>
        </w:tc>
        <w:tc>
          <w:tcPr/>
          <w:p>
            <w:pPr>
              <w:pStyle w:val="Compact"/>
            </w:pPr>
            <w:r>
              <w:t xml:space="preserve">2×12</w:t>
            </w:r>
          </w:p>
        </w:tc>
        <w:tc>
          <w:tcPr/>
          <w:p>
            <w:pPr>
              <w:pStyle w:val="Compact"/>
            </w:pPr>
            <w:r>
              <w:t xml:space="preserve">2.0000 bf/lf</w:t>
            </w:r>
          </w:p>
        </w:tc>
      </w:tr>
      <w:tr>
        <w:tc>
          <w:tcPr/>
          <w:p>
            <w:pPr>
              <w:pStyle w:val="Compact"/>
            </w:pPr>
            <w:r>
              <w:t xml:space="preserve">1×10</w:t>
            </w:r>
          </w:p>
        </w:tc>
        <w:tc>
          <w:tcPr/>
          <w:p>
            <w:pPr>
              <w:pStyle w:val="Compact"/>
            </w:pPr>
            <w:r>
              <w:t xml:space="preserve">0.8333 bf/lf</w:t>
            </w:r>
          </w:p>
        </w:tc>
        <w:tc>
          <w:tcPr/>
          <w:p>
            <w:pPr>
              <w:pStyle w:val="Compact"/>
            </w:pPr>
          </w:p>
        </w:tc>
        <w:tc>
          <w:tcPr/>
          <w:p>
            <w:pPr>
              <w:pStyle w:val="Compact"/>
            </w:pPr>
            <w:r>
              <w:t xml:space="preserve">4×4</w:t>
            </w:r>
          </w:p>
        </w:tc>
        <w:tc>
          <w:tcPr/>
          <w:p>
            <w:pPr>
              <w:pStyle w:val="Compact"/>
            </w:pPr>
            <w:r>
              <w:t xml:space="preserve">1.3333 bf/lf</w:t>
            </w:r>
          </w:p>
        </w:tc>
      </w:tr>
      <w:tr>
        <w:tc>
          <w:tcPr/>
          <w:p>
            <w:pPr>
              <w:pStyle w:val="Compact"/>
            </w:pPr>
            <w:r>
              <w:t xml:space="preserve">2×4</w:t>
            </w:r>
          </w:p>
        </w:tc>
        <w:tc>
          <w:tcPr/>
          <w:p>
            <w:pPr>
              <w:pStyle w:val="Compact"/>
            </w:pPr>
            <w:r>
              <w:t xml:space="preserve">0.6667 bf/lf</w:t>
            </w:r>
          </w:p>
        </w:tc>
        <w:tc>
          <w:tcPr/>
          <w:p>
            <w:pPr>
              <w:pStyle w:val="Compact"/>
            </w:pPr>
          </w:p>
        </w:tc>
        <w:tc>
          <w:tcPr/>
          <w:p>
            <w:pPr>
              <w:pStyle w:val="Compact"/>
            </w:pPr>
            <w:r>
              <w:t xml:space="preserve">4×6</w:t>
            </w:r>
          </w:p>
        </w:tc>
        <w:tc>
          <w:tcPr/>
          <w:p>
            <w:pPr>
              <w:pStyle w:val="Compact"/>
            </w:pPr>
            <w:r>
              <w:t xml:space="preserve">2.0000 bf/lf</w:t>
            </w:r>
          </w:p>
        </w:tc>
      </w:tr>
    </w:tbl>
    <w:p>
      <w:pPr>
        <w:pStyle w:val="BodyText"/>
      </w:pPr>
      <w:r>
        <w:rPr>
          <w:i/>
          <w:iCs/>
        </w:rPr>
        <w:t xml:space="preserve">(Values computed using equation (2) with nominal thickness T and width W.)</w:t>
      </w:r>
    </w:p>
    <w:bookmarkEnd w:id="48"/>
    <w:bookmarkEnd w:id="49"/>
    <w:bookmarkStart w:id="54" w:name="boardfoot-linear-foot-calculations"/>
    <w:p>
      <w:pPr>
        <w:pStyle w:val="Heading2"/>
      </w:pPr>
      <w:r>
        <w:t xml:space="preserve">Board‑Foot &amp; Linear Foot Calculations</w:t>
      </w:r>
    </w:p>
    <w:p>
      <w:pPr>
        <w:pStyle w:val="FirstParagraph"/>
      </w:pPr>
      <w:r>
        <w:t xml:space="preserve">This section walks through common calculations using</w:t>
      </w:r>
      <w:r>
        <w:t xml:space="preserve"> </w:t>
      </w:r>
      <w:r>
        <w:rPr>
          <w:b/>
          <w:bCs/>
        </w:rPr>
        <w:t xml:space="preserve">chain‑of‑thought (CoT)</w:t>
      </w:r>
      <w:r>
        <w:t xml:space="preserve"> </w:t>
      </w:r>
      <w:r>
        <w:t xml:space="preserve">reasoning. In practice you would perform the steps mentally or with a calculator; here they are shown explicitly for clarity.</w:t>
      </w:r>
    </w:p>
    <w:bookmarkStart w:id="50" w:name="example-1-board-feet-in-a-24-10-ft-board"/>
    <w:p>
      <w:pPr>
        <w:pStyle w:val="Heading3"/>
      </w:pPr>
      <w:r>
        <w:t xml:space="preserve">Example 1 – board feet in a 2×4 × 10 ft board</w:t>
      </w:r>
    </w:p>
    <w:p>
      <w:pPr>
        <w:pStyle w:val="FirstParagraph"/>
      </w:pPr>
      <w:r>
        <w:rPr>
          <w:b/>
          <w:bCs/>
        </w:rPr>
        <w:t xml:space="preserve">Problem:</w:t>
      </w:r>
      <w:r>
        <w:t xml:space="preserve"> </w:t>
      </w:r>
      <w:r>
        <w:rPr>
          <w:i/>
          <w:iCs/>
        </w:rPr>
        <w:t xml:space="preserve">How many board feet are in one 2×4 board that is 10 ft long?</w:t>
      </w:r>
    </w:p>
    <w:p>
      <w:pPr>
        <w:pStyle w:val="BodyText"/>
      </w:pPr>
      <w:r>
        <w:rPr>
          <w:b/>
          <w:bCs/>
        </w:rPr>
        <w:t xml:space="preserve">Step‑of‑Thought (SoT):</w:t>
      </w:r>
    </w:p>
    <w:p>
      <w:pPr>
        <w:pStyle w:val="Compact"/>
        <w:numPr>
          <w:ilvl w:val="0"/>
          <w:numId w:val="1001"/>
        </w:numPr>
      </w:pPr>
      <w:r>
        <w:t xml:space="preserve">Identify the</w:t>
      </w:r>
      <w:r>
        <w:t xml:space="preserve"> </w:t>
      </w:r>
      <w:r>
        <w:rPr>
          <w:b/>
          <w:bCs/>
        </w:rPr>
        <w:t xml:space="preserve">nominal dimensions</w:t>
      </w:r>
      <w:r>
        <w:t xml:space="preserve">: thickness </w:t>
      </w:r>
      <m:oMath>
        <m:r>
          <m:t>T</m:t>
        </m:r>
        <m:r>
          <m:rPr>
            <m:sty m:val="p"/>
          </m:rPr>
          <m:t>=</m:t>
        </m:r>
        <m:r>
          <m:t>2</m:t>
        </m:r>
        <m:r>
          <m:rPr>
            <m:nor/>
            <m:sty m:val="p"/>
          </m:rPr>
          <m:t>inches</m:t>
        </m:r>
      </m:oMath>
      <w:r>
        <w:t xml:space="preserve"> </w:t>
      </w:r>
      <w:r>
        <w:t xml:space="preserve">, width </w:t>
      </w:r>
      <m:oMath>
        <m:r>
          <m:t>W</m:t>
        </m:r>
        <m:r>
          <m:rPr>
            <m:sty m:val="p"/>
          </m:rPr>
          <m:t>=</m:t>
        </m:r>
        <m:r>
          <m:t>4</m:t>
        </m:r>
        <m:r>
          <m:rPr>
            <m:nor/>
            <m:sty m:val="p"/>
          </m:rPr>
          <m:t>inches</m:t>
        </m:r>
      </m:oMath>
      <w:r>
        <w:t xml:space="preserve"> </w:t>
      </w:r>
      <w:r>
        <w:t xml:space="preserve">. Remember that board‑foot calculations use nominal dimensions</w:t>
      </w:r>
      <w:hyperlink r:id="rId35">
        <w:r>
          <w:rPr>
            <w:rStyle w:val="Hyperlink"/>
          </w:rPr>
          <w:t xml:space="preserve">[11]</w:t>
        </w:r>
      </w:hyperlink>
      <w:r>
        <w:t xml:space="preserve">.</w:t>
      </w:r>
    </w:p>
    <w:p>
      <w:pPr>
        <w:pStyle w:val="Compact"/>
        <w:numPr>
          <w:ilvl w:val="0"/>
          <w:numId w:val="1001"/>
        </w:numPr>
      </w:pPr>
      <w:r>
        <w:t xml:space="preserve">Identify the</w:t>
      </w:r>
      <w:r>
        <w:t xml:space="preserve"> </w:t>
      </w:r>
      <w:r>
        <w:rPr>
          <w:b/>
          <w:bCs/>
        </w:rPr>
        <w:t xml:space="preserve">length</w:t>
      </w:r>
      <w:r>
        <w:t xml:space="preserve"> </w:t>
      </w:r>
      <w:r>
        <w:t xml:space="preserve">in feet:</w:t>
      </w:r>
      <w:r>
        <w:t xml:space="preserve"> </w:t>
      </w:r>
      <m:oMath>
        <m:r>
          <m:t>L</m:t>
        </m:r>
        <m:r>
          <m:rPr>
            <m:sty m:val="p"/>
          </m:rPr>
          <m:t>=</m:t>
        </m:r>
        <m:r>
          <m:t>10</m:t>
        </m:r>
        <m:r>
          <m:rPr>
            <m:nor/>
            <m:sty m:val="p"/>
          </m:rPr>
          <m:t>ft</m:t>
        </m:r>
      </m:oMath>
      <w:r>
        <w:t xml:space="preserve"> </w:t>
      </w:r>
      <w:r>
        <w:t xml:space="preserve">.</w:t>
      </w:r>
    </w:p>
    <w:p>
      <w:pPr>
        <w:pStyle w:val="Compact"/>
        <w:numPr>
          <w:ilvl w:val="0"/>
          <w:numId w:val="1001"/>
        </w:numPr>
      </w:pPr>
      <w:r>
        <w:t xml:space="preserve">Apply the board‑foot formula (equation (2)):</w:t>
      </w:r>
    </w:p>
    <w:p>
      <w:pPr>
        <w:pStyle w:val="Compact"/>
        <w:numPr>
          <w:ilvl w:val="0"/>
          <w:numId w:val="1000"/>
        </w:numPr>
      </w:pPr>
      <m:oMathPara>
        <m:oMathParaPr>
          <m:jc m:val="center"/>
        </m:oMathParaPr>
        <m:oMath>
          <m:r>
            <m:rPr>
              <m:nor/>
              <m:sty m:val="p"/>
            </m:rPr>
            <m:t>Board Feet</m:t>
          </m:r>
          <m:r>
            <m:rPr>
              <m:sty m:val="p"/>
            </m:rPr>
            <m:t>=</m:t>
          </m:r>
          <m:f>
            <m:fPr>
              <m:type m:val="bar"/>
            </m:fPr>
            <m:num>
              <m:r>
                <m:t>T</m:t>
              </m:r>
              <m:r>
                <m:rPr>
                  <m:sty m:val="p"/>
                </m:rPr>
                <m:t>×</m:t>
              </m:r>
              <m:r>
                <m:t>W</m:t>
              </m:r>
              <m:r>
                <m:rPr>
                  <m:sty m:val="p"/>
                </m:rPr>
                <m:t>×</m:t>
              </m:r>
              <m:r>
                <m:t>L</m:t>
              </m:r>
            </m:num>
            <m:den>
              <m:r>
                <m:t>12</m:t>
              </m:r>
            </m:den>
          </m:f>
          <m:r>
            <m:rPr>
              <m:sty m:val="p"/>
            </m:rPr>
            <m:t>=</m:t>
          </m:r>
          <m:f>
            <m:fPr>
              <m:type m:val="bar"/>
            </m:fPr>
            <m:num>
              <m:r>
                <m:t>2</m:t>
              </m:r>
              <m:r>
                <m:rPr>
                  <m:sty m:val="p"/>
                </m:rPr>
                <m:t>×</m:t>
              </m:r>
              <m:r>
                <m:t>4</m:t>
              </m:r>
              <m:r>
                <m:rPr>
                  <m:sty m:val="p"/>
                </m:rPr>
                <m:t>×</m:t>
              </m:r>
              <m:r>
                <m:t>10</m:t>
              </m:r>
            </m:num>
            <m:den>
              <m:r>
                <m:t>12</m:t>
              </m:r>
            </m:den>
          </m:f>
          <m:r>
            <m:rPr>
              <m:sty m:val="p"/>
            </m:rPr>
            <m:t>.</m:t>
          </m:r>
        </m:oMath>
      </m:oMathPara>
    </w:p>
    <w:p>
      <w:pPr>
        <w:pStyle w:val="Compact"/>
        <w:numPr>
          <w:ilvl w:val="0"/>
          <w:numId w:val="1001"/>
        </w:numPr>
      </w:pPr>
      <w:r>
        <w:t xml:space="preserve">Multiply numerator:</w:t>
      </w:r>
      <w:r>
        <w:t xml:space="preserve"> </w:t>
      </w:r>
      <m:oMath>
        <m:r>
          <m:t>2</m:t>
        </m:r>
        <m:r>
          <m:rPr>
            <m:sty m:val="p"/>
          </m:rPr>
          <m:t>×</m:t>
        </m:r>
        <m:r>
          <m:t>4</m:t>
        </m:r>
        <m:r>
          <m:rPr>
            <m:sty m:val="p"/>
          </m:rPr>
          <m:t>×</m:t>
        </m:r>
        <m:r>
          <m:t>10</m:t>
        </m:r>
        <m:r>
          <m:rPr>
            <m:sty m:val="p"/>
          </m:rPr>
          <m:t>=</m:t>
        </m:r>
        <m:r>
          <m:t>80</m:t>
        </m:r>
      </m:oMath>
      <w:r>
        <w:t xml:space="preserve"> </w:t>
      </w:r>
      <w:r>
        <w:t xml:space="preserve">.</w:t>
      </w:r>
    </w:p>
    <w:p>
      <w:pPr>
        <w:pStyle w:val="Compact"/>
        <w:numPr>
          <w:ilvl w:val="0"/>
          <w:numId w:val="1001"/>
        </w:numPr>
      </w:pPr>
      <w:r>
        <w:t xml:space="preserve">Divide by 12:</w:t>
      </w:r>
      <w:r>
        <w:t xml:space="preserve"> </w:t>
      </w:r>
      <m:oMath>
        <m:r>
          <m:t>80</m:t>
        </m:r>
        <m:r>
          <m:rPr>
            <m:sty m:val="p"/>
          </m:rPr>
          <m:t>÷</m:t>
        </m:r>
        <m:r>
          <m:t>12</m:t>
        </m:r>
        <m:r>
          <m:rPr>
            <m:sty m:val="p"/>
          </m:rPr>
          <m:t>≈</m:t>
        </m:r>
        <m:r>
          <m:t>6.67</m:t>
        </m:r>
      </m:oMath>
      <w:r>
        <w:t xml:space="preserve"> </w:t>
      </w:r>
      <w:r>
        <w:t xml:space="preserve">.</w:t>
      </w:r>
    </w:p>
    <w:p>
      <w:pPr>
        <w:pStyle w:val="FirstParagraph"/>
      </w:pPr>
      <w:r>
        <w:rPr>
          <w:b/>
          <w:bCs/>
        </w:rPr>
        <w:t xml:space="preserve">Answer:</w:t>
      </w:r>
      <w:r>
        <w:t xml:space="preserve"> </w:t>
      </w:r>
      <w:r>
        <w:t xml:space="preserve">There are</w:t>
      </w:r>
      <w:r>
        <w:t xml:space="preserve"> </w:t>
      </w:r>
      <w:r>
        <w:rPr>
          <w:b/>
          <w:bCs/>
        </w:rPr>
        <w:t xml:space="preserve">≈6.67 board feet</w:t>
      </w:r>
      <w:r>
        <w:t xml:space="preserve"> </w:t>
      </w:r>
      <w:r>
        <w:t xml:space="preserve">in a nominal 2×4 board that is 10 ft long.</w:t>
      </w:r>
    </w:p>
    <w:bookmarkEnd w:id="50"/>
    <w:bookmarkStart w:id="51" w:name="Xc8923cf496a8f17b339de4f85e3d700c0de1999"/>
    <w:p>
      <w:pPr>
        <w:pStyle w:val="Heading3"/>
      </w:pPr>
      <w:r>
        <w:t xml:space="preserve">Example 2 – converting linear feet to board feet (bundle of 2×6)</w:t>
      </w:r>
    </w:p>
    <w:p>
      <w:pPr>
        <w:pStyle w:val="FirstParagraph"/>
      </w:pPr>
      <w:r>
        <w:rPr>
          <w:b/>
          <w:bCs/>
        </w:rPr>
        <w:t xml:space="preserve">Problem:</w:t>
      </w:r>
      <w:r>
        <w:t xml:space="preserve"> </w:t>
      </w:r>
      <w:r>
        <w:rPr>
          <w:i/>
          <w:iCs/>
        </w:rPr>
        <w:t xml:space="preserve">You have 300 linear feet (lf) of nominal 2×6 lumber. How many board feet is that?</w:t>
      </w:r>
    </w:p>
    <w:p>
      <w:pPr>
        <w:pStyle w:val="BodyText"/>
      </w:pPr>
      <w:r>
        <w:rPr>
          <w:b/>
          <w:bCs/>
        </w:rPr>
        <w:t xml:space="preserve">CoT reasoning:</w:t>
      </w:r>
    </w:p>
    <w:p>
      <w:pPr>
        <w:pStyle w:val="Compact"/>
        <w:numPr>
          <w:ilvl w:val="0"/>
          <w:numId w:val="1002"/>
        </w:numPr>
      </w:pPr>
      <w:r>
        <w:t xml:space="preserve">A 2×6 has nominal dimensions T = 2 inches and W = 6 inches.</w:t>
      </w:r>
    </w:p>
    <w:p>
      <w:pPr>
        <w:pStyle w:val="Compact"/>
        <w:numPr>
          <w:ilvl w:val="0"/>
          <w:numId w:val="1002"/>
        </w:numPr>
      </w:pPr>
      <w:r>
        <w:t xml:space="preserve">Using equation (2), board feet per linear foot is</w:t>
      </w:r>
      <w:r>
        <w:t xml:space="preserve"> </w:t>
      </w:r>
      <m:oMath>
        <m:d>
          <m:dPr>
            <m:begChr m:val="("/>
            <m:sepChr m:val=""/>
            <m:endChr m:val=")"/>
            <m:grow/>
          </m:dPr>
          <m:e>
            <m:r>
              <m:t>2</m:t>
            </m:r>
            <m:r>
              <m:rPr>
                <m:sty m:val="p"/>
              </m:rPr>
              <m:t>×</m:t>
            </m:r>
            <m:r>
              <m:t>6</m:t>
            </m:r>
          </m:e>
        </m:d>
        <m:r>
          <m:rPr>
            <m:sty m:val="p"/>
          </m:rPr>
          <m:t>÷</m:t>
        </m:r>
        <m:r>
          <m:t>12</m:t>
        </m:r>
        <m:r>
          <m:rPr>
            <m:sty m:val="p"/>
          </m:rPr>
          <m:t>=</m:t>
        </m:r>
        <m:r>
          <m:t>1</m:t>
        </m:r>
      </m:oMath>
      <w:r>
        <w:t xml:space="preserve"> </w:t>
      </w:r>
      <w:r>
        <w:t xml:space="preserve">. Therefore each foot of 2×6 contains</w:t>
      </w:r>
      <w:r>
        <w:t xml:space="preserve"> </w:t>
      </w:r>
      <w:r>
        <w:rPr>
          <w:b/>
          <w:bCs/>
        </w:rPr>
        <w:t xml:space="preserve">1 board foot</w:t>
      </w:r>
      <w:r>
        <w:t xml:space="preserve">.</w:t>
      </w:r>
    </w:p>
    <w:p>
      <w:pPr>
        <w:pStyle w:val="Compact"/>
        <w:numPr>
          <w:ilvl w:val="0"/>
          <w:numId w:val="1002"/>
        </w:numPr>
      </w:pPr>
      <w:r>
        <w:t xml:space="preserve">Multiply by the total linear footage:</w:t>
      </w:r>
      <w:r>
        <w:t xml:space="preserve"> </w:t>
      </w:r>
      <m:oMath>
        <m:r>
          <m:t>1</m:t>
        </m:r>
        <m:r>
          <m:t>b</m:t>
        </m:r>
        <m:r>
          <m:t>f</m:t>
        </m:r>
        <m:r>
          <m:rPr>
            <m:sty m:val="p"/>
          </m:rPr>
          <m:t>/</m:t>
        </m:r>
        <m:r>
          <m:t>l</m:t>
        </m:r>
        <m:r>
          <m:t>f</m:t>
        </m:r>
        <m:r>
          <m:rPr>
            <m:sty m:val="p"/>
          </m:rPr>
          <m:t>×</m:t>
        </m:r>
        <m:r>
          <m:t>300</m:t>
        </m:r>
        <m:r>
          <m:t>l</m:t>
        </m:r>
        <m:r>
          <m:t>f</m:t>
        </m:r>
        <m:r>
          <m:rPr>
            <m:sty m:val="p"/>
          </m:rPr>
          <m:t>=</m:t>
        </m:r>
        <m:r>
          <m:t>300</m:t>
        </m:r>
        <m:r>
          <m:t>b</m:t>
        </m:r>
        <m:r>
          <m:t>f</m:t>
        </m:r>
      </m:oMath>
      <w:r>
        <w:t xml:space="preserve"> </w:t>
      </w:r>
      <w:r>
        <w:t xml:space="preserve">.</w:t>
      </w:r>
    </w:p>
    <w:p>
      <w:pPr>
        <w:pStyle w:val="FirstParagraph"/>
      </w:pPr>
      <w:r>
        <w:rPr>
          <w:b/>
          <w:bCs/>
        </w:rPr>
        <w:t xml:space="preserve">Answer:</w:t>
      </w:r>
      <w:r>
        <w:t xml:space="preserve"> </w:t>
      </w:r>
      <w:r>
        <w:t xml:space="preserve">300 linear feet of 2×6 lumber contains</w:t>
      </w:r>
      <w:r>
        <w:t xml:space="preserve"> </w:t>
      </w:r>
      <w:r>
        <w:rPr>
          <w:b/>
          <w:bCs/>
        </w:rPr>
        <w:t xml:space="preserve">300 board feet</w:t>
      </w:r>
      <w:r>
        <w:t xml:space="preserve">.</w:t>
      </w:r>
    </w:p>
    <w:bookmarkEnd w:id="51"/>
    <w:bookmarkStart w:id="52" w:name="X70be0515012327015cf227edc662165efbf6aff"/>
    <w:p>
      <w:pPr>
        <w:pStyle w:val="Heading3"/>
      </w:pPr>
      <w:r>
        <w:t xml:space="preserve">Example 3 – computing MBF from pieces (2×6 × 16 ft bundle)</w:t>
      </w:r>
    </w:p>
    <w:p>
      <w:pPr>
        <w:pStyle w:val="FirstParagraph"/>
      </w:pPr>
      <w:r>
        <w:rPr>
          <w:b/>
          <w:bCs/>
        </w:rPr>
        <w:t xml:space="preserve">Problem:</w:t>
      </w:r>
      <w:r>
        <w:t xml:space="preserve"> </w:t>
      </w:r>
      <w:r>
        <w:rPr>
          <w:i/>
          <w:iCs/>
        </w:rPr>
        <w:t xml:space="preserve">A bundle contains 128 pieces of nominal 2×6 lumber, each 16 ft long. What is the bundle volume in thousand board‑feet (MBF)?</w:t>
      </w:r>
    </w:p>
    <w:p>
      <w:pPr>
        <w:pStyle w:val="BodyText"/>
      </w:pPr>
      <w:r>
        <w:rPr>
          <w:b/>
          <w:bCs/>
        </w:rPr>
        <w:t xml:space="preserve">CoT reasoning:</w:t>
      </w:r>
    </w:p>
    <w:p>
      <w:pPr>
        <w:pStyle w:val="Compact"/>
        <w:numPr>
          <w:ilvl w:val="0"/>
          <w:numId w:val="1003"/>
        </w:numPr>
      </w:pPr>
      <w:r>
        <w:t xml:space="preserve">Determine board‑feet per piece using equation (2):</w:t>
      </w:r>
    </w:p>
    <w:p>
      <w:pPr>
        <w:pStyle w:val="Compact"/>
        <w:numPr>
          <w:ilvl w:val="0"/>
          <w:numId w:val="1000"/>
        </w:numPr>
      </w:pPr>
      <m:oMathPara>
        <m:oMathParaPr>
          <m:jc m:val="center"/>
        </m:oMathParaPr>
        <m:oMath>
          <m:r>
            <m:rPr>
              <m:nor/>
              <m:sty m:val="p"/>
            </m:rPr>
            <m:t>bf/piece</m:t>
          </m:r>
          <m:r>
            <m:rPr>
              <m:sty m:val="p"/>
            </m:rPr>
            <m:t>=</m:t>
          </m:r>
          <m:f>
            <m:fPr>
              <m:type m:val="bar"/>
            </m:fPr>
            <m:num>
              <m:r>
                <m:t>2</m:t>
              </m:r>
              <m:r>
                <m:rPr>
                  <m:sty m:val="p"/>
                </m:rPr>
                <m:t>×</m:t>
              </m:r>
              <m:r>
                <m:t>6</m:t>
              </m:r>
              <m:r>
                <m:rPr>
                  <m:sty m:val="p"/>
                </m:rPr>
                <m:t>×</m:t>
              </m:r>
              <m:r>
                <m:t>16</m:t>
              </m:r>
            </m:num>
            <m:den>
              <m:r>
                <m:t>12</m:t>
              </m:r>
            </m:den>
          </m:f>
          <m:r>
            <m:rPr>
              <m:sty m:val="p"/>
            </m:rPr>
            <m:t>=</m:t>
          </m:r>
          <m:f>
            <m:fPr>
              <m:type m:val="bar"/>
            </m:fPr>
            <m:num>
              <m:r>
                <m:t>192</m:t>
              </m:r>
            </m:num>
            <m:den>
              <m:r>
                <m:t>12</m:t>
              </m:r>
            </m:den>
          </m:f>
          <m:r>
            <m:rPr>
              <m:sty m:val="p"/>
            </m:rPr>
            <m:t>=</m:t>
          </m:r>
          <m:r>
            <m:t>16</m:t>
          </m:r>
          <m:r>
            <m:rPr>
              <m:nor/>
              <m:sty m:val="p"/>
            </m:rPr>
            <m:t>bf</m:t>
          </m:r>
          <m:r>
            <m:rPr>
              <m:sty m:val="p"/>
            </m:rPr>
            <m:t>.</m:t>
          </m:r>
        </m:oMath>
      </m:oMathPara>
    </w:p>
    <w:p>
      <w:pPr>
        <w:pStyle w:val="Compact"/>
        <w:numPr>
          <w:ilvl w:val="0"/>
          <w:numId w:val="1003"/>
        </w:numPr>
      </w:pPr>
      <w:r>
        <w:t xml:space="preserve">Multiply by the number of pieces:</w:t>
      </w:r>
      <w:r>
        <w:t xml:space="preserve"> </w:t>
      </w:r>
      <m:oMath>
        <m:r>
          <m:t>16</m:t>
        </m:r>
        <m:r>
          <m:t>b</m:t>
        </m:r>
        <m:r>
          <m:t>f</m:t>
        </m:r>
        <m:r>
          <m:rPr>
            <m:sty m:val="p"/>
          </m:rPr>
          <m:t>×</m:t>
        </m:r>
        <m:r>
          <m:t>128</m:t>
        </m:r>
        <m:r>
          <m:rPr>
            <m:sty m:val="p"/>
          </m:rPr>
          <m:t>=</m:t>
        </m:r>
        <m:r>
          <m:t>2048</m:t>
        </m:r>
        <m:r>
          <m:t>b</m:t>
        </m:r>
        <m:r>
          <m:t>f</m:t>
        </m:r>
      </m:oMath>
      <w:r>
        <w:t xml:space="preserve"> </w:t>
      </w:r>
      <w:r>
        <w:t xml:space="preserve">.</w:t>
      </w:r>
    </w:p>
    <w:p>
      <w:pPr>
        <w:pStyle w:val="Compact"/>
        <w:numPr>
          <w:ilvl w:val="0"/>
          <w:numId w:val="1003"/>
        </w:numPr>
      </w:pPr>
      <w:r>
        <w:t xml:space="preserve">Convert board‑feet to MBF by dividing by 1,000</w:t>
      </w:r>
      <w:hyperlink r:id="rId35">
        <w:r>
          <w:rPr>
            <w:rStyle w:val="Hyperlink"/>
          </w:rPr>
          <w:t xml:space="preserve">[11]</w:t>
        </w:r>
      </w:hyperlink>
      <w:r>
        <w:t xml:space="preserve">:</w:t>
      </w:r>
      <w:r>
        <w:t xml:space="preserve"> </w:t>
      </w:r>
      <m:oMath>
        <m:r>
          <m:t>2048</m:t>
        </m:r>
        <m:r>
          <m:t>b</m:t>
        </m:r>
        <m:r>
          <m:t>f</m:t>
        </m:r>
        <m:r>
          <m:rPr>
            <m:sty m:val="p"/>
          </m:rPr>
          <m:t>÷</m:t>
        </m:r>
        <m:r>
          <m:t>1000</m:t>
        </m:r>
        <m:r>
          <m:rPr>
            <m:sty m:val="p"/>
          </m:rPr>
          <m:t>=</m:t>
        </m:r>
        <m:r>
          <m:t>2.048</m:t>
        </m:r>
        <m:r>
          <m:rPr>
            <m:nor/>
            <m:sty m:val="p"/>
          </m:rPr>
          <m:t>MBF</m:t>
        </m:r>
      </m:oMath>
      <w:r>
        <w:t xml:space="preserve"> </w:t>
      </w:r>
      <w:r>
        <w:t xml:space="preserve">.</w:t>
      </w:r>
    </w:p>
    <w:p>
      <w:pPr>
        <w:pStyle w:val="FirstParagraph"/>
      </w:pPr>
      <w:r>
        <w:rPr>
          <w:b/>
          <w:bCs/>
        </w:rPr>
        <w:t xml:space="preserve">Answer:</w:t>
      </w:r>
      <w:r>
        <w:t xml:space="preserve"> </w:t>
      </w:r>
      <w:r>
        <w:t xml:space="preserve">The 128‑piece bundle contains</w:t>
      </w:r>
      <w:r>
        <w:t xml:space="preserve"> </w:t>
      </w:r>
      <w:r>
        <w:rPr>
          <w:b/>
          <w:bCs/>
        </w:rPr>
        <w:t xml:space="preserve">≈2.048 MBF</w:t>
      </w:r>
      <w:r>
        <w:t xml:space="preserve">.</w:t>
      </w:r>
    </w:p>
    <w:bookmarkEnd w:id="52"/>
    <w:bookmarkStart w:id="53" w:name="Xd7ecd66dfe69675bb2c2f6643cbcc8c9fe2cc82"/>
    <w:p>
      <w:pPr>
        <w:pStyle w:val="Heading3"/>
      </w:pPr>
      <w:r>
        <w:t xml:space="preserve">Example 4 – calculating MSF for panel products</w:t>
      </w:r>
    </w:p>
    <w:p>
      <w:pPr>
        <w:pStyle w:val="FirstParagraph"/>
      </w:pPr>
      <w:r>
        <w:rPr>
          <w:b/>
          <w:bCs/>
        </w:rPr>
        <w:t xml:space="preserve">Problem:</w:t>
      </w:r>
      <w:r>
        <w:t xml:space="preserve"> </w:t>
      </w:r>
      <w:r>
        <w:rPr>
          <w:i/>
          <w:iCs/>
        </w:rPr>
        <w:t xml:space="preserve">You purchase 46 sheets of ¾‑inch plywood measuring 4 ft × 8 ft. How many MSF is this shipment?</w:t>
      </w:r>
    </w:p>
    <w:p>
      <w:pPr>
        <w:pStyle w:val="BodyText"/>
      </w:pPr>
      <w:r>
        <w:rPr>
          <w:b/>
          <w:bCs/>
        </w:rPr>
        <w:t xml:space="preserve">CoT reasoning:</w:t>
      </w:r>
    </w:p>
    <w:p>
      <w:pPr>
        <w:pStyle w:val="Compact"/>
        <w:numPr>
          <w:ilvl w:val="0"/>
          <w:numId w:val="1004"/>
        </w:numPr>
      </w:pPr>
      <w:r>
        <w:t xml:space="preserve">For MSF calculations, thickness is not considered</w:t>
      </w:r>
      <w:hyperlink r:id="rId46">
        <w:r>
          <w:rPr>
            <w:rStyle w:val="Hyperlink"/>
          </w:rPr>
          <w:t xml:space="preserve">[17]</w:t>
        </w:r>
      </w:hyperlink>
      <w:r>
        <w:t xml:space="preserve">. Each sheet has area: 4 ft × 8 ft = 32 square feet.</w:t>
      </w:r>
    </w:p>
    <w:p>
      <w:pPr>
        <w:pStyle w:val="Compact"/>
        <w:numPr>
          <w:ilvl w:val="0"/>
          <w:numId w:val="1004"/>
        </w:numPr>
      </w:pPr>
      <w:r>
        <w:t xml:space="preserve">Multiply by the number of sheets: 32 sf × 46 = 1,472 square feet.</w:t>
      </w:r>
    </w:p>
    <w:p>
      <w:pPr>
        <w:pStyle w:val="Compact"/>
        <w:numPr>
          <w:ilvl w:val="0"/>
          <w:numId w:val="1004"/>
        </w:numPr>
      </w:pPr>
      <w:r>
        <w:t xml:space="preserve">Divide by 1,000 to convert to MSF: 1,472 ÷ 1,000 = 1.472 MSF</w:t>
      </w:r>
      <w:hyperlink r:id="rId46">
        <w:r>
          <w:rPr>
            <w:rStyle w:val="Hyperlink"/>
          </w:rPr>
          <w:t xml:space="preserve">[17]</w:t>
        </w:r>
      </w:hyperlink>
      <w:r>
        <w:t xml:space="preserve">.</w:t>
      </w:r>
    </w:p>
    <w:p>
      <w:pPr>
        <w:pStyle w:val="FirstParagraph"/>
      </w:pPr>
      <w:r>
        <w:rPr>
          <w:b/>
          <w:bCs/>
        </w:rPr>
        <w:t xml:space="preserve">Answer:</w:t>
      </w:r>
      <w:r>
        <w:t xml:space="preserve"> </w:t>
      </w:r>
      <w:r>
        <w:t xml:space="preserve">Forty‑six 4×8 sheets total</w:t>
      </w:r>
      <w:r>
        <w:t xml:space="preserve"> </w:t>
      </w:r>
      <w:r>
        <w:rPr>
          <w:b/>
          <w:bCs/>
        </w:rPr>
        <w:t xml:space="preserve">≈1.472 MSF</w:t>
      </w:r>
      <w:r>
        <w:t xml:space="preserve"> </w:t>
      </w:r>
      <w:r>
        <w:t xml:space="preserve">of panel area.</w:t>
      </w:r>
    </w:p>
    <w:bookmarkEnd w:id="53"/>
    <w:bookmarkEnd w:id="54"/>
    <w:bookmarkStart w:id="72" w:name="X0ad40fa13b9f722765b27d3ed0de3972ee29f76"/>
    <w:p>
      <w:pPr>
        <w:pStyle w:val="Heading2"/>
      </w:pPr>
      <w:r>
        <w:t xml:space="preserve">Rules of Thumb for Use (span, spacing, orientation)</w:t>
      </w:r>
    </w:p>
    <w:bookmarkStart w:id="60" w:name="spanning-capacity-of-dimensional-lumber"/>
    <w:p>
      <w:pPr>
        <w:pStyle w:val="Heading3"/>
      </w:pPr>
      <w:r>
        <w:t xml:space="preserve">Spanning capacity of dimensional lumber</w:t>
      </w:r>
    </w:p>
    <w:p>
      <w:pPr>
        <w:pStyle w:val="FirstParagraph"/>
      </w:pPr>
      <w:r>
        <w:t xml:space="preserve">Safe span depends on species, grade, spacing and loads. Manufacturers publish span tables; the following ranges are taken from</w:t>
      </w:r>
      <w:r>
        <w:t xml:space="preserve"> </w:t>
      </w:r>
      <w:r>
        <w:rPr>
          <w:b/>
          <w:bCs/>
        </w:rPr>
        <w:t xml:space="preserve">Weyerhaeuser’s floor‑joist span card</w:t>
      </w:r>
      <w:r>
        <w:t xml:space="preserve"> </w:t>
      </w:r>
      <w:r>
        <w:t xml:space="preserve">(for #2 and better SPF or southern pine under 40 psf live load). These values assume joists spaced at</w:t>
      </w:r>
      <w:r>
        <w:t xml:space="preserve"> </w:t>
      </w:r>
      <w:r>
        <w:rPr>
          <w:b/>
          <w:bCs/>
        </w:rPr>
        <w:t xml:space="preserve">16 inches on‑center</w:t>
      </w:r>
      <w:r>
        <w:t xml:space="preserve">, a common framing practice</w:t>
      </w:r>
      <w:hyperlink r:id="rId55">
        <w:r>
          <w:rPr>
            <w:rStyle w:val="Hyperlink"/>
          </w:rPr>
          <w:t xml:space="preserve">[18]</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Nominal joist size</w:t>
            </w:r>
          </w:p>
        </w:tc>
        <w:tc>
          <w:tcPr/>
          <w:p>
            <w:pPr>
              <w:pStyle w:val="Compact"/>
            </w:pPr>
            <w:r>
              <w:t xml:space="preserve">Approximate maximum span range (ft‑in)</w:t>
            </w:r>
          </w:p>
        </w:tc>
        <w:tc>
          <w:tcPr/>
          <w:p>
            <w:pPr>
              <w:pStyle w:val="Compact"/>
            </w:pPr>
            <w:r>
              <w:t xml:space="preserve">Source</w:t>
            </w:r>
          </w:p>
        </w:tc>
      </w:tr>
      <w:tr>
        <w:tc>
          <w:tcPr/>
          <w:p>
            <w:pPr>
              <w:pStyle w:val="Compact"/>
            </w:pPr>
            <w:r>
              <w:t xml:space="preserve">2×6</w:t>
            </w:r>
          </w:p>
        </w:tc>
        <w:tc>
          <w:tcPr/>
          <w:p>
            <w:pPr>
              <w:pStyle w:val="Compact"/>
            </w:pPr>
            <w:r>
              <w:t xml:space="preserve">≈ 9′‑9″ – 10′‑9″</w:t>
            </w:r>
            <w:hyperlink r:id="rId56">
              <w:r>
                <w:rPr>
                  <w:rStyle w:val="Hyperlink"/>
                </w:rPr>
                <w:t xml:space="preserve">[19]</w:t>
              </w:r>
            </w:hyperlink>
          </w:p>
        </w:tc>
        <w:tc>
          <w:tcPr/>
          <w:p>
            <w:pPr>
              <w:pStyle w:val="Compact"/>
            </w:pPr>
            <w:r>
              <w:t xml:space="preserve">Weyerhaeuser floor‑joist table</w:t>
            </w:r>
          </w:p>
        </w:tc>
      </w:tr>
      <w:tr>
        <w:tc>
          <w:tcPr/>
          <w:p>
            <w:pPr>
              <w:pStyle w:val="Compact"/>
            </w:pPr>
            <w:r>
              <w:t xml:space="preserve">2×8</w:t>
            </w:r>
          </w:p>
        </w:tc>
        <w:tc>
          <w:tcPr/>
          <w:p>
            <w:pPr>
              <w:pStyle w:val="Compact"/>
            </w:pPr>
            <w:r>
              <w:t xml:space="preserve">≈ 12′‑10″ – 14′‑2″</w:t>
            </w:r>
            <w:hyperlink r:id="rId57">
              <w:r>
                <w:rPr>
                  <w:rStyle w:val="Hyperlink"/>
                </w:rPr>
                <w:t xml:space="preserve">[20]</w:t>
              </w:r>
            </w:hyperlink>
          </w:p>
        </w:tc>
        <w:tc>
          <w:tcPr/>
          <w:p>
            <w:pPr>
              <w:pStyle w:val="Compact"/>
            </w:pPr>
            <w:r>
              <w:t xml:space="preserve">Weyerhaeuser floor‑joist table</w:t>
            </w:r>
          </w:p>
        </w:tc>
      </w:tr>
      <w:tr>
        <w:tc>
          <w:tcPr/>
          <w:p>
            <w:pPr>
              <w:pStyle w:val="Compact"/>
            </w:pPr>
            <w:r>
              <w:t xml:space="preserve">2×10</w:t>
            </w:r>
          </w:p>
        </w:tc>
        <w:tc>
          <w:tcPr/>
          <w:p>
            <w:pPr>
              <w:pStyle w:val="Compact"/>
            </w:pPr>
            <w:r>
              <w:t xml:space="preserve">≈ 16′‑5″ – 18′‑0″</w:t>
            </w:r>
            <w:hyperlink r:id="rId58">
              <w:r>
                <w:rPr>
                  <w:rStyle w:val="Hyperlink"/>
                </w:rPr>
                <w:t xml:space="preserve">[21]</w:t>
              </w:r>
            </w:hyperlink>
          </w:p>
        </w:tc>
        <w:tc>
          <w:tcPr/>
          <w:p>
            <w:pPr>
              <w:pStyle w:val="Compact"/>
            </w:pPr>
            <w:r>
              <w:t xml:space="preserve">Weyerhaeuser floor‑joist table</w:t>
            </w:r>
          </w:p>
        </w:tc>
      </w:tr>
      <w:tr>
        <w:tc>
          <w:tcPr/>
          <w:p>
            <w:pPr>
              <w:pStyle w:val="Compact"/>
            </w:pPr>
            <w:r>
              <w:t xml:space="preserve">2×12</w:t>
            </w:r>
          </w:p>
        </w:tc>
        <w:tc>
          <w:tcPr/>
          <w:p>
            <w:pPr>
              <w:pStyle w:val="Compact"/>
            </w:pPr>
            <w:r>
              <w:t xml:space="preserve">≈ 19′‑11″ – 21′‑4″</w:t>
            </w:r>
            <w:hyperlink r:id="rId59">
              <w:r>
                <w:rPr>
                  <w:rStyle w:val="Hyperlink"/>
                </w:rPr>
                <w:t xml:space="preserve">[22]</w:t>
              </w:r>
            </w:hyperlink>
          </w:p>
        </w:tc>
        <w:tc>
          <w:tcPr/>
          <w:p>
            <w:pPr>
              <w:pStyle w:val="Compact"/>
            </w:pPr>
            <w:r>
              <w:t xml:space="preserve">Weyerhaeuser floor‑joist table</w:t>
            </w:r>
          </w:p>
        </w:tc>
      </w:tr>
    </w:tbl>
    <w:p>
      <w:pPr>
        <w:pStyle w:val="BodyText"/>
      </w:pPr>
      <w:r>
        <w:t xml:space="preserve">Use these ranges as</w:t>
      </w:r>
      <w:r>
        <w:t xml:space="preserve"> </w:t>
      </w:r>
      <w:r>
        <w:rPr>
          <w:i/>
          <w:iCs/>
        </w:rPr>
        <w:t xml:space="preserve">rough guidelines</w:t>
      </w:r>
      <w:r>
        <w:t xml:space="preserve"> </w:t>
      </w:r>
      <w:r>
        <w:t xml:space="preserve">only. Always consult current span tables or a structural engineer, especially for heavy live loads or unusual conditions.</w:t>
      </w:r>
    </w:p>
    <w:bookmarkEnd w:id="60"/>
    <w:bookmarkStart w:id="62" w:name="beam-span-ruleofthumb"/>
    <w:p>
      <w:pPr>
        <w:pStyle w:val="Heading3"/>
      </w:pPr>
      <w:r>
        <w:t xml:space="preserve">Beam span rule‑of‑thumb</w:t>
      </w:r>
    </w:p>
    <w:p>
      <w:pPr>
        <w:pStyle w:val="FirstParagraph"/>
      </w:pPr>
      <w:r>
        <w:t xml:space="preserve">For beams supporting joists, a simple rule of thumb uses the beam depth (inches) to estimate its span (feet).</w:t>
      </w:r>
      <w:r>
        <w:t xml:space="preserve"> </w:t>
      </w:r>
      <w:r>
        <w:rPr>
          <w:b/>
          <w:bCs/>
        </w:rPr>
        <w:t xml:space="preserve">Wood It’s Real</w:t>
      </w:r>
      <w:r>
        <w:t xml:space="preserve"> </w:t>
      </w:r>
      <w:r>
        <w:t xml:space="preserve">notes that, for pressure‑treated southern pine no. 2 grade, a double‑ply beam can span in feet roughly</w:t>
      </w:r>
      <w:r>
        <w:t xml:space="preserve"> </w:t>
      </w:r>
      <w:r>
        <w:rPr>
          <w:b/>
          <w:bCs/>
        </w:rPr>
        <w:t xml:space="preserve">equal to its depth in inches</w:t>
      </w:r>
      <w:hyperlink r:id="rId61">
        <w:r>
          <w:rPr>
            <w:rStyle w:val="Hyperlink"/>
          </w:rPr>
          <w:t xml:space="preserve">[23]</w:t>
        </w:r>
      </w:hyperlink>
      <w:r>
        <w:t xml:space="preserve">. For example, a double 2×12 beam (actual depth ≈ 11¼ inches) can span about</w:t>
      </w:r>
      <w:r>
        <w:t xml:space="preserve"> </w:t>
      </w:r>
      <w:r>
        <w:rPr>
          <w:b/>
          <w:bCs/>
        </w:rPr>
        <w:t xml:space="preserve">12 ft</w:t>
      </w:r>
      <w:r>
        <w:t xml:space="preserve">, while a double 2×10 can span about</w:t>
      </w:r>
      <w:r>
        <w:t xml:space="preserve"> </w:t>
      </w:r>
      <w:r>
        <w:rPr>
          <w:b/>
          <w:bCs/>
        </w:rPr>
        <w:t xml:space="preserve">10 ft</w:t>
      </w:r>
      <w:hyperlink r:id="rId61">
        <w:r>
          <w:rPr>
            <w:rStyle w:val="Hyperlink"/>
          </w:rPr>
          <w:t xml:space="preserve">[23]</w:t>
        </w:r>
      </w:hyperlink>
      <w:r>
        <w:t xml:space="preserve">. This rule offers a quick sanity check but does not replace engineering calculations.</w:t>
      </w:r>
    </w:p>
    <w:bookmarkEnd w:id="62"/>
    <w:bookmarkStart w:id="66" w:name="wall-stud-spacing"/>
    <w:p>
      <w:pPr>
        <w:pStyle w:val="Heading3"/>
      </w:pPr>
      <w:r>
        <w:t xml:space="preserve">Wall stud spacing</w:t>
      </w:r>
    </w:p>
    <w:p>
      <w:pPr>
        <w:pStyle w:val="FirstParagraph"/>
      </w:pPr>
      <w:r>
        <w:t xml:space="preserve">Traditional wood‑framed houses use</w:t>
      </w:r>
      <w:r>
        <w:t xml:space="preserve"> </w:t>
      </w:r>
      <w:r>
        <w:rPr>
          <w:b/>
          <w:bCs/>
        </w:rPr>
        <w:t xml:space="preserve">2×4 studs spaced 16 inches on‑center</w:t>
      </w:r>
      <w:hyperlink r:id="rId63">
        <w:r>
          <w:rPr>
            <w:rStyle w:val="Hyperlink"/>
          </w:rPr>
          <w:t xml:space="preserve">[24]</w:t>
        </w:r>
      </w:hyperlink>
      <w:r>
        <w:t xml:space="preserve">. Research has shown that</w:t>
      </w:r>
      <w:r>
        <w:t xml:space="preserve"> </w:t>
      </w:r>
      <w:r>
        <w:rPr>
          <w:b/>
          <w:bCs/>
        </w:rPr>
        <w:t xml:space="preserve">2×6 studs spaced 24 inches on‑center</w:t>
      </w:r>
      <w:r>
        <w:t xml:space="preserve"> </w:t>
      </w:r>
      <w:r>
        <w:t xml:space="preserve">can adequately support exterior walls and are allowed by building codes in many jurisdictions</w:t>
      </w:r>
      <w:hyperlink r:id="rId64">
        <w:r>
          <w:rPr>
            <w:rStyle w:val="Hyperlink"/>
          </w:rPr>
          <w:t xml:space="preserve">[25]</w:t>
        </w:r>
      </w:hyperlink>
      <w:r>
        <w:t xml:space="preserve">. Switching to 2×6 @ 24″ OC increases insulation cavity width and reduces thermal bridging, but local codes in hurricane or high‑wind zones may still require 16 inch spacing</w:t>
      </w:r>
      <w:hyperlink r:id="rId65">
        <w:r>
          <w:rPr>
            <w:rStyle w:val="Hyperlink"/>
          </w:rPr>
          <w:t xml:space="preserve">[26]</w:t>
        </w:r>
      </w:hyperlink>
      <w:r>
        <w:t xml:space="preserve">.</w:t>
      </w:r>
    </w:p>
    <w:bookmarkEnd w:id="66"/>
    <w:bookmarkStart w:id="69" w:name="crown-orientation-and-grain"/>
    <w:p>
      <w:pPr>
        <w:pStyle w:val="Heading3"/>
      </w:pPr>
      <w:r>
        <w:t xml:space="preserve">Crown orientation and grain</w:t>
      </w:r>
    </w:p>
    <w:p>
      <w:pPr>
        <w:pStyle w:val="FirstParagraph"/>
      </w:pPr>
      <w:r>
        <w:t xml:space="preserve">Lumber often contains a slight natural</w:t>
      </w:r>
      <w:r>
        <w:t xml:space="preserve"> </w:t>
      </w:r>
      <w:r>
        <w:rPr>
          <w:b/>
          <w:bCs/>
        </w:rPr>
        <w:t xml:space="preserve">crown</w:t>
      </w:r>
      <w:r>
        <w:t xml:space="preserve"> </w:t>
      </w:r>
      <w:r>
        <w:t xml:space="preserve">(upward curvature along the length). For beams and joists, it is good practice to</w:t>
      </w:r>
      <w:r>
        <w:t xml:space="preserve"> </w:t>
      </w:r>
      <w:r>
        <w:rPr>
          <w:b/>
          <w:bCs/>
        </w:rPr>
        <w:t xml:space="preserve">install the crown side up</w:t>
      </w:r>
      <w:r>
        <w:t xml:space="preserve"> </w:t>
      </w:r>
      <w:r>
        <w:t xml:space="preserve">so that the weight of the structure tends to flatten the member rather than increase the sag</w:t>
      </w:r>
      <w:hyperlink r:id="rId67">
        <w:r>
          <w:rPr>
            <w:rStyle w:val="Hyperlink"/>
          </w:rPr>
          <w:t xml:space="preserve">[27]</w:t>
        </w:r>
      </w:hyperlink>
      <w:r>
        <w:t xml:space="preserve">. The Wood It’s Real article explains that cantilevered beams require at least 6 inches of airspace below and should be oriented with the crown up</w:t>
      </w:r>
      <w:hyperlink r:id="rId68">
        <w:r>
          <w:rPr>
            <w:rStyle w:val="Hyperlink"/>
          </w:rPr>
          <w:t xml:space="preserve">[28]</w:t>
        </w:r>
      </w:hyperlink>
      <w:r>
        <w:t xml:space="preserve">. When framing walls, carpenters typically orient studs so that all crowns face the same direction to prevent wavy walls. Proper orientation reduces deflection and facilitates a level finish surface.</w:t>
      </w:r>
    </w:p>
    <w:bookmarkEnd w:id="69"/>
    <w:bookmarkStart w:id="71" w:name="additional-framing-considerations"/>
    <w:p>
      <w:pPr>
        <w:pStyle w:val="Heading3"/>
      </w:pPr>
      <w:r>
        <w:t xml:space="preserve">Additional framing considerations</w:t>
      </w:r>
    </w:p>
    <w:p>
      <w:pPr>
        <w:pStyle w:val="Compact"/>
        <w:numPr>
          <w:ilvl w:val="0"/>
          <w:numId w:val="1005"/>
        </w:numPr>
      </w:pPr>
      <w:r>
        <w:rPr>
          <w:b/>
          <w:bCs/>
        </w:rPr>
        <w:t xml:space="preserve">Advanced framing:</w:t>
      </w:r>
      <w:r>
        <w:t xml:space="preserve"> </w:t>
      </w:r>
      <w:r>
        <w:t xml:space="preserve">The U.S. Department of Energy’s Building America program encourages</w:t>
      </w:r>
      <w:r>
        <w:t xml:space="preserve"> </w:t>
      </w:r>
      <w:r>
        <w:rPr>
          <w:b/>
          <w:bCs/>
        </w:rPr>
        <w:t xml:space="preserve">24 inch on‑center spacing</w:t>
      </w:r>
      <w:r>
        <w:t xml:space="preserve"> </w:t>
      </w:r>
      <w:r>
        <w:t xml:space="preserve">with 2×6 studs and other techniques (two‑stud corners, single top plates) to reduce thermal bridging and save lumber</w:t>
      </w:r>
      <w:hyperlink r:id="rId64">
        <w:r>
          <w:rPr>
            <w:rStyle w:val="Hyperlink"/>
          </w:rPr>
          <w:t xml:space="preserve">[25]</w:t>
        </w:r>
      </w:hyperlink>
      <w:r>
        <w:t xml:space="preserve">.</w:t>
      </w:r>
    </w:p>
    <w:p>
      <w:pPr>
        <w:pStyle w:val="Compact"/>
        <w:numPr>
          <w:ilvl w:val="0"/>
          <w:numId w:val="1005"/>
        </w:numPr>
      </w:pPr>
      <w:r>
        <w:rPr>
          <w:b/>
          <w:bCs/>
        </w:rPr>
        <w:t xml:space="preserve">Engineered wood products (EWP):</w:t>
      </w:r>
      <w:r>
        <w:t xml:space="preserve"> </w:t>
      </w:r>
      <w:r>
        <w:t xml:space="preserve">Engineered products such as</w:t>
      </w:r>
      <w:r>
        <w:t xml:space="preserve"> </w:t>
      </w:r>
      <w:r>
        <w:rPr>
          <w:b/>
          <w:bCs/>
        </w:rPr>
        <w:t xml:space="preserve">I‑joists</w:t>
      </w:r>
      <w:r>
        <w:t xml:space="preserve"> </w:t>
      </w:r>
      <w:r>
        <w:t xml:space="preserve">offer longer spans and greater dimensional stability than solid lumber. The APA – Engineered Wood Association notes that I‑joists are</w:t>
      </w:r>
      <w:r>
        <w:t xml:space="preserve"> </w:t>
      </w:r>
      <w:r>
        <w:rPr>
          <w:b/>
          <w:bCs/>
        </w:rPr>
        <w:t xml:space="preserve">ideal for long spans</w:t>
      </w:r>
      <w:r>
        <w:t xml:space="preserve"> </w:t>
      </w:r>
      <w:r>
        <w:t xml:space="preserve">and are manufactured in common depths such as 9½″, 11⅞″, 14″ and 16″</w:t>
      </w:r>
      <w:hyperlink r:id="rId70">
        <w:r>
          <w:rPr>
            <w:rStyle w:val="Hyperlink"/>
          </w:rPr>
          <w:t xml:space="preserve">[29]</w:t>
        </w:r>
      </w:hyperlink>
      <w:r>
        <w:t xml:space="preserve">. Because they are straight and true, builders can avoid crowning issues</w:t>
      </w:r>
      <w:hyperlink r:id="rId70">
        <w:r>
          <w:rPr>
            <w:rStyle w:val="Hyperlink"/>
          </w:rPr>
          <w:t xml:space="preserve">[30]</w:t>
        </w:r>
      </w:hyperlink>
      <w:r>
        <w:t xml:space="preserve">. Considering EWP can reduce material waste and allow open floor plans.</w:t>
      </w:r>
    </w:p>
    <w:bookmarkEnd w:id="71"/>
    <w:bookmarkEnd w:id="72"/>
    <w:bookmarkStart w:id="79" w:name="example-calculations-worked-examples"/>
    <w:p>
      <w:pPr>
        <w:pStyle w:val="Heading2"/>
      </w:pPr>
      <w:r>
        <w:t xml:space="preserve">Example Calculations (Worked Examples)</w:t>
      </w:r>
    </w:p>
    <w:p>
      <w:pPr>
        <w:pStyle w:val="FirstParagraph"/>
      </w:pPr>
      <w:r>
        <w:t xml:space="preserve">In addition to the board‑foot calculations above, here are some other practical examples.</w:t>
      </w:r>
    </w:p>
    <w:bookmarkStart w:id="73" w:name="X295cf306076d5738b64f2d8ff9fcd782a3e92ed"/>
    <w:p>
      <w:pPr>
        <w:pStyle w:val="Heading3"/>
      </w:pPr>
      <w:r>
        <w:t xml:space="preserve">Example 5 – How many lineal feet of 2×8 lumber gives 1 MBF?</w:t>
      </w:r>
    </w:p>
    <w:p>
      <w:pPr>
        <w:pStyle w:val="Compact"/>
        <w:numPr>
          <w:ilvl w:val="0"/>
          <w:numId w:val="1006"/>
        </w:numPr>
      </w:pPr>
      <w:r>
        <w:t xml:space="preserve">Determine board‑feet per linear foot: a 2×8 has</w:t>
      </w:r>
      <w:r>
        <w:t xml:space="preserve"> </w:t>
      </w:r>
      <m:oMath>
        <m:d>
          <m:dPr>
            <m:begChr m:val="("/>
            <m:sepChr m:val=""/>
            <m:endChr m:val=")"/>
            <m:grow/>
          </m:dPr>
          <m:e>
            <m:r>
              <m:t>2</m:t>
            </m:r>
            <m:r>
              <m:rPr>
                <m:sty m:val="p"/>
              </m:rPr>
              <m:t>×</m:t>
            </m:r>
            <m:r>
              <m:t>8</m:t>
            </m:r>
          </m:e>
        </m:d>
        <m:r>
          <m:rPr>
            <m:sty m:val="p"/>
          </m:rPr>
          <m:t>/</m:t>
        </m:r>
        <m:r>
          <m:t>12</m:t>
        </m:r>
        <m:r>
          <m:rPr>
            <m:sty m:val="p"/>
          </m:rPr>
          <m:t>=</m:t>
        </m:r>
        <m:r>
          <m:t>1.333</m:t>
        </m:r>
      </m:oMath>
      <w:r>
        <w:t xml:space="preserve"> </w:t>
      </w:r>
      <w:r>
        <w:t xml:space="preserve"> bf/lf.</w:t>
      </w:r>
    </w:p>
    <w:p>
      <w:pPr>
        <w:pStyle w:val="Compact"/>
        <w:numPr>
          <w:ilvl w:val="0"/>
          <w:numId w:val="1006"/>
        </w:numPr>
      </w:pPr>
      <w:r>
        <w:t xml:space="preserve">One MBF equals 1,000 board feet. Therefore linear feet required is</w:t>
      </w:r>
      <w:r>
        <w:t xml:space="preserve"> </w:t>
      </w:r>
      <m:oMath>
        <m:r>
          <m:t>1</m:t>
        </m:r>
        <m:r>
          <m:rPr>
            <m:sty m:val="p"/>
          </m:rPr>
          <m:t>,</m:t>
        </m:r>
        <m:r>
          <m:t>000</m:t>
        </m:r>
        <m:r>
          <m:t>b</m:t>
        </m:r>
        <m:r>
          <m:t>f</m:t>
        </m:r>
        <m:r>
          <m:rPr>
            <m:sty m:val="p"/>
          </m:rPr>
          <m:t>÷</m:t>
        </m:r>
        <m:r>
          <m:t>1.333</m:t>
        </m:r>
        <m:r>
          <m:t>b</m:t>
        </m:r>
        <m:r>
          <m:t>f</m:t>
        </m:r>
        <m:r>
          <m:rPr>
            <m:sty m:val="p"/>
          </m:rPr>
          <m:t>/</m:t>
        </m:r>
        <m:r>
          <m:t>l</m:t>
        </m:r>
        <m:r>
          <m:t>f</m:t>
        </m:r>
        <m:r>
          <m:rPr>
            <m:sty m:val="p"/>
          </m:rPr>
          <m:t>≈</m:t>
        </m:r>
        <m:r>
          <m:t>750</m:t>
        </m:r>
        <m:r>
          <m:t>l</m:t>
        </m:r>
        <m:r>
          <m:t>f</m:t>
        </m:r>
      </m:oMath>
      <w:r>
        <w:t xml:space="preserve"> </w:t>
      </w:r>
      <w:r>
        <w:t xml:space="preserve">.</w:t>
      </w:r>
    </w:p>
    <w:p>
      <w:pPr>
        <w:pStyle w:val="Compact"/>
        <w:numPr>
          <w:ilvl w:val="0"/>
          <w:numId w:val="1006"/>
        </w:numPr>
      </w:pPr>
      <w:r>
        <w:rPr>
          <w:b/>
          <w:bCs/>
        </w:rPr>
        <w:t xml:space="preserve">Answer:</w:t>
      </w:r>
      <w:r>
        <w:t xml:space="preserve"> </w:t>
      </w:r>
      <w:r>
        <w:t xml:space="preserve">Approximately</w:t>
      </w:r>
      <w:r>
        <w:t xml:space="preserve"> </w:t>
      </w:r>
      <w:r>
        <w:rPr>
          <w:b/>
          <w:bCs/>
        </w:rPr>
        <w:t xml:space="preserve">750 linear feet</w:t>
      </w:r>
      <w:r>
        <w:t xml:space="preserve"> </w:t>
      </w:r>
      <w:r>
        <w:t xml:space="preserve">of 2×8 equals 1 MBF.</w:t>
      </w:r>
    </w:p>
    <w:bookmarkEnd w:id="73"/>
    <w:bookmarkStart w:id="76" w:name="Xbaa96cd57d940bbe0ca6e3b9605c49e5757ae85"/>
    <w:p>
      <w:pPr>
        <w:pStyle w:val="Heading3"/>
      </w:pPr>
      <w:r>
        <w:t xml:space="preserve">Example 6 – Converting board feet to cubic meters</w:t>
      </w:r>
    </w:p>
    <w:p>
      <w:pPr>
        <w:pStyle w:val="FirstParagraph"/>
      </w:pPr>
      <w:r>
        <w:t xml:space="preserve">Suppose you have</w:t>
      </w:r>
      <w:r>
        <w:t xml:space="preserve"> </w:t>
      </w:r>
      <w:r>
        <w:rPr>
          <w:b/>
          <w:bCs/>
        </w:rPr>
        <w:t xml:space="preserve">3.321 cubic metres</w:t>
      </w:r>
      <w:r>
        <w:t xml:space="preserve"> </w:t>
      </w:r>
      <w:r>
        <w:t xml:space="preserve">of surfaced 1×6 lumber (3/4 × 5½ in). Putnam’s metric conversion factor for this size is 0.6167</w:t>
      </w:r>
      <w:hyperlink r:id="rId74">
        <w:r>
          <w:rPr>
            <w:rStyle w:val="Hyperlink"/>
          </w:rPr>
          <w:t xml:space="preserve">[31]</w:t>
        </w:r>
      </w:hyperlink>
      <w:r>
        <w:t xml:space="preserve">.</w:t>
      </w:r>
    </w:p>
    <w:p>
      <w:pPr>
        <w:pStyle w:val="Compact"/>
        <w:numPr>
          <w:ilvl w:val="0"/>
          <w:numId w:val="1007"/>
        </w:numPr>
      </w:pPr>
      <w:r>
        <w:t xml:space="preserve">Determine MBF: using equation (3) for 1×6 16′ S4S with 256 pieces, Putnam’s example yields</w:t>
      </w:r>
      <w:r>
        <w:t xml:space="preserve"> </w:t>
      </w:r>
      <w:r>
        <w:rPr>
          <w:b/>
          <w:bCs/>
        </w:rPr>
        <w:t xml:space="preserve">2.048 MBF</w:t>
      </w:r>
      <w:hyperlink r:id="rId75">
        <w:r>
          <w:rPr>
            <w:rStyle w:val="Hyperlink"/>
          </w:rPr>
          <w:t xml:space="preserve">[32]</w:t>
        </w:r>
      </w:hyperlink>
      <w:r>
        <w:t xml:space="preserve">.</w:t>
      </w:r>
    </w:p>
    <w:p>
      <w:pPr>
        <w:pStyle w:val="Compact"/>
        <w:numPr>
          <w:ilvl w:val="0"/>
          <w:numId w:val="1007"/>
        </w:numPr>
      </w:pPr>
      <w:r>
        <w:t xml:space="preserve">Convert MBF to cubic metres: divide MBF by the metric factor;</w:t>
      </w:r>
      <w:r>
        <w:t xml:space="preserve"> </w:t>
      </w:r>
      <w:r>
        <w:rPr>
          <w:b/>
          <w:bCs/>
        </w:rPr>
        <w:t xml:space="preserve">2.048 MBF ÷ 0.6167 ≈ 3.321 m³</w:t>
      </w:r>
      <w:hyperlink r:id="rId74">
        <w:r>
          <w:rPr>
            <w:rStyle w:val="Hyperlink"/>
          </w:rPr>
          <w:t xml:space="preserve">[33]</w:t>
        </w:r>
      </w:hyperlink>
      <w:r>
        <w:t xml:space="preserve">.</w:t>
      </w:r>
    </w:p>
    <w:p>
      <w:pPr>
        <w:pStyle w:val="Compact"/>
        <w:numPr>
          <w:ilvl w:val="0"/>
          <w:numId w:val="1007"/>
        </w:numPr>
      </w:pPr>
      <w:r>
        <w:rPr>
          <w:b/>
          <w:bCs/>
        </w:rPr>
        <w:t xml:space="preserve">Answer:</w:t>
      </w:r>
      <w:r>
        <w:t xml:space="preserve"> </w:t>
      </w:r>
      <w:r>
        <w:t xml:space="preserve">2.048 MBF of 1×6 S4S equates to roughly</w:t>
      </w:r>
      <w:r>
        <w:t xml:space="preserve"> </w:t>
      </w:r>
      <w:r>
        <w:rPr>
          <w:b/>
          <w:bCs/>
        </w:rPr>
        <w:t xml:space="preserve">3.321 m³</w:t>
      </w:r>
      <w:r>
        <w:t xml:space="preserve">.</w:t>
      </w:r>
    </w:p>
    <w:bookmarkEnd w:id="76"/>
    <w:bookmarkStart w:id="77" w:name="X784748bc1d5f8a9ae315d397b1b80560fff978a"/>
    <w:p>
      <w:pPr>
        <w:pStyle w:val="Heading3"/>
      </w:pPr>
      <w:r>
        <w:t xml:space="preserve">Example 7 – Estimating joist span using the depth‑rule</w:t>
      </w:r>
    </w:p>
    <w:p>
      <w:pPr>
        <w:pStyle w:val="FirstParagraph"/>
      </w:pPr>
      <w:r>
        <w:t xml:space="preserve">A designer is asked to estimate the span for a double 2×10 beam supporting deck joists. Using the rule‑of‑thumb that a double‑ply beam can span in feet equal to its depth in inches</w:t>
      </w:r>
      <w:hyperlink r:id="rId61">
        <w:r>
          <w:rPr>
            <w:rStyle w:val="Hyperlink"/>
          </w:rPr>
          <w:t xml:space="preserve">[23]</w:t>
        </w:r>
      </w:hyperlink>
      <w:r>
        <w:t xml:space="preserve">:</w:t>
      </w:r>
    </w:p>
    <w:p>
      <w:pPr>
        <w:pStyle w:val="Compact"/>
        <w:numPr>
          <w:ilvl w:val="0"/>
          <w:numId w:val="1008"/>
        </w:numPr>
      </w:pPr>
      <w:r>
        <w:t xml:space="preserve">A 2×10 has a nominal depth of 10 inches.</w:t>
      </w:r>
    </w:p>
    <w:p>
      <w:pPr>
        <w:pStyle w:val="Compact"/>
        <w:numPr>
          <w:ilvl w:val="0"/>
          <w:numId w:val="1008"/>
        </w:numPr>
      </w:pPr>
      <w:r>
        <w:t xml:space="preserve">Therefore, a double 2×10 beam can span roughly</w:t>
      </w:r>
      <w:r>
        <w:t xml:space="preserve"> </w:t>
      </w:r>
      <w:r>
        <w:rPr>
          <w:b/>
          <w:bCs/>
        </w:rPr>
        <w:t xml:space="preserve">10 feet</w:t>
      </w:r>
      <w:r>
        <w:t xml:space="preserve">.</w:t>
      </w:r>
    </w:p>
    <w:p>
      <w:pPr>
        <w:pStyle w:val="Compact"/>
        <w:numPr>
          <w:ilvl w:val="0"/>
          <w:numId w:val="1008"/>
        </w:numPr>
      </w:pPr>
      <w:r>
        <w:t xml:space="preserve">If the design requires a longer span, consider a double 2×12 (≈ 12 ft span) or engineered wood. Always verify against manufacturer span tables.</w:t>
      </w:r>
    </w:p>
    <w:bookmarkEnd w:id="77"/>
    <w:bookmarkStart w:id="78" w:name="Xa5f8891664cd511573c35ea5c5d4d867b207e44"/>
    <w:p>
      <w:pPr>
        <w:pStyle w:val="Heading3"/>
      </w:pPr>
      <w:r>
        <w:t xml:space="preserve">Example 8 – How many board feet are in a 2×12×14′ header?</w:t>
      </w:r>
    </w:p>
    <w:p>
      <w:pPr>
        <w:pStyle w:val="Compact"/>
        <w:numPr>
          <w:ilvl w:val="0"/>
          <w:numId w:val="1009"/>
        </w:numPr>
      </w:pPr>
      <w:r>
        <w:t xml:space="preserve">Use equation (2) with nominal dimensions:</w:t>
      </w:r>
      <w:r>
        <w:t xml:space="preserve"> </w:t>
      </w:r>
      <m:oMath>
        <m:d>
          <m:dPr>
            <m:begChr m:val="("/>
            <m:sepChr m:val=""/>
            <m:endChr m:val=")"/>
            <m:grow/>
          </m:dPr>
          <m:e>
            <m:r>
              <m:t>2</m:t>
            </m:r>
            <m:r>
              <m:rPr>
                <m:sty m:val="p"/>
              </m:rPr>
              <m:t>×</m:t>
            </m:r>
            <m:r>
              <m:t>12</m:t>
            </m:r>
            <m:r>
              <m:rPr>
                <m:sty m:val="p"/>
              </m:rPr>
              <m:t>×</m:t>
            </m:r>
            <m:r>
              <m:t>14</m:t>
            </m:r>
          </m:e>
        </m:d>
        <m:r>
          <m:rPr>
            <m:sty m:val="p"/>
          </m:rPr>
          <m:t>/</m:t>
        </m:r>
        <m:r>
          <m:t>12</m:t>
        </m:r>
        <m:r>
          <m:rPr>
            <m:sty m:val="p"/>
          </m:rPr>
          <m:t>=</m:t>
        </m:r>
        <m:r>
          <m:t>28</m:t>
        </m:r>
      </m:oMath>
      <w:r>
        <w:t xml:space="preserve"> </w:t>
      </w:r>
      <w:r>
        <w:t xml:space="preserve"> board feet.</w:t>
      </w:r>
    </w:p>
    <w:p>
      <w:pPr>
        <w:pStyle w:val="Compact"/>
        <w:numPr>
          <w:ilvl w:val="0"/>
          <w:numId w:val="1009"/>
        </w:numPr>
      </w:pPr>
      <w:r>
        <w:rPr>
          <w:b/>
          <w:bCs/>
        </w:rPr>
        <w:t xml:space="preserve">Answer:</w:t>
      </w:r>
      <w:r>
        <w:t xml:space="preserve"> </w:t>
      </w:r>
      <w:r>
        <w:t xml:space="preserve">The 2×12×14′ header contains</w:t>
      </w:r>
      <w:r>
        <w:t xml:space="preserve"> </w:t>
      </w:r>
      <w:r>
        <w:rPr>
          <w:b/>
          <w:bCs/>
        </w:rPr>
        <w:t xml:space="preserve">28 board feet</w:t>
      </w:r>
      <w:r>
        <w:t xml:space="preserve">.</w:t>
      </w:r>
    </w:p>
    <w:bookmarkEnd w:id="78"/>
    <w:bookmarkEnd w:id="79"/>
    <w:bookmarkStart w:id="80" w:name="scamper-discussion"/>
    <w:p>
      <w:pPr>
        <w:pStyle w:val="Heading2"/>
      </w:pPr>
      <w:r>
        <w:t xml:space="preserve">SCAMPER Discussion</w:t>
      </w:r>
    </w:p>
    <w:p>
      <w:pPr>
        <w:pStyle w:val="FirstParagraph"/>
      </w:pPr>
      <w:r>
        <w:t xml:space="preserve">The SCAMPER creativity framework encourages thinking about how dimensional lumber might evolve. Here are some prompts:</w:t>
      </w:r>
    </w:p>
    <w:p>
      <w:pPr>
        <w:pStyle w:val="Compact"/>
        <w:numPr>
          <w:ilvl w:val="0"/>
          <w:numId w:val="1010"/>
        </w:numPr>
      </w:pPr>
      <w:r>
        <w:rPr>
          <w:b/>
          <w:bCs/>
        </w:rPr>
        <w:t xml:space="preserve">Substitute:</w:t>
      </w:r>
      <w:r>
        <w:t xml:space="preserve"> </w:t>
      </w:r>
      <w:r>
        <w:t xml:space="preserve">Could sustainably sourced engineered wood replace solid 2×10 joists? I‑joists provide longer spans and straighter members</w:t>
      </w:r>
      <w:hyperlink r:id="rId70">
        <w:r>
          <w:rPr>
            <w:rStyle w:val="Hyperlink"/>
          </w:rPr>
          <w:t xml:space="preserve">[29]</w:t>
        </w:r>
      </w:hyperlink>
      <w:r>
        <w:t xml:space="preserve">, potentially reducing the number of intermediate supports.</w:t>
      </w:r>
    </w:p>
    <w:p>
      <w:pPr>
        <w:pStyle w:val="Compact"/>
        <w:numPr>
          <w:ilvl w:val="0"/>
          <w:numId w:val="1010"/>
        </w:numPr>
      </w:pPr>
      <w:r>
        <w:rPr>
          <w:b/>
          <w:bCs/>
        </w:rPr>
        <w:t xml:space="preserve">Combine:</w:t>
      </w:r>
      <w:r>
        <w:t xml:space="preserve"> </w:t>
      </w:r>
      <w:r>
        <w:t xml:space="preserve">What happens when</w:t>
      </w:r>
      <w:r>
        <w:t xml:space="preserve"> </w:t>
      </w:r>
      <w:r>
        <w:rPr>
          <w:b/>
          <w:bCs/>
        </w:rPr>
        <w:t xml:space="preserve">dimensional lumber is combined with engineered wood products</w:t>
      </w:r>
      <w:r>
        <w:t xml:space="preserve">? Hybrid assemblies (e.g., LVL beams with 2×4 infill) might optimise strength, span and cost.</w:t>
      </w:r>
    </w:p>
    <w:p>
      <w:pPr>
        <w:pStyle w:val="Compact"/>
        <w:numPr>
          <w:ilvl w:val="0"/>
          <w:numId w:val="1010"/>
        </w:numPr>
      </w:pPr>
      <w:r>
        <w:rPr>
          <w:b/>
          <w:bCs/>
        </w:rPr>
        <w:t xml:space="preserve">Adapt:</w:t>
      </w:r>
      <w:r>
        <w:t xml:space="preserve"> </w:t>
      </w:r>
      <w:r>
        <w:t xml:space="preserve">Can we</w:t>
      </w:r>
      <w:r>
        <w:t xml:space="preserve"> </w:t>
      </w:r>
      <w:r>
        <w:rPr>
          <w:b/>
          <w:bCs/>
        </w:rPr>
        <w:t xml:space="preserve">adapt</w:t>
      </w:r>
      <w:r>
        <w:t xml:space="preserve"> </w:t>
      </w:r>
      <w:r>
        <w:t xml:space="preserve">standard dimensions to offsite manufacturing? Advanced framing using 2×6 @ 24″ OC reduces lumber usage and improves insulation</w:t>
      </w:r>
      <w:hyperlink r:id="rId64">
        <w:r>
          <w:rPr>
            <w:rStyle w:val="Hyperlink"/>
          </w:rPr>
          <w:t xml:space="preserve">[25]</w:t>
        </w:r>
      </w:hyperlink>
      <w:r>
        <w:t xml:space="preserve">.</w:t>
      </w:r>
    </w:p>
    <w:p>
      <w:pPr>
        <w:pStyle w:val="Compact"/>
        <w:numPr>
          <w:ilvl w:val="0"/>
          <w:numId w:val="1010"/>
        </w:numPr>
      </w:pPr>
      <w:r>
        <w:rPr>
          <w:b/>
          <w:bCs/>
        </w:rPr>
        <w:t xml:space="preserve">Modify:</w:t>
      </w:r>
      <w:r>
        <w:t xml:space="preserve"> </w:t>
      </w:r>
      <w:r>
        <w:t xml:space="preserve">How might</w:t>
      </w:r>
      <w:r>
        <w:t xml:space="preserve"> </w:t>
      </w:r>
      <w:r>
        <w:rPr>
          <w:b/>
          <w:bCs/>
        </w:rPr>
        <w:t xml:space="preserve">new engineered shapes reduce waste</w:t>
      </w:r>
      <w:r>
        <w:t xml:space="preserve">? Continuous cross‑laminated timbers or finger‑jointed studs could use small offcuts to make long members.</w:t>
      </w:r>
    </w:p>
    <w:p>
      <w:pPr>
        <w:pStyle w:val="Compact"/>
        <w:numPr>
          <w:ilvl w:val="0"/>
          <w:numId w:val="1010"/>
        </w:numPr>
      </w:pPr>
      <w:r>
        <w:rPr>
          <w:b/>
          <w:bCs/>
        </w:rPr>
        <w:t xml:space="preserve">Put to another use:</w:t>
      </w:r>
      <w:r>
        <w:t xml:space="preserve"> </w:t>
      </w:r>
      <w:r>
        <w:t xml:space="preserve">Could short off‑cuts be repurposed for blocking, furring or engineered composite products?</w:t>
      </w:r>
    </w:p>
    <w:p>
      <w:pPr>
        <w:pStyle w:val="Compact"/>
        <w:numPr>
          <w:ilvl w:val="0"/>
          <w:numId w:val="1010"/>
        </w:numPr>
      </w:pPr>
      <w:r>
        <w:rPr>
          <w:b/>
          <w:bCs/>
        </w:rPr>
        <w:t xml:space="preserve">Eliminate:</w:t>
      </w:r>
      <w:r>
        <w:t xml:space="preserve"> </w:t>
      </w:r>
      <w:r>
        <w:t xml:space="preserve">Are there components (e.g., jack studs under small headers) that could be reduced with metal hangers or advanced framing techniques?</w:t>
      </w:r>
    </w:p>
    <w:p>
      <w:pPr>
        <w:pStyle w:val="Compact"/>
        <w:numPr>
          <w:ilvl w:val="0"/>
          <w:numId w:val="1010"/>
        </w:numPr>
      </w:pPr>
      <w:r>
        <w:rPr>
          <w:b/>
          <w:bCs/>
        </w:rPr>
        <w:t xml:space="preserve">Reverse/Rearrange:</w:t>
      </w:r>
      <w:r>
        <w:t xml:space="preserve"> </w:t>
      </w:r>
      <w:r>
        <w:t xml:space="preserve">Might reversing the typical orientation (laying 2×4 studs flat rather than upright) create new architectural effects? Always consult structural engineers when experimenting.</w:t>
      </w:r>
    </w:p>
    <w:bookmarkEnd w:id="80"/>
    <w:bookmarkStart w:id="82" w:name="likely-user-questions"/>
    <w:p>
      <w:pPr>
        <w:pStyle w:val="Heading2"/>
      </w:pPr>
      <w:r>
        <w:t xml:space="preserve">Likely User Questions</w:t>
      </w:r>
    </w:p>
    <w:p>
      <w:pPr>
        <w:pStyle w:val="Compact"/>
        <w:numPr>
          <w:ilvl w:val="0"/>
          <w:numId w:val="1011"/>
        </w:numPr>
      </w:pPr>
      <w:r>
        <w:rPr>
          <w:b/>
          <w:bCs/>
        </w:rPr>
        <w:t xml:space="preserve">What is the difference between nominal and actual lumber sizes?</w:t>
      </w:r>
      <w:r>
        <w:t xml:space="preserve"> </w:t>
      </w:r>
      <w:r>
        <w:t xml:space="preserve">Nominal sizes describe rough‑sawn dimensions, whereas actual sizes are the smaller finished dimensions after drying and planing</w:t>
      </w:r>
      <w:hyperlink r:id="rId24">
        <w:r>
          <w:rPr>
            <w:rStyle w:val="Hyperlink"/>
          </w:rPr>
          <w:t xml:space="preserve">[2]</w:t>
        </w:r>
      </w:hyperlink>
      <w:r>
        <w:t xml:space="preserve">.</w:t>
      </w:r>
    </w:p>
    <w:p>
      <w:pPr>
        <w:pStyle w:val="Compact"/>
        <w:numPr>
          <w:ilvl w:val="0"/>
          <w:numId w:val="1011"/>
        </w:numPr>
      </w:pPr>
      <w:r>
        <w:rPr>
          <w:b/>
          <w:bCs/>
        </w:rPr>
        <w:t xml:space="preserve">How many board feet are in a 2×4×10 ft board?</w:t>
      </w:r>
      <w:r>
        <w:t xml:space="preserve"> </w:t>
      </w:r>
      <w:r>
        <w:t xml:space="preserve">Using equation (2):</w:t>
      </w:r>
      <w:r>
        <w:t xml:space="preserve"> </w:t>
      </w:r>
      <m:oMath>
        <m:d>
          <m:dPr>
            <m:begChr m:val="("/>
            <m:sepChr m:val=""/>
            <m:endChr m:val=")"/>
            <m:grow/>
          </m:dPr>
          <m:e>
            <m:r>
              <m:t>2</m:t>
            </m:r>
            <m:r>
              <m:rPr>
                <m:sty m:val="p"/>
              </m:rPr>
              <m:t>×</m:t>
            </m:r>
            <m:r>
              <m:t>4</m:t>
            </m:r>
            <m:r>
              <m:rPr>
                <m:sty m:val="p"/>
              </m:rPr>
              <m:t>×</m:t>
            </m:r>
            <m:r>
              <m:t>10</m:t>
            </m:r>
          </m:e>
        </m:d>
        <m:r>
          <m:rPr>
            <m:sty m:val="p"/>
          </m:rPr>
          <m:t>/</m:t>
        </m:r>
        <m:r>
          <m:t>12</m:t>
        </m:r>
        <m:r>
          <m:rPr>
            <m:sty m:val="p"/>
          </m:rPr>
          <m:t>=</m:t>
        </m:r>
        <m:r>
          <m:t>6.67</m:t>
        </m:r>
      </m:oMath>
      <w:r>
        <w:t xml:space="preserve"> </w:t>
      </w:r>
      <w:r>
        <w:t xml:space="preserve"> board feet.</w:t>
      </w:r>
    </w:p>
    <w:p>
      <w:pPr>
        <w:pStyle w:val="Compact"/>
        <w:numPr>
          <w:ilvl w:val="0"/>
          <w:numId w:val="1011"/>
        </w:numPr>
      </w:pPr>
      <w:r>
        <w:rPr>
          <w:b/>
          <w:bCs/>
        </w:rPr>
        <w:t xml:space="preserve">How do I convert linear feet to board feet?</w:t>
      </w:r>
      <w:r>
        <w:t xml:space="preserve"> </w:t>
      </w:r>
      <w:r>
        <w:t xml:space="preserve">Use equation (2); multiply nominal thickness and width (inches), multiply by length (feet), then divide by 12</w:t>
      </w:r>
      <w:hyperlink r:id="rId43">
        <w:r>
          <w:rPr>
            <w:rStyle w:val="Hyperlink"/>
          </w:rPr>
          <w:t xml:space="preserve">[16]</w:t>
        </w:r>
      </w:hyperlink>
      <w:r>
        <w:t xml:space="preserve">.</w:t>
      </w:r>
    </w:p>
    <w:p>
      <w:pPr>
        <w:pStyle w:val="Compact"/>
        <w:numPr>
          <w:ilvl w:val="0"/>
          <w:numId w:val="1011"/>
        </w:numPr>
      </w:pPr>
      <w:r>
        <w:rPr>
          <w:b/>
          <w:bCs/>
        </w:rPr>
        <w:t xml:space="preserve">How many board feet are in a bundle of lumber?</w:t>
      </w:r>
      <w:r>
        <w:t xml:space="preserve"> </w:t>
      </w:r>
      <w:r>
        <w:t xml:space="preserve">Multiply board‑feet per piece by the number of pieces; divide by 1,000 to convert to MBF</w:t>
      </w:r>
      <w:hyperlink r:id="rId35">
        <w:r>
          <w:rPr>
            <w:rStyle w:val="Hyperlink"/>
          </w:rPr>
          <w:t xml:space="preserve">[11]</w:t>
        </w:r>
      </w:hyperlink>
      <w:r>
        <w:t xml:space="preserve">.</w:t>
      </w:r>
    </w:p>
    <w:p>
      <w:pPr>
        <w:pStyle w:val="Compact"/>
        <w:numPr>
          <w:ilvl w:val="0"/>
          <w:numId w:val="1011"/>
        </w:numPr>
      </w:pPr>
      <w:r>
        <w:rPr>
          <w:b/>
          <w:bCs/>
        </w:rPr>
        <w:t xml:space="preserve">What are standard stud spacings?</w:t>
      </w:r>
      <w:r>
        <w:t xml:space="preserve"> </w:t>
      </w:r>
      <w:r>
        <w:t xml:space="preserve">Traditional framing uses 2×4 studs at 16 inches on‑center; codes allow 2×6 studs at 24 inches on‑center in many climates</w:t>
      </w:r>
      <w:hyperlink r:id="rId81">
        <w:r>
          <w:rPr>
            <w:rStyle w:val="Hyperlink"/>
          </w:rPr>
          <w:t xml:space="preserve">[34]</w:t>
        </w:r>
      </w:hyperlink>
      <w:r>
        <w:t xml:space="preserve">.</w:t>
      </w:r>
    </w:p>
    <w:p>
      <w:pPr>
        <w:pStyle w:val="Compact"/>
        <w:numPr>
          <w:ilvl w:val="0"/>
          <w:numId w:val="1011"/>
        </w:numPr>
      </w:pPr>
      <w:r>
        <w:rPr>
          <w:b/>
          <w:bCs/>
        </w:rPr>
        <w:t xml:space="preserve">How do I calculate MSF for plywood panels?</w:t>
      </w:r>
      <w:r>
        <w:t xml:space="preserve"> </w:t>
      </w:r>
      <w:r>
        <w:t xml:space="preserve">Multiply the width and length (ft), multiply by the number of sheets and divide by 1,000</w:t>
      </w:r>
      <w:hyperlink r:id="rId46">
        <w:r>
          <w:rPr>
            <w:rStyle w:val="Hyperlink"/>
          </w:rPr>
          <w:t xml:space="preserve">[17]</w:t>
        </w:r>
      </w:hyperlink>
      <w:r>
        <w:t xml:space="preserve">.</w:t>
      </w:r>
    </w:p>
    <w:bookmarkEnd w:id="82"/>
    <w:bookmarkStart w:id="83" w:name="related-topics-crosslinks"/>
    <w:p>
      <w:pPr>
        <w:pStyle w:val="Heading2"/>
      </w:pPr>
      <w:r>
        <w:t xml:space="preserve">Related Topics / Crosslinks</w:t>
      </w:r>
    </w:p>
    <w:p>
      <w:pPr>
        <w:pStyle w:val="Compact"/>
        <w:numPr>
          <w:ilvl w:val="0"/>
          <w:numId w:val="1012"/>
        </w:numPr>
      </w:pPr>
      <w:r>
        <w:rPr>
          <w:b/>
          <w:bCs/>
        </w:rPr>
        <w:t xml:space="preserve">Engineered Wood Products (EWP)</w:t>
      </w:r>
      <w:r>
        <w:t xml:space="preserve"> </w:t>
      </w:r>
      <w:r>
        <w:t xml:space="preserve">– LVL, PSL, I‑joists and how they compare to dimensional lumber.</w:t>
      </w:r>
    </w:p>
    <w:p>
      <w:pPr>
        <w:pStyle w:val="Compact"/>
        <w:numPr>
          <w:ilvl w:val="0"/>
          <w:numId w:val="1012"/>
        </w:numPr>
      </w:pPr>
      <w:r>
        <w:rPr>
          <w:b/>
          <w:bCs/>
        </w:rPr>
        <w:t xml:space="preserve">Glulam &amp; Laminated Beams</w:t>
      </w:r>
      <w:r>
        <w:t xml:space="preserve"> </w:t>
      </w:r>
      <w:r>
        <w:t xml:space="preserve">– sizes, applications and span tables.</w:t>
      </w:r>
    </w:p>
    <w:p>
      <w:pPr>
        <w:pStyle w:val="Compact"/>
        <w:numPr>
          <w:ilvl w:val="0"/>
          <w:numId w:val="1012"/>
        </w:numPr>
      </w:pPr>
      <w:r>
        <w:rPr>
          <w:b/>
          <w:bCs/>
        </w:rPr>
        <w:t xml:space="preserve">Wall Framing Techniques</w:t>
      </w:r>
      <w:r>
        <w:t xml:space="preserve"> </w:t>
      </w:r>
      <w:r>
        <w:t xml:space="preserve">– stud layouts, advanced framing, and energy‑efficient detailing.</w:t>
      </w:r>
    </w:p>
    <w:p>
      <w:pPr>
        <w:pStyle w:val="Compact"/>
        <w:numPr>
          <w:ilvl w:val="0"/>
          <w:numId w:val="1012"/>
        </w:numPr>
      </w:pPr>
      <w:r>
        <w:rPr>
          <w:b/>
          <w:bCs/>
        </w:rPr>
        <w:t xml:space="preserve">Deck Construction</w:t>
      </w:r>
      <w:r>
        <w:t xml:space="preserve"> </w:t>
      </w:r>
      <w:r>
        <w:t xml:space="preserve">– beam and joist sizing, decking materials, fastening methods.</w:t>
      </w:r>
    </w:p>
    <w:p>
      <w:pPr>
        <w:pStyle w:val="Compact"/>
        <w:numPr>
          <w:ilvl w:val="0"/>
          <w:numId w:val="1012"/>
        </w:numPr>
      </w:pPr>
      <w:r>
        <w:rPr>
          <w:b/>
          <w:bCs/>
        </w:rPr>
        <w:t xml:space="preserve">Plywood &amp; OSB Panels</w:t>
      </w:r>
      <w:r>
        <w:t xml:space="preserve"> </w:t>
      </w:r>
      <w:r>
        <w:t xml:space="preserve">– thicknesses, grades and span ratings.</w:t>
      </w:r>
    </w:p>
    <w:p>
      <w:pPr>
        <w:pStyle w:val="Compact"/>
        <w:numPr>
          <w:ilvl w:val="0"/>
          <w:numId w:val="1012"/>
        </w:numPr>
      </w:pPr>
      <w:r>
        <w:rPr>
          <w:b/>
          <w:bCs/>
        </w:rPr>
        <w:t xml:space="preserve">Lumber Grades &amp; Species</w:t>
      </w:r>
      <w:r>
        <w:t xml:space="preserve"> </w:t>
      </w:r>
      <w:r>
        <w:t xml:space="preserve">– understanding species (SPF, SYP, Douglas‑fir) and grading rules.</w:t>
      </w:r>
    </w:p>
    <w:bookmarkEnd w:id="83"/>
    <w:bookmarkEnd w:id="84"/>
    <w:p>
      <w:r>
        <w:pict>
          <v:rect style="width:0;height:1.5pt" o:hralign="center" o:hrstd="t" o:hr="t"/>
        </w:pict>
      </w:r>
    </w:p>
    <w:bookmarkStart w:id="95" w:name="citations"/>
    <w:p>
      <w:pPr>
        <w:pStyle w:val="FirstParagraph"/>
      </w:pPr>
      <w:hyperlink r:id="rId22">
        <w:r>
          <w:rPr>
            <w:rStyle w:val="Hyperlink"/>
          </w:rPr>
          <w:t xml:space="preserve">[1]</w:t>
        </w:r>
      </w:hyperlink>
      <w:r>
        <w:t xml:space="preserve"> </w:t>
      </w:r>
      <w:hyperlink r:id="rId30">
        <w:r>
          <w:rPr>
            <w:rStyle w:val="Hyperlink"/>
          </w:rPr>
          <w:t xml:space="preserve">[7]</w:t>
        </w:r>
      </w:hyperlink>
      <w:r>
        <w:t xml:space="preserve"> </w:t>
      </w:r>
      <w:hyperlink r:id="rId22">
        <w:r>
          <w:rPr>
            <w:rStyle w:val="Hyperlink"/>
          </w:rPr>
          <w:t xml:space="preserve">[8]</w:t>
        </w:r>
      </w:hyperlink>
      <w:r>
        <w:t xml:space="preserve"> </w:t>
      </w:r>
      <w:hyperlink r:id="rId32">
        <w:r>
          <w:rPr>
            <w:rStyle w:val="Hyperlink"/>
          </w:rPr>
          <w:t xml:space="preserve">[9]</w:t>
        </w:r>
      </w:hyperlink>
      <w:r>
        <w:t xml:space="preserve"> </w:t>
      </w:r>
      <w:r>
        <w:t xml:space="preserve">Lumber Dimensions: Nominal vs Actual - Archtoolbox</w:t>
      </w:r>
    </w:p>
    <w:p>
      <w:pPr>
        <w:pStyle w:val="BodyText"/>
      </w:pPr>
      <w:hyperlink r:id="rId85">
        <w:r>
          <w:rPr>
            <w:rStyle w:val="Hyperlink"/>
          </w:rPr>
          <w:t xml:space="preserve">https://www.archtoolbox.com/lumber-dimensions/</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9">
        <w:r>
          <w:rPr>
            <w:rStyle w:val="Hyperlink"/>
          </w:rPr>
          <w:t xml:space="preserve">[6]</w:t>
        </w:r>
      </w:hyperlink>
      <w:r>
        <w:t xml:space="preserve"> </w:t>
      </w:r>
      <w:hyperlink r:id="rId40">
        <w:r>
          <w:rPr>
            <w:rStyle w:val="Hyperlink"/>
          </w:rPr>
          <w:t xml:space="preserve">[14]</w:t>
        </w:r>
      </w:hyperlink>
      <w:r>
        <w:t xml:space="preserve"> </w:t>
      </w:r>
      <w:r>
        <w:t xml:space="preserve">Ultimate Guide to Lumber Dimensions: Actual vs Nominal Sizes | Kreg Tool</w:t>
      </w:r>
    </w:p>
    <w:p>
      <w:pPr>
        <w:pStyle w:val="BodyText"/>
      </w:pPr>
      <w:hyperlink r:id="rId86">
        <w:r>
          <w:rPr>
            <w:rStyle w:val="Hyperlink"/>
          </w:rPr>
          <w:t xml:space="preserve">https://learn.kregtool.com/learn/understand-lumber-sizing/</w:t>
        </w:r>
      </w:hyperlink>
    </w:p>
    <w:p>
      <w:pPr>
        <w:pStyle w:val="BodyText"/>
      </w:pPr>
      <w:hyperlink r:id="rId33">
        <w:r>
          <w:rPr>
            <w:rStyle w:val="Hyperlink"/>
          </w:rPr>
          <w:t xml:space="preserve">[10]</w:t>
        </w:r>
      </w:hyperlink>
      <w:r>
        <w:t xml:space="preserve"> </w:t>
      </w:r>
      <w:r>
        <w:t xml:space="preserve">Lumber Dimensions and Size Measurements</w:t>
      </w:r>
    </w:p>
    <w:p>
      <w:pPr>
        <w:pStyle w:val="BodyText"/>
      </w:pPr>
      <w:hyperlink r:id="rId87">
        <w:r>
          <w:rPr>
            <w:rStyle w:val="Hyperlink"/>
          </w:rPr>
          <w:t xml:space="preserve">https://www.advantagelumber.com/sizes.htm</w:t>
        </w:r>
      </w:hyperlink>
    </w:p>
    <w:p>
      <w:pPr>
        <w:pStyle w:val="BodyText"/>
      </w:pPr>
      <w:hyperlink r:id="rId35">
        <w:r>
          <w:rPr>
            <w:rStyle w:val="Hyperlink"/>
          </w:rPr>
          <w:t xml:space="preserve">[11]</w:t>
        </w:r>
      </w:hyperlink>
      <w:r>
        <w:t xml:space="preserve"> </w:t>
      </w:r>
      <w:hyperlink r:id="rId46">
        <w:r>
          <w:rPr>
            <w:rStyle w:val="Hyperlink"/>
          </w:rPr>
          <w:t xml:space="preserve">[17]</w:t>
        </w:r>
      </w:hyperlink>
      <w:r>
        <w:t xml:space="preserve"> </w:t>
      </w:r>
      <w:hyperlink r:id="rId74">
        <w:r>
          <w:rPr>
            <w:rStyle w:val="Hyperlink"/>
          </w:rPr>
          <w:t xml:space="preserve">[31]</w:t>
        </w:r>
      </w:hyperlink>
      <w:r>
        <w:t xml:space="preserve"> </w:t>
      </w:r>
      <w:hyperlink r:id="rId75">
        <w:r>
          <w:rPr>
            <w:rStyle w:val="Hyperlink"/>
          </w:rPr>
          <w:t xml:space="preserve">[32]</w:t>
        </w:r>
      </w:hyperlink>
      <w:r>
        <w:t xml:space="preserve"> </w:t>
      </w:r>
      <w:hyperlink r:id="rId74">
        <w:r>
          <w:rPr>
            <w:rStyle w:val="Hyperlink"/>
          </w:rPr>
          <w:t xml:space="preserve">[33]</w:t>
        </w:r>
      </w:hyperlink>
      <w:r>
        <w:t xml:space="preserve"> </w:t>
      </w:r>
      <w:r>
        <w:t xml:space="preserve">Lumber and Panel Calculations</w:t>
      </w:r>
    </w:p>
    <w:p>
      <w:pPr>
        <w:pStyle w:val="BodyText"/>
      </w:pPr>
      <w:hyperlink r:id="rId88">
        <w:r>
          <w:rPr>
            <w:rStyle w:val="Hyperlink"/>
          </w:rPr>
          <w:t xml:space="preserve">https://www.putnamlumber.com/conversions.html</w:t>
        </w:r>
      </w:hyperlink>
    </w:p>
    <w:p>
      <w:pPr>
        <w:pStyle w:val="BodyText"/>
      </w:pPr>
      <w:hyperlink r:id="rId38">
        <w:r>
          <w:rPr>
            <w:rStyle w:val="Hyperlink"/>
          </w:rPr>
          <w:t xml:space="preserve">[12]</w:t>
        </w:r>
      </w:hyperlink>
      <w:r>
        <w:t xml:space="preserve"> </w:t>
      </w:r>
      <w:hyperlink r:id="rId39">
        <w:r>
          <w:rPr>
            <w:rStyle w:val="Hyperlink"/>
          </w:rPr>
          <w:t xml:space="preserve">[13]</w:t>
        </w:r>
      </w:hyperlink>
      <w:r>
        <w:t xml:space="preserve"> </w:t>
      </w:r>
      <w:hyperlink r:id="rId41">
        <w:r>
          <w:rPr>
            <w:rStyle w:val="Hyperlink"/>
          </w:rPr>
          <w:t xml:space="preserve">[15]</w:t>
        </w:r>
      </w:hyperlink>
      <w:r>
        <w:t xml:space="preserve"> </w:t>
      </w:r>
      <w:r>
        <w:t xml:space="preserve">Measuring Standing Trees | Ohioline</w:t>
      </w:r>
    </w:p>
    <w:p>
      <w:pPr>
        <w:pStyle w:val="BodyText"/>
      </w:pPr>
      <w:hyperlink r:id="rId89">
        <w:r>
          <w:rPr>
            <w:rStyle w:val="Hyperlink"/>
          </w:rPr>
          <w:t xml:space="preserve">https://ohioline.osu.edu/factsheet/F-35-02</w:t>
        </w:r>
      </w:hyperlink>
    </w:p>
    <w:p>
      <w:pPr>
        <w:pStyle w:val="BodyText"/>
      </w:pPr>
      <w:hyperlink r:id="rId43">
        <w:r>
          <w:rPr>
            <w:rStyle w:val="Hyperlink"/>
          </w:rPr>
          <w:t xml:space="preserve">[16]</w:t>
        </w:r>
      </w:hyperlink>
      <w:r>
        <w:t xml:space="preserve"> </w:t>
      </w:r>
      <w:r>
        <w:t xml:space="preserve">Microsoft Word - Lineal feet to –rsion table.doc</w:t>
      </w:r>
    </w:p>
    <w:p>
      <w:pPr>
        <w:pStyle w:val="BodyText"/>
      </w:pPr>
      <w:hyperlink r:id="rId90">
        <w:r>
          <w:rPr>
            <w:rStyle w:val="Hyperlink"/>
          </w:rPr>
          <w:t xml:space="preserve">https://www.mrslumber.com/wp-content/uploads/2016/06/Lineal-Feet-to-Board-Feet-Conversion.pdf</w:t>
        </w:r>
      </w:hyperlink>
    </w:p>
    <w:p>
      <w:pPr>
        <w:pStyle w:val="BodyText"/>
      </w:pPr>
      <w:hyperlink r:id="rId55">
        <w:r>
          <w:rPr>
            <w:rStyle w:val="Hyperlink"/>
          </w:rPr>
          <w:t xml:space="preserve">[18]</w:t>
        </w:r>
      </w:hyperlink>
      <w:r>
        <w:t xml:space="preserve"> </w:t>
      </w:r>
      <w:hyperlink r:id="rId63">
        <w:r>
          <w:rPr>
            <w:rStyle w:val="Hyperlink"/>
          </w:rPr>
          <w:t xml:space="preserve">[24]</w:t>
        </w:r>
      </w:hyperlink>
      <w:r>
        <w:t xml:space="preserve"> </w:t>
      </w:r>
      <w:hyperlink r:id="rId64">
        <w:r>
          <w:rPr>
            <w:rStyle w:val="Hyperlink"/>
          </w:rPr>
          <w:t xml:space="preserve">[25]</w:t>
        </w:r>
      </w:hyperlink>
      <w:r>
        <w:t xml:space="preserve"> </w:t>
      </w:r>
      <w:hyperlink r:id="rId65">
        <w:r>
          <w:rPr>
            <w:rStyle w:val="Hyperlink"/>
          </w:rPr>
          <w:t xml:space="preserve">[26]</w:t>
        </w:r>
      </w:hyperlink>
      <w:r>
        <w:t xml:space="preserve"> </w:t>
      </w:r>
      <w:hyperlink r:id="rId81">
        <w:r>
          <w:rPr>
            <w:rStyle w:val="Hyperlink"/>
          </w:rPr>
          <w:t xml:space="preserve">[34]</w:t>
        </w:r>
      </w:hyperlink>
      <w:r>
        <w:t xml:space="preserve"> </w:t>
      </w:r>
      <w:r>
        <w:t xml:space="preserve">Advanced Framing: Minimum Wall Studs | Building America Solution Center</w:t>
      </w:r>
    </w:p>
    <w:p>
      <w:pPr>
        <w:pStyle w:val="BodyText"/>
      </w:pPr>
      <w:hyperlink r:id="rId91">
        <w:r>
          <w:rPr>
            <w:rStyle w:val="Hyperlink"/>
          </w:rPr>
          <w:t xml:space="preserve">https://basc.pnnl.gov/resource-guides/advanced-framing-minimum-wall-studs</w:t>
        </w:r>
      </w:hyperlink>
    </w:p>
    <w:p>
      <w:pPr>
        <w:pStyle w:val="BodyText"/>
      </w:pPr>
      <w:hyperlink r:id="rId56">
        <w:r>
          <w:rPr>
            <w:rStyle w:val="Hyperlink"/>
          </w:rPr>
          <w:t xml:space="preserve">[19]</w:t>
        </w:r>
      </w:hyperlink>
      <w:r>
        <w:t xml:space="preserve"> </w:t>
      </w:r>
      <w:hyperlink r:id="rId57">
        <w:r>
          <w:rPr>
            <w:rStyle w:val="Hyperlink"/>
          </w:rPr>
          <w:t xml:space="preserve">[20]</w:t>
        </w:r>
      </w:hyperlink>
      <w:r>
        <w:t xml:space="preserve"> </w:t>
      </w:r>
      <w:hyperlink r:id="rId58">
        <w:r>
          <w:rPr>
            <w:rStyle w:val="Hyperlink"/>
          </w:rPr>
          <w:t xml:space="preserve">[21]</w:t>
        </w:r>
      </w:hyperlink>
      <w:r>
        <w:t xml:space="preserve"> </w:t>
      </w:r>
      <w:hyperlink r:id="rId59">
        <w:r>
          <w:rPr>
            <w:rStyle w:val="Hyperlink"/>
          </w:rPr>
          <w:t xml:space="preserve">[22]</w:t>
        </w:r>
      </w:hyperlink>
      <w:r>
        <w:t xml:space="preserve"> </w:t>
      </w:r>
      <w:r>
        <w:t xml:space="preserve">Lumber Spans Quick Reference Card (U.S.)</w:t>
      </w:r>
    </w:p>
    <w:p>
      <w:pPr>
        <w:pStyle w:val="BodyText"/>
      </w:pPr>
      <w:hyperlink r:id="rId92">
        <w:r>
          <w:rPr>
            <w:rStyle w:val="Hyperlink"/>
          </w:rPr>
          <w:t xml:space="preserve">https://www.weyerhaeuser.com/application/files/3215/4223/2335/LB-4026.pdf</w:t>
        </w:r>
      </w:hyperlink>
    </w:p>
    <w:p>
      <w:pPr>
        <w:pStyle w:val="BodyText"/>
      </w:pPr>
      <w:hyperlink r:id="rId61">
        <w:r>
          <w:rPr>
            <w:rStyle w:val="Hyperlink"/>
          </w:rPr>
          <w:t xml:space="preserve">[23]</w:t>
        </w:r>
      </w:hyperlink>
      <w:r>
        <w:t xml:space="preserve"> </w:t>
      </w:r>
      <w:hyperlink r:id="rId67">
        <w:r>
          <w:rPr>
            <w:rStyle w:val="Hyperlink"/>
          </w:rPr>
          <w:t xml:space="preserve">[27]</w:t>
        </w:r>
      </w:hyperlink>
      <w:r>
        <w:t xml:space="preserve"> </w:t>
      </w:r>
      <w:hyperlink r:id="rId68">
        <w:r>
          <w:rPr>
            <w:rStyle w:val="Hyperlink"/>
          </w:rPr>
          <w:t xml:space="preserve">[28]</w:t>
        </w:r>
      </w:hyperlink>
      <w:r>
        <w:t xml:space="preserve"> </w:t>
      </w:r>
      <w:r>
        <w:t xml:space="preserve">Spans, Beams, and Joists, Oh My! - Wood. It's Real.</w:t>
      </w:r>
    </w:p>
    <w:p>
      <w:pPr>
        <w:pStyle w:val="BodyText"/>
      </w:pPr>
      <w:hyperlink r:id="rId93">
        <w:r>
          <w:rPr>
            <w:rStyle w:val="Hyperlink"/>
          </w:rPr>
          <w:t xml:space="preserve">https://wooditsreal.com/decking/spansbeamsjoists-deck/</w:t>
        </w:r>
      </w:hyperlink>
    </w:p>
    <w:p>
      <w:pPr>
        <w:pStyle w:val="BodyText"/>
      </w:pPr>
      <w:hyperlink r:id="rId70">
        <w:r>
          <w:rPr>
            <w:rStyle w:val="Hyperlink"/>
          </w:rPr>
          <w:t xml:space="preserve">[29]</w:t>
        </w:r>
      </w:hyperlink>
      <w:r>
        <w:t xml:space="preserve"> </w:t>
      </w:r>
      <w:hyperlink r:id="rId70">
        <w:r>
          <w:rPr>
            <w:rStyle w:val="Hyperlink"/>
          </w:rPr>
          <w:t xml:space="preserve">[30]</w:t>
        </w:r>
      </w:hyperlink>
      <w:r>
        <w:t xml:space="preserve"> </w:t>
      </w:r>
      <w:r>
        <w:t xml:space="preserve"> </w:t>
      </w:r>
      <w:r>
        <w:t xml:space="preserve">I-Joist - APA – The Engineered Wood Association</w:t>
      </w:r>
      <w:r>
        <w:t xml:space="preserve"> </w:t>
      </w:r>
    </w:p>
    <w:p>
      <w:pPr>
        <w:pStyle w:val="BodyText"/>
      </w:pPr>
      <w:hyperlink r:id="rId94">
        <w:r>
          <w:rPr>
            <w:rStyle w:val="Hyperlink"/>
          </w:rPr>
          <w:t xml:space="preserve">https://www.apawood.org/i-joist</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https://basc.pnnl.gov/resource-guides/advanced-framing-minimum-wall-studs" TargetMode="External" /><Relationship Type="http://schemas.openxmlformats.org/officeDocument/2006/relationships/hyperlink" Id="rId65" Target="https://basc.pnnl.gov/resource-guides/advanced-framing-minimum-wall-studs#:~:text=,check%20with%20local%20code%20officials" TargetMode="External" /><Relationship Type="http://schemas.openxmlformats.org/officeDocument/2006/relationships/hyperlink" Id="rId55" Target="https://basc.pnnl.gov/resource-guides/advanced-framing-minimum-wall-studs#:~:text=heat%20between%20the%20interior%20and,check%20with%20local%20code%20officials" TargetMode="External" /><Relationship Type="http://schemas.openxmlformats.org/officeDocument/2006/relationships/hyperlink" Id="rId63" Target="https://basc.pnnl.gov/resource-guides/advanced-framing-minimum-wall-studs#:~:text=heat%20between%20the%20interior%20and,of%20studs%20in%20the%20wall" TargetMode="External" /><Relationship Type="http://schemas.openxmlformats.org/officeDocument/2006/relationships/hyperlink" Id="rId81" Target="https://basc.pnnl.gov/resource-guides/advanced-framing-minimum-wall-studs#:~:text=heat%20between%20the%20interior%20and,values%20are%20required" TargetMode="External" /><Relationship Type="http://schemas.openxmlformats.org/officeDocument/2006/relationships/hyperlink" Id="rId64" Target="https://basc.pnnl.gov/resource-guides/advanced-framing-minimum-wall-studs#:~:text=traditionally%20been%20built%20with%202x4,values%20are%20required" TargetMode="External" /><Relationship Type="http://schemas.openxmlformats.org/officeDocument/2006/relationships/hyperlink" Id="rId86" Target="https://learn.kregtool.com/learn/understand-lumber-sizing/" TargetMode="External" /><Relationship Type="http://schemas.openxmlformats.org/officeDocument/2006/relationships/hyperlink" Id="rId40" Target="https://learn.kregtool.com/learn/understand-lumber-sizing/#:~:text=How%20to%20Calculate%20Board%20Feet" TargetMode="External" /><Relationship Type="http://schemas.openxmlformats.org/officeDocument/2006/relationships/hyperlink" Id="rId24" Target="https://learn.kregtool.com/learn/understand-lumber-sizing/#:~:text=Nominal%20lumber%20sizes%20are%20the,2%20inches%20by%204%20inches" TargetMode="External" /><Relationship Type="http://schemas.openxmlformats.org/officeDocument/2006/relationships/hyperlink" Id="rId27" Target="https://learn.kregtool.com/learn/understand-lumber-sizing/#:~:text=Rough%20cut%20lumber%20refers%20to,larger%20than%20the%20finished%20dimensions" TargetMode="External" /><Relationship Type="http://schemas.openxmlformats.org/officeDocument/2006/relationships/hyperlink" Id="rId29" Target="https://learn.kregtool.com/learn/understand-lumber-sizing/#:~:text=Standard%20Lumber%20Lengths%20Explained" TargetMode="External" /><Relationship Type="http://schemas.openxmlformats.org/officeDocument/2006/relationships/hyperlink" Id="rId25" Target="https://learn.kregtool.com/learn/understand-lumber-sizing/#:~:text=The%20difference%20between%20nominal%20and,final%2C%20slightly%20smaller%20actual%20dimensions" TargetMode="External" /><Relationship Type="http://schemas.openxmlformats.org/officeDocument/2006/relationships/hyperlink" Id="rId26" Target="https://learn.kregtool.com/learn/understand-lumber-sizing/#:~:text=This%20practice%20of%20using%20nominal,dimensions%20that%20occurred%20during%20manufacturing" TargetMode="External" /><Relationship Type="http://schemas.openxmlformats.org/officeDocument/2006/relationships/hyperlink" Id="rId89" Target="https://ohioline.osu.edu/factsheet/F-35-02" TargetMode="External" /><Relationship Type="http://schemas.openxmlformats.org/officeDocument/2006/relationships/hyperlink" Id="rId39" Target="https://ohioline.osu.edu/factsheet/F-35-02#:~:text=In%20the%20United%20States%2C%20the,by%20the%20width%20by%20the" TargetMode="External" /><Relationship Type="http://schemas.openxmlformats.org/officeDocument/2006/relationships/hyperlink" Id="rId41" Target="https://ohioline.osu.edu/factsheet/F-35-02#:~:text=In%20the%20United%20States%2C%20the,dividing%20by%20144%20cubic%20inches" TargetMode="External" /><Relationship Type="http://schemas.openxmlformats.org/officeDocument/2006/relationships/hyperlink" Id="rId38" Target="https://ohioline.osu.edu/factsheet/F-35-02#:~:text=In%20the%20United%20States%2C%20the,foot%20content%20of" TargetMode="External" /><Relationship Type="http://schemas.openxmlformats.org/officeDocument/2006/relationships/hyperlink" Id="rId93" Target="https://wooditsreal.com/decking/spansbeamsjoists-deck/" TargetMode="External" /><Relationship Type="http://schemas.openxmlformats.org/officeDocument/2006/relationships/hyperlink" Id="rId68" Target="https://wooditsreal.com/decking/spansbeamsjoists-deck/#:~:text=A%20cantilevered%20beam%20,is%20more%20likely%20to%20sag" TargetMode="External" /><Relationship Type="http://schemas.openxmlformats.org/officeDocument/2006/relationships/hyperlink" Id="rId67" Target="https://wooditsreal.com/decking/spansbeamsjoists-deck/#:~:text=joists%20to%20install%20the%20beam,is%20more%20likely%20to%20sag" TargetMode="External" /><Relationship Type="http://schemas.openxmlformats.org/officeDocument/2006/relationships/hyperlink" Id="rId61" Target="https://wooditsreal.com/decking/spansbeamsjoists-deck/#:~:text=we%E2%80%99re%20talking%20SYP%2C%20I%E2%80%99ll%20give,10%20feet%20and%20so%20on" TargetMode="External" /><Relationship Type="http://schemas.openxmlformats.org/officeDocument/2006/relationships/hyperlink" Id="rId87" Target="https://www.advantagelumber.com/sizes.htm" TargetMode="External" /><Relationship Type="http://schemas.openxmlformats.org/officeDocument/2006/relationships/hyperlink" Id="rId33" Target="https://www.advantagelumber.com/sizes.htm#:~:text=%E2%80%9CQuarters%E2%80%9D%20Sizing" TargetMode="External" /><Relationship Type="http://schemas.openxmlformats.org/officeDocument/2006/relationships/hyperlink" Id="rId94" Target="https://www.apawood.org/i-joist" TargetMode="External" /><Relationship Type="http://schemas.openxmlformats.org/officeDocument/2006/relationships/hyperlink" Id="rId70" Target="https://www.apawood.org/i-joist#:~:text=I,the%20needs%20of%20residential%20framing" TargetMode="External" /><Relationship Type="http://schemas.openxmlformats.org/officeDocument/2006/relationships/hyperlink" Id="rId85" Target="https://www.archtoolbox.com/lumber-dimensions/" TargetMode="External" /><Relationship Type="http://schemas.openxmlformats.org/officeDocument/2006/relationships/hyperlink" Id="rId22" Target="https://www.archtoolbox.com/lumber-dimensions/#:~:text=North%20American%20Standard%202" TargetMode="External" /><Relationship Type="http://schemas.openxmlformats.org/officeDocument/2006/relationships/hyperlink" Id="rId32" Target="https://www.archtoolbox.com/lumber-dimensions/#:~:text=North%20American%20Standard%204" TargetMode="External" /><Relationship Type="http://schemas.openxmlformats.org/officeDocument/2006/relationships/hyperlink" Id="rId30" Target="https://www.archtoolbox.com/lumber-dimensions/#:~:text=Softwood%20lumber%20comes%20in%20a,longer%20than%20the" TargetMode="External" /><Relationship Type="http://schemas.openxmlformats.org/officeDocument/2006/relationships/hyperlink" Id="rId90" Target="https://www.mrslumber.com/wp-content/uploads/2016/06/Lineal-Feet-to-Board-Feet-Conversion.pdf" TargetMode="External" /><Relationship Type="http://schemas.openxmlformats.org/officeDocument/2006/relationships/hyperlink" Id="rId43" Target="https://www.mrslumber.com/wp-content/uploads/2016/06/Lineal-Feet-to-Board-Feet-Conversion.pdf#:~:text=added%2C%20as%20the%20basis%20of,L%20%3D%20Board%20feet%2012" TargetMode="External" /><Relationship Type="http://schemas.openxmlformats.org/officeDocument/2006/relationships/hyperlink" Id="rId88" Target="https://www.putnamlumber.com/conversions.html" TargetMode="External" /><Relationship Type="http://schemas.openxmlformats.org/officeDocument/2006/relationships/hyperlink" Id="rId35" Target="https://www.putnamlumber.com/conversions.html#:~:text=Calculating%20Thousand%20Board%20Feet%20,for%20lumber%20products" TargetMode="External" /><Relationship Type="http://schemas.openxmlformats.org/officeDocument/2006/relationships/hyperlink" Id="rId46" Target="https://www.putnamlumber.com/conversions.html#:~:text=Calculating%20Thousand%20Square%20Feet%20,for%20panel%20products" TargetMode="External" /><Relationship Type="http://schemas.openxmlformats.org/officeDocument/2006/relationships/hyperlink" Id="rId75" Target="https://www.putnamlumber.com/conversions.html#:~:text=Nominal%20Size%20%20,344" TargetMode="External" /><Relationship Type="http://schemas.openxmlformats.org/officeDocument/2006/relationships/hyperlink" Id="rId74" Target="https://www.putnamlumber.com/conversions.html#:~:text=Nominal%20Size%20%20Actual%20Size,642" TargetMode="External" /><Relationship Type="http://schemas.openxmlformats.org/officeDocument/2006/relationships/hyperlink" Id="rId92" Target="https://www.weyerhaeuser.com/application/files/3215/4223/2335/LB-4026.pdf" TargetMode="External" /><Relationship Type="http://schemas.openxmlformats.org/officeDocument/2006/relationships/hyperlink" Id="rId57" Target="https://www.weyerhaeuser.com/application/files/3215/4223/2335/LB-4026.pdf#:~:text=14%27,3" TargetMode="External" /><Relationship Type="http://schemas.openxmlformats.org/officeDocument/2006/relationships/hyperlink" Id="rId56" Target="https://www.weyerhaeuser.com/application/files/3215/4223/2335/LB-4026.pdf#:~:text=16%22%2010%27,4" TargetMode="External" /><Relationship Type="http://schemas.openxmlformats.org/officeDocument/2006/relationships/hyperlink" Id="rId58" Target="https://www.weyerhaeuser.com/application/files/3215/4223/2335/LB-4026.pdf#:~:text=16%22%2018%27,5" TargetMode="External" /><Relationship Type="http://schemas.openxmlformats.org/officeDocument/2006/relationships/hyperlink" Id="rId59" Target="https://www.weyerhaeuser.com/application/files/3215/4223/2335/LB-4026.pdf#:~:text=16%22%2021%27,10" TargetMode="External" /></Relationships>
</file>

<file path=word/_rels/footnotes.xml.rels><?xml version="1.0" encoding="UTF-8"?><Relationships xmlns="http://schemas.openxmlformats.org/package/2006/relationships"><Relationship Type="http://schemas.openxmlformats.org/officeDocument/2006/relationships/hyperlink" Id="rId91" Target="https://basc.pnnl.gov/resource-guides/advanced-framing-minimum-wall-studs" TargetMode="External" /><Relationship Type="http://schemas.openxmlformats.org/officeDocument/2006/relationships/hyperlink" Id="rId65" Target="https://basc.pnnl.gov/resource-guides/advanced-framing-minimum-wall-studs#:~:text=,check%20with%20local%20code%20officials" TargetMode="External" /><Relationship Type="http://schemas.openxmlformats.org/officeDocument/2006/relationships/hyperlink" Id="rId55" Target="https://basc.pnnl.gov/resource-guides/advanced-framing-minimum-wall-studs#:~:text=heat%20between%20the%20interior%20and,check%20with%20local%20code%20officials" TargetMode="External" /><Relationship Type="http://schemas.openxmlformats.org/officeDocument/2006/relationships/hyperlink" Id="rId63" Target="https://basc.pnnl.gov/resource-guides/advanced-framing-minimum-wall-studs#:~:text=heat%20between%20the%20interior%20and,of%20studs%20in%20the%20wall" TargetMode="External" /><Relationship Type="http://schemas.openxmlformats.org/officeDocument/2006/relationships/hyperlink" Id="rId81" Target="https://basc.pnnl.gov/resource-guides/advanced-framing-minimum-wall-studs#:~:text=heat%20between%20the%20interior%20and,values%20are%20required" TargetMode="External" /><Relationship Type="http://schemas.openxmlformats.org/officeDocument/2006/relationships/hyperlink" Id="rId64" Target="https://basc.pnnl.gov/resource-guides/advanced-framing-minimum-wall-studs#:~:text=traditionally%20been%20built%20with%202x4,values%20are%20required" TargetMode="External" /><Relationship Type="http://schemas.openxmlformats.org/officeDocument/2006/relationships/hyperlink" Id="rId86" Target="https://learn.kregtool.com/learn/understand-lumber-sizing/" TargetMode="External" /><Relationship Type="http://schemas.openxmlformats.org/officeDocument/2006/relationships/hyperlink" Id="rId40" Target="https://learn.kregtool.com/learn/understand-lumber-sizing/#:~:text=How%20to%20Calculate%20Board%20Feet" TargetMode="External" /><Relationship Type="http://schemas.openxmlformats.org/officeDocument/2006/relationships/hyperlink" Id="rId24" Target="https://learn.kregtool.com/learn/understand-lumber-sizing/#:~:text=Nominal%20lumber%20sizes%20are%20the,2%20inches%20by%204%20inches" TargetMode="External" /><Relationship Type="http://schemas.openxmlformats.org/officeDocument/2006/relationships/hyperlink" Id="rId27" Target="https://learn.kregtool.com/learn/understand-lumber-sizing/#:~:text=Rough%20cut%20lumber%20refers%20to,larger%20than%20the%20finished%20dimensions" TargetMode="External" /><Relationship Type="http://schemas.openxmlformats.org/officeDocument/2006/relationships/hyperlink" Id="rId29" Target="https://learn.kregtool.com/learn/understand-lumber-sizing/#:~:text=Standard%20Lumber%20Lengths%20Explained" TargetMode="External" /><Relationship Type="http://schemas.openxmlformats.org/officeDocument/2006/relationships/hyperlink" Id="rId25" Target="https://learn.kregtool.com/learn/understand-lumber-sizing/#:~:text=The%20difference%20between%20nominal%20and,final%2C%20slightly%20smaller%20actual%20dimensions" TargetMode="External" /><Relationship Type="http://schemas.openxmlformats.org/officeDocument/2006/relationships/hyperlink" Id="rId26" Target="https://learn.kregtool.com/learn/understand-lumber-sizing/#:~:text=This%20practice%20of%20using%20nominal,dimensions%20that%20occurred%20during%20manufacturing" TargetMode="External" /><Relationship Type="http://schemas.openxmlformats.org/officeDocument/2006/relationships/hyperlink" Id="rId89" Target="https://ohioline.osu.edu/factsheet/F-35-02" TargetMode="External" /><Relationship Type="http://schemas.openxmlformats.org/officeDocument/2006/relationships/hyperlink" Id="rId39" Target="https://ohioline.osu.edu/factsheet/F-35-02#:~:text=In%20the%20United%20States%2C%20the,by%20the%20width%20by%20the" TargetMode="External" /><Relationship Type="http://schemas.openxmlformats.org/officeDocument/2006/relationships/hyperlink" Id="rId41" Target="https://ohioline.osu.edu/factsheet/F-35-02#:~:text=In%20the%20United%20States%2C%20the,dividing%20by%20144%20cubic%20inches" TargetMode="External" /><Relationship Type="http://schemas.openxmlformats.org/officeDocument/2006/relationships/hyperlink" Id="rId38" Target="https://ohioline.osu.edu/factsheet/F-35-02#:~:text=In%20the%20United%20States%2C%20the,foot%20content%20of" TargetMode="External" /><Relationship Type="http://schemas.openxmlformats.org/officeDocument/2006/relationships/hyperlink" Id="rId93" Target="https://wooditsreal.com/decking/spansbeamsjoists-deck/" TargetMode="External" /><Relationship Type="http://schemas.openxmlformats.org/officeDocument/2006/relationships/hyperlink" Id="rId68" Target="https://wooditsreal.com/decking/spansbeamsjoists-deck/#:~:text=A%20cantilevered%20beam%20,is%20more%20likely%20to%20sag" TargetMode="External" /><Relationship Type="http://schemas.openxmlformats.org/officeDocument/2006/relationships/hyperlink" Id="rId67" Target="https://wooditsreal.com/decking/spansbeamsjoists-deck/#:~:text=joists%20to%20install%20the%20beam,is%20more%20likely%20to%20sag" TargetMode="External" /><Relationship Type="http://schemas.openxmlformats.org/officeDocument/2006/relationships/hyperlink" Id="rId61" Target="https://wooditsreal.com/decking/spansbeamsjoists-deck/#:~:text=we%E2%80%99re%20talking%20SYP%2C%20I%E2%80%99ll%20give,10%20feet%20and%20so%20on" TargetMode="External" /><Relationship Type="http://schemas.openxmlformats.org/officeDocument/2006/relationships/hyperlink" Id="rId87" Target="https://www.advantagelumber.com/sizes.htm" TargetMode="External" /><Relationship Type="http://schemas.openxmlformats.org/officeDocument/2006/relationships/hyperlink" Id="rId33" Target="https://www.advantagelumber.com/sizes.htm#:~:text=%E2%80%9CQuarters%E2%80%9D%20Sizing" TargetMode="External" /><Relationship Type="http://schemas.openxmlformats.org/officeDocument/2006/relationships/hyperlink" Id="rId94" Target="https://www.apawood.org/i-joist" TargetMode="External" /><Relationship Type="http://schemas.openxmlformats.org/officeDocument/2006/relationships/hyperlink" Id="rId70" Target="https://www.apawood.org/i-joist#:~:text=I,the%20needs%20of%20residential%20framing" TargetMode="External" /><Relationship Type="http://schemas.openxmlformats.org/officeDocument/2006/relationships/hyperlink" Id="rId85" Target="https://www.archtoolbox.com/lumber-dimensions/" TargetMode="External" /><Relationship Type="http://schemas.openxmlformats.org/officeDocument/2006/relationships/hyperlink" Id="rId22" Target="https://www.archtoolbox.com/lumber-dimensions/#:~:text=North%20American%20Standard%202" TargetMode="External" /><Relationship Type="http://schemas.openxmlformats.org/officeDocument/2006/relationships/hyperlink" Id="rId32" Target="https://www.archtoolbox.com/lumber-dimensions/#:~:text=North%20American%20Standard%204" TargetMode="External" /><Relationship Type="http://schemas.openxmlformats.org/officeDocument/2006/relationships/hyperlink" Id="rId30" Target="https://www.archtoolbox.com/lumber-dimensions/#:~:text=Softwood%20lumber%20comes%20in%20a,longer%20than%20the" TargetMode="External" /><Relationship Type="http://schemas.openxmlformats.org/officeDocument/2006/relationships/hyperlink" Id="rId90" Target="https://www.mrslumber.com/wp-content/uploads/2016/06/Lineal-Feet-to-Board-Feet-Conversion.pdf" TargetMode="External" /><Relationship Type="http://schemas.openxmlformats.org/officeDocument/2006/relationships/hyperlink" Id="rId43" Target="https://www.mrslumber.com/wp-content/uploads/2016/06/Lineal-Feet-to-Board-Feet-Conversion.pdf#:~:text=added%2C%20as%20the%20basis%20of,L%20%3D%20Board%20feet%2012" TargetMode="External" /><Relationship Type="http://schemas.openxmlformats.org/officeDocument/2006/relationships/hyperlink" Id="rId88" Target="https://www.putnamlumber.com/conversions.html" TargetMode="External" /><Relationship Type="http://schemas.openxmlformats.org/officeDocument/2006/relationships/hyperlink" Id="rId35" Target="https://www.putnamlumber.com/conversions.html#:~:text=Calculating%20Thousand%20Board%20Feet%20,for%20lumber%20products" TargetMode="External" /><Relationship Type="http://schemas.openxmlformats.org/officeDocument/2006/relationships/hyperlink" Id="rId46" Target="https://www.putnamlumber.com/conversions.html#:~:text=Calculating%20Thousand%20Square%20Feet%20,for%20panel%20products" TargetMode="External" /><Relationship Type="http://schemas.openxmlformats.org/officeDocument/2006/relationships/hyperlink" Id="rId75" Target="https://www.putnamlumber.com/conversions.html#:~:text=Nominal%20Size%20%20,344" TargetMode="External" /><Relationship Type="http://schemas.openxmlformats.org/officeDocument/2006/relationships/hyperlink" Id="rId74" Target="https://www.putnamlumber.com/conversions.html#:~:text=Nominal%20Size%20%20Actual%20Size,642" TargetMode="External" /><Relationship Type="http://schemas.openxmlformats.org/officeDocument/2006/relationships/hyperlink" Id="rId92" Target="https://www.weyerhaeuser.com/application/files/3215/4223/2335/LB-4026.pdf" TargetMode="External" /><Relationship Type="http://schemas.openxmlformats.org/officeDocument/2006/relationships/hyperlink" Id="rId57" Target="https://www.weyerhaeuser.com/application/files/3215/4223/2335/LB-4026.pdf#:~:text=14%27,3" TargetMode="External" /><Relationship Type="http://schemas.openxmlformats.org/officeDocument/2006/relationships/hyperlink" Id="rId56" Target="https://www.weyerhaeuser.com/application/files/3215/4223/2335/LB-4026.pdf#:~:text=16%22%2010%27,4" TargetMode="External" /><Relationship Type="http://schemas.openxmlformats.org/officeDocument/2006/relationships/hyperlink" Id="rId58" Target="https://www.weyerhaeuser.com/application/files/3215/4223/2335/LB-4026.pdf#:~:text=16%22%2018%27,5" TargetMode="External" /><Relationship Type="http://schemas.openxmlformats.org/officeDocument/2006/relationships/hyperlink" Id="rId59" Target="https://www.weyerhaeuser.com/application/files/3215/4223/2335/LB-4026.pdf#:~:text=16%22%2021%27,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2025-10-10T04:13:51Z</dcterms:created>
  <dcterms:modified xsi:type="dcterms:W3CDTF">2025-10-10T04:13:51Z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