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B82C" w14:textId="77777777" w:rsidR="0041793B" w:rsidRDefault="00E25FF8">
      <w:pPr>
        <w:pStyle w:val="Title"/>
      </w:pPr>
      <w:r>
        <w:t>BLDR: Intelligently Framing Our Futures</w:t>
      </w:r>
    </w:p>
    <w:p w14:paraId="720A31B2" w14:textId="77777777" w:rsidR="0041793B" w:rsidRDefault="00E25FF8">
      <w:r>
        <w:t>A Builders FirstSource Prototype for Public-Facing Knowledge, Brand Authority, and Repeatable Conversational Intelligence</w:t>
      </w:r>
    </w:p>
    <w:p w14:paraId="0C215EF8" w14:textId="77777777" w:rsidR="0041793B" w:rsidRDefault="00E25FF8">
      <w:r>
        <w:t>--------------------------------------------------</w:t>
      </w:r>
    </w:p>
    <w:p w14:paraId="774519BF" w14:textId="77777777" w:rsidR="0041793B" w:rsidRDefault="00E25FF8">
      <w:pPr>
        <w:pStyle w:val="Heading1"/>
      </w:pPr>
      <w:r>
        <w:t>Executive Summary</w:t>
      </w:r>
    </w:p>
    <w:p w14:paraId="30F9A36F" w14:textId="77777777" w:rsidR="0041793B" w:rsidRDefault="00E25FF8">
      <w:r>
        <w:t>Builders FirstSource (BFS) is the largest U.S. supplier of structural building materials and value-added components (trusses, wall panels, EWP, millwork). The industry’s next transformation isn’t simply another tool in the software stack; it’s the shift from web pages and search to conversational knowledge interfaces. Large Language Models (LLMs) are becoming the default way people access and understand information.</w:t>
      </w:r>
      <w:r>
        <w:br/>
      </w:r>
      <w:r>
        <w:br/>
        <w:t>This paper introduces BLDR: Intelligently Framing Our Futures—a BFS-branded, public-facing custom GPT that converts BFS’s public expertise into a trustworthy, always-on, conversational layer. It was conceived and built rapidly using only publicly accessible sources, with a reusable prompt architecture and a curated knowledge corpus of 18 machine-readable articles.</w:t>
      </w:r>
      <w:r>
        <w:br/>
      </w:r>
      <w:r>
        <w:br/>
        <w:t>What it proves:</w:t>
      </w:r>
      <w:r>
        <w:br/>
        <w:t>1. BFS can lead in the post-website era by embedding its voice directly into model-mediated discovery.</w:t>
      </w:r>
      <w:r>
        <w:br/>
        <w:t>2. A repeatable framewo</w:t>
      </w:r>
      <w:r>
        <w:t>rk can spin up new knowledge agents in days (not months).</w:t>
      </w:r>
      <w:r>
        <w:br/>
        <w:t>3. This effort complements, not competes with, internal initiatives (Copilot, MoveWorks, UiPath, Paradigm).</w:t>
      </w:r>
      <w:r>
        <w:br/>
        <w:t>4. It strengthens BFS’s brand authority where end users now live—inside the model’s reasoning.</w:t>
      </w:r>
      <w:r>
        <w:br/>
      </w:r>
      <w:r>
        <w:br/>
        <w:t>One-line outcome: BFS doesn’t just supply America’s homes; it now supplies the understanding that builds them.</w:t>
      </w:r>
    </w:p>
    <w:p w14:paraId="73FF944A" w14:textId="77777777" w:rsidR="0041793B" w:rsidRDefault="00E25FF8">
      <w:pPr>
        <w:pStyle w:val="Heading1"/>
      </w:pPr>
      <w:r>
        <w:t>1) Strategic Context: From Search to Understanding</w:t>
      </w:r>
    </w:p>
    <w:p w14:paraId="2EE8D937" w14:textId="77777777" w:rsidR="0041793B" w:rsidRDefault="00E25FF8">
      <w:r>
        <w:t>Then (1995): Brands debated whether they even needed a website.</w:t>
      </w:r>
      <w:r>
        <w:br/>
        <w:t>Now (2025): Brands debate whether they need a custom GPT.</w:t>
      </w:r>
      <w:r>
        <w:br/>
        <w:t>Search engines indexed links; LLMs internalize meaning. Users will increasingly consume knowledge inside the model and only leave the conversation for a compelling next action (purchase, configurator, drawings, contact).</w:t>
      </w:r>
      <w:r>
        <w:br/>
      </w:r>
      <w:r>
        <w:br/>
        <w:t xml:space="preserve">Implication: Owning a domain name once signaled seriousness. Today, owning a domain of </w:t>
      </w:r>
      <w:r>
        <w:lastRenderedPageBreak/>
        <w:t>knowledge inside models signals leadership. BFS should be the canonical explainer for wood-frame construction.</w:t>
      </w:r>
    </w:p>
    <w:p w14:paraId="35E1D00C" w14:textId="77777777" w:rsidR="0041793B" w:rsidRDefault="00E25FF8">
      <w:pPr>
        <w:pStyle w:val="Heading1"/>
      </w:pPr>
      <w:r>
        <w:t>2) Purpose: Make BFS the Model’s Default Authority</w:t>
      </w:r>
    </w:p>
    <w:p w14:paraId="32F737A0" w14:textId="77777777" w:rsidR="0041793B" w:rsidRDefault="00E25FF8">
      <w:r>
        <w:t>BFS’s national scale and technical depth already shape the U.S. housing ecosystem. Public industry analyses and BFS’s legacy footprint suggest a very large portion of American homes contain materials supplied by BFS or its predecessors. In a world where people ask “How do I size a header?” or “What’s the right underlayment for coastal wind zones?” the answer should surface BFS’s expertise—not anonymous forums or competitor content.</w:t>
      </w:r>
      <w:r>
        <w:br/>
      </w:r>
      <w:r>
        <w:br/>
        <w:t>Goal: When the model answers construction questions, it answers the BFS way—precise, code-aware, and grounded in public BFS resources—then routes meaningful next steps to BLDR.com.</w:t>
      </w:r>
    </w:p>
    <w:p w14:paraId="511DB1BE" w14:textId="77777777" w:rsidR="0041793B" w:rsidRDefault="00E25FF8">
      <w:pPr>
        <w:pStyle w:val="Heading1"/>
      </w:pPr>
      <w:r>
        <w:t>3) Concept: Public, Repeatable, Brand-Safe</w:t>
      </w:r>
    </w:p>
    <w:p w14:paraId="7B389DD6" w14:textId="77777777" w:rsidR="0041793B" w:rsidRDefault="00E25FF8">
      <w:r>
        <w:t>Public-source integrity. Only publicly available materials are ingested (BFS sites, investor documents, sustainability pages, manufacturer specs, recognized standards bodies). No confidential data, no customer PII.</w:t>
      </w:r>
      <w:r>
        <w:br/>
      </w:r>
      <w:r>
        <w:br/>
        <w:t>Repeatable architecture. A modular instruction set (role, tone, guardrails), reasoning scaffolds (CoT/ToT/SCAMPER/SoT), and a normalized content format (markdown + metadata) allow fast cloning for new domains (safety, sustainability, training, supplier enablement).</w:t>
      </w:r>
      <w:r>
        <w:br/>
      </w:r>
      <w:r>
        <w:br/>
        <w:t>Public by design. This is outward-facing thought leadership. It complements Copilot/MoveWorks/UiPath (internal efficiency) by owning the external knowledge interface.</w:t>
      </w:r>
    </w:p>
    <w:p w14:paraId="460C1673" w14:textId="77777777" w:rsidR="0041793B" w:rsidRDefault="00E25FF8">
      <w:pPr>
        <w:pStyle w:val="Heading1"/>
      </w:pPr>
      <w:r>
        <w:t>4) What Was Built: From Zero to Prototype—Fast</w:t>
      </w:r>
    </w:p>
    <w:p w14:paraId="58C60F6B" w14:textId="77777777" w:rsidR="0041793B" w:rsidRDefault="00E25FF8">
      <w:r>
        <w:t>Knowledge corpus (v1). Eighteen topic modules (product catalog; lumber terms; dimensional lumber math; MSF/MBF; prefab components; roofing; siding; multi-family &amp; millwork; geographic coverage; history &amp; acquisitions; structural principles; limits; case studies; code variance; delivery &amp; logistics; sustainability; jobsite mistakes; glossary). Each is a machine-readable markdown article with consistent front matter.</w:t>
      </w:r>
      <w:r>
        <w:br/>
      </w:r>
      <w:r>
        <w:br/>
        <w:t>Instruction brain. An ~8,000-character BFS instruction block that defines identity, tone, reasoning, constraints, and explicit brand routing (BFS = Builders FirstSource, NYSE: BLDR, BLDR.com). It bans competitor links and non-public claims.</w:t>
      </w:r>
      <w:r>
        <w:br/>
      </w:r>
      <w:r>
        <w:br/>
        <w:t xml:space="preserve">Visual identity. A BLDR-themed emblem suitable for marketplace listing and internal </w:t>
      </w:r>
      <w:r>
        <w:lastRenderedPageBreak/>
        <w:t>comms.</w:t>
      </w:r>
      <w:r>
        <w:br/>
      </w:r>
      <w:r>
        <w:br/>
        <w:t>Outcome. In weeks (not quarters), a live, BFS-aligned custom GPT that reliably answers domain questions and politely directs users to BLDR.com for action.</w:t>
      </w:r>
    </w:p>
    <w:p w14:paraId="414A6D50" w14:textId="77777777" w:rsidR="0041793B" w:rsidRDefault="00E25FF8">
      <w:pPr>
        <w:pStyle w:val="Heading1"/>
      </w:pPr>
      <w:r>
        <w:t>5) Why It’s Complementary (Not Competitive)</w:t>
      </w:r>
    </w:p>
    <w:p w14:paraId="5F50700D" w14:textId="77777777" w:rsidR="0041793B" w:rsidRDefault="00E25FF8">
      <w:r>
        <w:t>| Program              | Core Value                 | Audience           | How This GPT Fits                                                        |</w:t>
      </w:r>
      <w:r>
        <w:br/>
        <w:t>| -------------------- | -------------------------- | ------------------ | ------------------------------------------------------------------------ |</w:t>
      </w:r>
      <w:r>
        <w:br/>
        <w:t>| Microsoft Copilot    | Internal productivity      | Employees          | Reuse the same content style internally; GPT is external, public-safe    |</w:t>
      </w:r>
      <w:r>
        <w:br/>
        <w:t>| MoveWorks (Paradigm) | IT/HR automation           | Employees          | GPT becomes a knowledge source to enrich answers, externally focused     |</w:t>
      </w:r>
      <w:r>
        <w:br/>
        <w:t>| UiPath               | Robotic process automation | Process</w:t>
      </w:r>
      <w:r>
        <w:t>es          | GPT explains why/how processes work; documentation &amp; change-management |</w:t>
      </w:r>
      <w:r>
        <w:br/>
        <w:t>| Paradigm + BIM       | Configurators &amp; design     | Builders/Designers | GPT is the conversational layer above configurators and outputs          |</w:t>
      </w:r>
      <w:r>
        <w:br/>
      </w:r>
      <w:r>
        <w:br/>
        <w:t>Short take: Copilot/MoveWorks/UiPath automate tasks; Custom GPTs automate understanding—externally and internally.</w:t>
      </w:r>
    </w:p>
    <w:p w14:paraId="2BE78255" w14:textId="77777777" w:rsidR="0041793B" w:rsidRDefault="00E25FF8">
      <w:pPr>
        <w:pStyle w:val="Heading1"/>
      </w:pPr>
      <w:r>
        <w:t>6) Strategic Value</w:t>
      </w:r>
    </w:p>
    <w:p w14:paraId="6B7FC806" w14:textId="77777777" w:rsidR="0041793B" w:rsidRDefault="00E25FF8">
      <w:r>
        <w:t>Brand presence in the model layer. As LLMs displace search, trusted sources win. This GPT makes BFS’s voice the model’s default citation for residential building knowledge.</w:t>
      </w:r>
      <w:r>
        <w:br/>
      </w:r>
      <w:r>
        <w:br/>
        <w:t>AI-era SEO. The new ranking is internal confidence and retrievability, not blue links. Authoritative BFS text raises the chance the model cites BFS first.</w:t>
      </w:r>
      <w:r>
        <w:br/>
      </w:r>
      <w:r>
        <w:br/>
        <w:t>Customer &amp; partner enablement. 24/7 answers on materials, code considerations, and logistics reduce friction for builders, suppliers, and students.</w:t>
      </w:r>
      <w:r>
        <w:br/>
      </w:r>
      <w:r>
        <w:br/>
        <w:t>Talent &amp; culture. Demonstrates BFS as a modern, learning-oriented company—attractive to digital and engineering talent.</w:t>
      </w:r>
      <w:r>
        <w:br/>
      </w:r>
      <w:r>
        <w:br/>
        <w:t>Reuse at scale. The chassis supports internal variants (Engineering Assistant, Safet</w:t>
      </w:r>
      <w:r>
        <w:t>y Coach, Sustainability Advisor) by swapping in new public/approved documents.</w:t>
      </w:r>
    </w:p>
    <w:p w14:paraId="20298385" w14:textId="77777777" w:rsidR="0041793B" w:rsidRDefault="00E25FF8">
      <w:pPr>
        <w:pStyle w:val="Heading1"/>
      </w:pPr>
      <w:r>
        <w:lastRenderedPageBreak/>
        <w:t>7) Technical Blueprint (Repeatable)</w:t>
      </w:r>
    </w:p>
    <w:p w14:paraId="73A74A2C" w14:textId="77777777" w:rsidR="0041793B" w:rsidRDefault="00E25FF8">
      <w:r>
        <w:t>Corpus: Versioned markdown with front matter (title, topic_key, version, date, sources).</w:t>
      </w:r>
      <w:r>
        <w:br/>
        <w:t>Instruction set: Identity, scope, tone, reasoning (CoT/ToT/SCAMPER/SoT), constraints (no proprietary data, no competitor links), BFS routing.</w:t>
      </w:r>
      <w:r>
        <w:br/>
        <w:t>Grounding: BFS disambiguation line in every doc: “BFS (Builders FirstSource) = BLDR.com, NYSE: BLDR… Not: Banking &amp; Financial Services, etc.”</w:t>
      </w:r>
      <w:r>
        <w:br/>
        <w:t>Output governance: Markdown only, machine-readable, citations to public sources when numeric or code-specific.</w:t>
      </w:r>
      <w:r>
        <w:br/>
        <w:t>Deployment: Platform-agnostic (OpenAI / Azure OpenAI / internal). Public listing optional.</w:t>
      </w:r>
    </w:p>
    <w:p w14:paraId="73D57769" w14:textId="77777777" w:rsidR="0041793B" w:rsidRDefault="00E25FF8">
      <w:pPr>
        <w:pStyle w:val="Heading1"/>
      </w:pPr>
      <w:r>
        <w:t>8) Delivery Method: Strategic Micro-Execution</w:t>
      </w:r>
    </w:p>
    <w:p w14:paraId="5F52FA0B" w14:textId="77777777" w:rsidR="0041793B" w:rsidRDefault="00E25FF8">
      <w:r>
        <w:t>Cadence: Think like an enterprise, move like a startup.</w:t>
      </w:r>
      <w:r>
        <w:br/>
      </w:r>
      <w:r>
        <w:br/>
        <w:t>1. Scope (1 day): Pick a narrow domain (e.g., “Exterior Cladding Choices by Climate Zone”).</w:t>
      </w:r>
      <w:r>
        <w:br/>
        <w:t>2. Normalize content (2–3 days): Convert public materials to markdown with consistent sections.</w:t>
      </w:r>
      <w:r>
        <w:br/>
        <w:t>3. Apply instruction set (1 day): Drop in BFS brain + topic corpus.</w:t>
      </w:r>
      <w:r>
        <w:br/>
        <w:t>4. Launch (1 day): Publish prototype; set brand routing to BLDR.com.</w:t>
      </w:r>
      <w:r>
        <w:br/>
        <w:t>5. Evaluate &amp; iterate (1 week): Check accuracy, tone, and conversational UX; improve sources.</w:t>
      </w:r>
      <w:r>
        <w:br/>
      </w:r>
      <w:r>
        <w:br/>
        <w:t>Result: Two-week loop from idea to validated prototype. Repeat across domains.</w:t>
      </w:r>
    </w:p>
    <w:p w14:paraId="0D4F5E6D" w14:textId="77777777" w:rsidR="0041793B" w:rsidRDefault="00E25FF8">
      <w:pPr>
        <w:pStyle w:val="Heading1"/>
      </w:pPr>
      <w:r>
        <w:t>9) Governance &amp; Compliance</w:t>
      </w:r>
    </w:p>
    <w:p w14:paraId="38E63AB0" w14:textId="77777777" w:rsidR="0041793B" w:rsidRDefault="00E25FF8">
      <w:r>
        <w:t>Public-only inputs. No internal pricing, contracts, or PII.</w:t>
      </w:r>
      <w:r>
        <w:br/>
        <w:t>Attribution. Numeric claims and code references trace to public BFS docs or recognized standards.</w:t>
      </w:r>
      <w:r>
        <w:br/>
        <w:t>Security &amp; hosting. Public GPTs remain logically separate from internal systems; internal variants can live behind SSO.</w:t>
      </w:r>
      <w:r>
        <w:br/>
        <w:t>Brand controls. No competitor links; direct next steps to BLDR.com; tone = educator, not advertiser.</w:t>
      </w:r>
      <w:r>
        <w:br/>
        <w:t>Ethical stance. Not a substitute for licensed engineering; defer to AHJs and stamped drawings where required.</w:t>
      </w:r>
    </w:p>
    <w:p w14:paraId="73664987" w14:textId="77777777" w:rsidR="0041793B" w:rsidRDefault="00E25FF8">
      <w:pPr>
        <w:pStyle w:val="Heading1"/>
      </w:pPr>
      <w:r>
        <w:t>10) Measures That Matter (Pilot KPIs)</w:t>
      </w:r>
    </w:p>
    <w:p w14:paraId="361FA6D8" w14:textId="77777777" w:rsidR="0041793B" w:rsidRDefault="00E25FF8">
      <w:r>
        <w:t>Answer quality: Expert review pass rate; code/math correctness checks.</w:t>
      </w:r>
      <w:r>
        <w:br/>
        <w:t>Engagement: Questions answered per session; completion without escalation.</w:t>
      </w:r>
      <w:r>
        <w:br/>
        <w:t>Trust signals: % of answers that include public citations or clear reasoning steps.</w:t>
      </w:r>
      <w:r>
        <w:br/>
        <w:t xml:space="preserve">Brand lift: Mentions/click-throughs to BLDR.com contact/locations; partner inbound </w:t>
      </w:r>
      <w:r>
        <w:lastRenderedPageBreak/>
        <w:t>inquiries.</w:t>
      </w:r>
      <w:r>
        <w:br/>
        <w:t>Reuse velocity: Time to spin up the next GPT with the same chassis.</w:t>
      </w:r>
    </w:p>
    <w:p w14:paraId="77508E66" w14:textId="77777777" w:rsidR="0041793B" w:rsidRDefault="00E25FF8">
      <w:pPr>
        <w:pStyle w:val="Heading1"/>
      </w:pPr>
      <w:r>
        <w:t>11) Near-Term Extensions</w:t>
      </w:r>
    </w:p>
    <w:p w14:paraId="6873C867" w14:textId="77777777" w:rsidR="0041793B" w:rsidRDefault="00E25FF8">
      <w:r>
        <w:t>Sustainability Advisor: FSC/SFI, embodied carbon, LEED alignment.</w:t>
      </w:r>
      <w:r>
        <w:br/>
        <w:t>Safety Coach: OSHA + BFS safety practices, plain-language field guidance.</w:t>
      </w:r>
      <w:r>
        <w:br/>
        <w:t>Supplier Portal Assistant: Onboarding docs, labeling, logistics, ASN/EDI FAQs.</w:t>
      </w:r>
      <w:r>
        <w:br/>
        <w:t>Training Companion: Just-in-time learning for plant, yard, and delivery teams.</w:t>
      </w:r>
      <w:r>
        <w:br/>
        <w:t>Prefab Design Explainer: Conversational guide over Paradigm outputs and READY-FRAME®.</w:t>
      </w:r>
      <w:r>
        <w:br/>
      </w:r>
      <w:r>
        <w:br/>
        <w:t>Each uses the same bones: instruction spine + normalized public content.</w:t>
      </w:r>
    </w:p>
    <w:p w14:paraId="3CDC003E" w14:textId="77777777" w:rsidR="0041793B" w:rsidRDefault="00E25FF8">
      <w:pPr>
        <w:pStyle w:val="Heading1"/>
      </w:pPr>
      <w:r>
        <w:t>12) Conclusion: From Prototype to Platform</w:t>
      </w:r>
    </w:p>
    <w:p w14:paraId="5F0228C8" w14:textId="77777777" w:rsidR="0041793B" w:rsidRDefault="00E25FF8">
      <w:r>
        <w:t>BLDR: Intelligently Framing Our Futures is not “another bot.” It is a knowledge product that shows BFS can publish intelligence with the same discipline it fabricates components—standardized, quality-controlled, and delivered fast.</w:t>
      </w:r>
      <w:r>
        <w:br/>
      </w:r>
      <w:r>
        <w:br/>
        <w:t>It answers the strategic moment: as models become the interface, the brands that inhabit the model with credible knowledge will own the conversation. This prototype gives BFS that presence—today—without licensing conflicts, security risk, or enterprise drag.</w:t>
      </w:r>
      <w:r>
        <w:br/>
      </w:r>
      <w:r>
        <w:br/>
        <w:t>Strategic takeaway: BFS already powers how America builds. Now it powers how America understands building—one conversation at a time, and always with a clear next step at BLDR.com.</w:t>
      </w:r>
    </w:p>
    <w:sectPr w:rsidR="004179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504512">
    <w:abstractNumId w:val="8"/>
  </w:num>
  <w:num w:numId="2" w16cid:durableId="621689522">
    <w:abstractNumId w:val="6"/>
  </w:num>
  <w:num w:numId="3" w16cid:durableId="731929095">
    <w:abstractNumId w:val="5"/>
  </w:num>
  <w:num w:numId="4" w16cid:durableId="1668704732">
    <w:abstractNumId w:val="4"/>
  </w:num>
  <w:num w:numId="5" w16cid:durableId="2011331704">
    <w:abstractNumId w:val="7"/>
  </w:num>
  <w:num w:numId="6" w16cid:durableId="1671328589">
    <w:abstractNumId w:val="3"/>
  </w:num>
  <w:num w:numId="7" w16cid:durableId="563878282">
    <w:abstractNumId w:val="2"/>
  </w:num>
  <w:num w:numId="8" w16cid:durableId="991760108">
    <w:abstractNumId w:val="1"/>
  </w:num>
  <w:num w:numId="9" w16cid:durableId="126657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93B"/>
    <w:rsid w:val="00AA1D8D"/>
    <w:rsid w:val="00B47730"/>
    <w:rsid w:val="00CB0664"/>
    <w:rsid w:val="00E25FF8"/>
    <w:rsid w:val="00EC1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78F4E54-7F56-4096-BE91-0BB05D9E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1422</Words>
  <Characters>8223</Characters>
  <Application>Microsoft Office Word</Application>
  <DocSecurity>0</DocSecurity>
  <Lines>164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Hill</cp:lastModifiedBy>
  <cp:revision>2</cp:revision>
  <dcterms:created xsi:type="dcterms:W3CDTF">2013-12-23T23:15:00Z</dcterms:created>
  <dcterms:modified xsi:type="dcterms:W3CDTF">2025-10-21T05:15:00Z</dcterms:modified>
  <cp:category/>
</cp:coreProperties>
</file>