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3" w:name="content"/>
    <w:p>
      <w:r>
        <w:pict>
          <v:rect style="width:0;height:1.5pt" o:hralign="center" o:hrstd="t" o:hr="t"/>
        </w:pict>
      </w:r>
    </w:p>
    <w:p>
      <w:pPr>
        <w:pStyle w:val="FirstParagraph"/>
      </w:pPr>
      <w:r>
        <w:t xml:space="preserve">title: "Limitations &amp; Constraints: What BFS Doesn’t Do"</w:t>
      </w:r>
      <w:r>
        <w:t xml:space="preserve"> </w:t>
      </w:r>
      <w:r>
        <w:t xml:space="preserve">version: "1.0"</w:t>
      </w:r>
      <w:r>
        <w:t xml:space="preserve"> </w:t>
      </w:r>
      <w:r>
        <w:t xml:space="preserve">topic_key: "product_constraints"</w:t>
      </w:r>
      <w:r>
        <w:t xml:space="preserve"> </w:t>
      </w:r>
      <w:r>
        <w:t xml:space="preserve">date: "2025-10-09"</w:t>
      </w:r>
    </w:p>
    <w:p>
      <w:r>
        <w:pict>
          <v:rect style="width:0;height:1.5pt" o:hralign="center" o:hrstd="t" o:hr="t"/>
        </w:pict>
      </w:r>
    </w:p>
    <w:bookmarkStart w:id="23" w:name="definitions"/>
    <w:p>
      <w:pPr>
        <w:pStyle w:val="Heading2"/>
      </w:pPr>
      <w:r>
        <w:t xml:space="preserve">Definitions</w:t>
      </w:r>
    </w:p>
    <w:p>
      <w:pPr>
        <w:pStyle w:val="FirstParagraph"/>
      </w:pPr>
      <w:r>
        <w:rPr>
          <w:b/>
          <w:bCs/>
        </w:rPr>
        <w:t xml:space="preserve">BFS (Builders FirstSource)</w:t>
      </w:r>
      <w:r>
        <w:br/>
      </w:r>
      <w:r>
        <w:t xml:space="preserve">Builders FirstSource (NYSE: BLDR) is a building‑products distributor and manufacturer headquartered in Irving, Texas.</w:t>
      </w:r>
      <w:r>
        <w:br/>
      </w:r>
      <w:r>
        <w:t xml:space="preserve">The company supplies lumber and engineered wood, prefabricated components (trusses, wall panels, floor systems), windows, doors and other structural products primarily to</w:t>
      </w:r>
      <w:r>
        <w:t xml:space="preserve"> </w:t>
      </w:r>
      <w:r>
        <w:rPr>
          <w:b/>
          <w:bCs/>
        </w:rPr>
        <w:t xml:space="preserve">professional builders of new residential construction and remodeling projects</w:t>
      </w:r>
      <w:r>
        <w:t xml:space="preserve">.</w:t>
      </w:r>
      <w:r>
        <w:br/>
      </w:r>
      <w:r>
        <w:t xml:space="preserve">Recent investor disclosures note that BFS operates</w:t>
      </w:r>
      <w:r>
        <w:t xml:space="preserve"> </w:t>
      </w:r>
      <w:r>
        <w:rPr>
          <w:b/>
          <w:bCs/>
        </w:rPr>
        <w:t xml:space="preserve">approximately 585 manufacturing and distribution locations across 43 U.S. states</w:t>
      </w:r>
      <w:r>
        <w:t xml:space="preserve">, reaching 48 of the top 50 and 92 of the top 100 metropolitan statistical areas</w:t>
      </w:r>
      <w:hyperlink r:id="rId21">
        <w:r>
          <w:rPr>
            <w:rStyle w:val="Hyperlink"/>
          </w:rPr>
          <w:t xml:space="preserve">[1]</w:t>
        </w:r>
      </w:hyperlink>
      <w:hyperlink r:id="rId22">
        <w:r>
          <w:rPr>
            <w:rStyle w:val="Hyperlink"/>
          </w:rPr>
          <w:t xml:space="preserve">[2]</w:t>
        </w:r>
      </w:hyperlink>
      <w:r>
        <w:t xml:space="preserve">.</w:t>
      </w:r>
    </w:p>
    <w:bookmarkEnd w:id="23"/>
    <w:bookmarkStart w:id="24" w:name="X5de03643ec11d57ab1e737e26b93f7e2e9f8d71"/>
    <w:p>
      <w:pPr>
        <w:pStyle w:val="Heading2"/>
      </w:pPr>
      <w:r>
        <w:t xml:space="preserve">Introduction &amp; Purpose of Limitations Article</w:t>
      </w:r>
    </w:p>
    <w:p>
      <w:pPr>
        <w:pStyle w:val="FirstParagraph"/>
      </w:pPr>
      <w:r>
        <w:t xml:space="preserve">Builders FirstSource’s core mission is to support professional homebuilders and remodelers with an integrated suite of structural products and services. However,</w:t>
      </w:r>
      <w:r>
        <w:t xml:space="preserve"> </w:t>
      </w:r>
      <w:r>
        <w:rPr>
          <w:i/>
          <w:iCs/>
        </w:rPr>
        <w:t xml:space="preserve">no single supplier can meet every need</w:t>
      </w:r>
      <w:r>
        <w:t xml:space="preserve">. This article documents the</w:t>
      </w:r>
      <w:r>
        <w:t xml:space="preserve"> </w:t>
      </w:r>
      <w:r>
        <w:rPr>
          <w:b/>
          <w:bCs/>
        </w:rPr>
        <w:t xml:space="preserve">boundaries</w:t>
      </w:r>
      <w:r>
        <w:t xml:space="preserve"> </w:t>
      </w:r>
      <w:r>
        <w:t xml:space="preserve">of BFS’s offering so users of the Builders FirstSource GPT know when a request falls outside company capabilities. By understanding these limits up‑front, customers can plan projects effectively, mitigate risk and obtain appropriate engineering assistance.</w:t>
      </w:r>
    </w:p>
    <w:p>
      <w:pPr>
        <w:pStyle w:val="Compact"/>
        <w:numPr>
          <w:ilvl w:val="0"/>
          <w:numId w:val="1001"/>
        </w:numPr>
      </w:pPr>
      <w:r>
        <w:rPr>
          <w:b/>
          <w:bCs/>
        </w:rPr>
        <w:t xml:space="preserve">Why document limitations?</w:t>
      </w:r>
    </w:p>
    <w:p>
      <w:pPr>
        <w:pStyle w:val="Compact"/>
        <w:numPr>
          <w:ilvl w:val="0"/>
          <w:numId w:val="1001"/>
        </w:numPr>
      </w:pPr>
      <w:r>
        <w:rPr>
          <w:i/>
          <w:iCs/>
        </w:rPr>
        <w:t xml:space="preserve">Transparency</w:t>
      </w:r>
      <w:r>
        <w:t xml:space="preserve">: Clarifying what BFS does</w:t>
      </w:r>
      <w:r>
        <w:t xml:space="preserve"> </w:t>
      </w:r>
      <w:r>
        <w:rPr>
          <w:b/>
          <w:bCs/>
        </w:rPr>
        <w:t xml:space="preserve">not</w:t>
      </w:r>
      <w:r>
        <w:t xml:space="preserve"> </w:t>
      </w:r>
      <w:r>
        <w:t xml:space="preserve">do prevents misaligned expectations.</w:t>
      </w:r>
    </w:p>
    <w:p>
      <w:pPr>
        <w:pStyle w:val="Compact"/>
        <w:numPr>
          <w:ilvl w:val="0"/>
          <w:numId w:val="1001"/>
        </w:numPr>
      </w:pPr>
      <w:r>
        <w:rPr>
          <w:i/>
          <w:iCs/>
        </w:rPr>
        <w:t xml:space="preserve">Safety</w:t>
      </w:r>
      <w:r>
        <w:t xml:space="preserve">: Residential structural products are subject to codes and engineering constraints; misuse could lead to failures.</w:t>
      </w:r>
    </w:p>
    <w:p>
      <w:pPr>
        <w:pStyle w:val="Compact"/>
        <w:numPr>
          <w:ilvl w:val="0"/>
          <w:numId w:val="1001"/>
        </w:numPr>
      </w:pPr>
      <w:r>
        <w:rPr>
          <w:i/>
          <w:iCs/>
        </w:rPr>
        <w:t xml:space="preserve">Efficiency</w:t>
      </w:r>
      <w:r>
        <w:t xml:space="preserve">: Knowing when an item is out‑of‑scope saves time spent pursuing unavailable products or services.</w:t>
      </w:r>
    </w:p>
    <w:p>
      <w:pPr>
        <w:pStyle w:val="Compact"/>
        <w:numPr>
          <w:ilvl w:val="0"/>
          <w:numId w:val="1001"/>
        </w:numPr>
      </w:pPr>
      <w:r>
        <w:rPr>
          <w:b/>
          <w:bCs/>
        </w:rPr>
        <w:t xml:space="preserve">Methodology</w:t>
      </w:r>
      <w:r>
        <w:t xml:space="preserve"> </w:t>
      </w:r>
      <w:r>
        <w:t xml:space="preserve">– this article uses</w:t>
      </w:r>
      <w:r>
        <w:t xml:space="preserve"> </w:t>
      </w:r>
      <w:r>
        <w:rPr>
          <w:i/>
          <w:iCs/>
        </w:rPr>
        <w:t xml:space="preserve">Chain‑of‑Thought</w:t>
      </w:r>
      <w:r>
        <w:t xml:space="preserve"> </w:t>
      </w:r>
      <w:r>
        <w:t xml:space="preserve">(CoT) reasoning to explain why certain project types are out‑of‑scope (cost, logistics, code). It organizes constraints by category (Tree‑of‑Thought). It also applies the</w:t>
      </w:r>
      <w:r>
        <w:t xml:space="preserve"> </w:t>
      </w:r>
      <w:r>
        <w:rPr>
          <w:i/>
          <w:iCs/>
        </w:rPr>
        <w:t xml:space="preserve">SCAMPER</w:t>
      </w:r>
      <w:r>
        <w:t xml:space="preserve"> </w:t>
      </w:r>
      <w:r>
        <w:t xml:space="preserve">framework (Substitute, Combine, Adapt, Modify, Put to another use, Eliminate, Rearrange) to explore how future innovations might address current limitations.</w:t>
      </w:r>
    </w:p>
    <w:bookmarkEnd w:id="24"/>
    <w:bookmarkStart w:id="25" w:name="nonsupported-construction-types"/>
    <w:p>
      <w:pPr>
        <w:pStyle w:val="Heading2"/>
      </w:pPr>
      <w:r>
        <w:t xml:space="preserve">Non‑Supported Construction Types</w:t>
      </w:r>
    </w:p>
    <w:p>
      <w:pPr>
        <w:pStyle w:val="FirstParagraph"/>
      </w:pPr>
      <w:r>
        <w:t xml:space="preserve">BFS focuses on</w:t>
      </w:r>
      <w:r>
        <w:t xml:space="preserve"> </w:t>
      </w:r>
      <w:r>
        <w:rPr>
          <w:b/>
          <w:bCs/>
        </w:rPr>
        <w:t xml:space="preserve">single‑family and low‑rise residential structures</w:t>
      </w:r>
      <w:r>
        <w:t xml:space="preserve">. The following project types generally fall outside its current scope: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Non‑supported type</w:t>
            </w:r>
          </w:p>
        </w:tc>
        <w:tc>
          <w:tcPr/>
          <w:p>
            <w:pPr>
              <w:pStyle w:val="Compact"/>
            </w:pPr>
            <w:r>
              <w:t xml:space="preserve">Why out‑of‑scope (Chain‑of‑Thought reasoning)</w:t>
            </w:r>
          </w:p>
        </w:tc>
        <w:tc>
          <w:tcPr/>
          <w:p>
            <w:pPr>
              <w:pStyle w:val="Compact"/>
            </w:pPr>
            <w:r>
              <w:t xml:space="preserve">Possible future adaptation (SCAMPER)</w:t>
            </w:r>
          </w:p>
        </w:tc>
      </w:tr>
      <w:tr>
        <w:tc>
          <w:tcPr/>
          <w:p>
            <w:pPr>
              <w:pStyle w:val="Compact"/>
            </w:pPr>
            <w:r>
              <w:rPr>
                <w:b/>
                <w:bCs/>
              </w:rPr>
              <w:t xml:space="preserve">High‑rise/vertical structures</w:t>
            </w:r>
            <w:r>
              <w:t xml:space="preserve"> </w:t>
            </w:r>
            <w:r>
              <w:t xml:space="preserve">(e.g., &gt; 4 stories, commercial towers)</w:t>
            </w:r>
          </w:p>
        </w:tc>
        <w:tc>
          <w:tcPr/>
          <w:p>
            <w:pPr>
              <w:pStyle w:val="Compact"/>
            </w:pPr>
            <w:r>
              <w:t xml:space="preserve">High‑rise buildings use steel frames, post‑tensioned concrete and curtain‑wall systems rather than wood. BFS specializes in wood‑based components; supplying and engineering skyscraper steel would require different certifications, heavy rigging and partnerships.</w:t>
            </w:r>
          </w:p>
        </w:tc>
        <w:tc>
          <w:tcPr/>
          <w:p>
            <w:pPr>
              <w:pStyle w:val="Compact"/>
            </w:pPr>
            <w:r>
              <w:rPr>
                <w:i/>
                <w:iCs/>
              </w:rPr>
              <w:t xml:space="preserve">Adapt</w:t>
            </w:r>
            <w:r>
              <w:t xml:space="preserve">: BFS could partner with structural steel suppliers to offer hybrid timber‑steel systems for mid‑rise buildings, but this would require new expertise and logistics.</w:t>
            </w:r>
          </w:p>
        </w:tc>
      </w:tr>
      <w:tr>
        <w:tc>
          <w:tcPr/>
          <w:p>
            <w:pPr>
              <w:pStyle w:val="Compact"/>
            </w:pPr>
            <w:r>
              <w:rPr>
                <w:b/>
                <w:bCs/>
              </w:rPr>
              <w:t xml:space="preserve">Heavy commercial / industrial facilities</w:t>
            </w:r>
            <w:r>
              <w:t xml:space="preserve"> </w:t>
            </w:r>
            <w:r>
              <w:t xml:space="preserve">(factories, warehouses, hospitals)</w:t>
            </w:r>
          </w:p>
        </w:tc>
        <w:tc>
          <w:tcPr/>
          <w:p>
            <w:pPr>
              <w:pStyle w:val="Compact"/>
            </w:pPr>
            <w:r>
              <w:t xml:space="preserve">These projects demand heavy‑duty materials (structural steel, precast concrete, MEP equipment) and custom engineering beyond BFS’s residential focus. They often require union labor and specialized installation, raising liability and logistical complexity.</w:t>
            </w:r>
          </w:p>
        </w:tc>
        <w:tc>
          <w:tcPr/>
          <w:p>
            <w:pPr>
              <w:pStyle w:val="Compact"/>
            </w:pPr>
            <w:r>
              <w:rPr>
                <w:i/>
                <w:iCs/>
              </w:rPr>
              <w:t xml:space="preserve">Modify</w:t>
            </w:r>
            <w:r>
              <w:t xml:space="preserve">: BFS might expand into light commercial (restaurants, small offices) by introducing stronger engineered wood products like cross‑laminated timber (CLT).</w:t>
            </w:r>
          </w:p>
        </w:tc>
      </w:tr>
      <w:tr>
        <w:tc>
          <w:tcPr/>
          <w:p>
            <w:pPr>
              <w:pStyle w:val="Compact"/>
            </w:pPr>
            <w:r>
              <w:rPr>
                <w:b/>
                <w:bCs/>
              </w:rPr>
              <w:t xml:space="preserve">Civil infrastructure</w:t>
            </w:r>
            <w:r>
              <w:t xml:space="preserve"> </w:t>
            </w:r>
            <w:r>
              <w:t xml:space="preserve">(bridges, road decks, public utilities)</w:t>
            </w:r>
          </w:p>
        </w:tc>
        <w:tc>
          <w:tcPr/>
          <w:p>
            <w:pPr>
              <w:pStyle w:val="Compact"/>
            </w:pPr>
            <w:r>
              <w:t xml:space="preserve">Civil works fall under Department of Transportation standards (AASHTO) with stringent testing, permitting and long‑term warranty obligations that are beyond the company’s current capabilities.</w:t>
            </w:r>
          </w:p>
        </w:tc>
        <w:tc>
          <w:tcPr/>
          <w:p>
            <w:pPr>
              <w:pStyle w:val="Compact"/>
            </w:pPr>
            <w:r>
              <w:rPr>
                <w:i/>
                <w:iCs/>
              </w:rPr>
              <w:t xml:space="preserve">Eliminate</w:t>
            </w:r>
            <w:r>
              <w:t xml:space="preserve">: Unless BFS develops a dedicated civil division, these projects remain out‑of‑scope.</w:t>
            </w:r>
          </w:p>
        </w:tc>
      </w:tr>
      <w:tr>
        <w:tc>
          <w:tcPr/>
          <w:p>
            <w:pPr>
              <w:pStyle w:val="Compact"/>
            </w:pPr>
            <w:r>
              <w:rPr>
                <w:b/>
                <w:bCs/>
              </w:rPr>
              <w:t xml:space="preserve">Multi‑family towers</w:t>
            </w:r>
            <w:r>
              <w:t xml:space="preserve"> </w:t>
            </w:r>
            <w:r>
              <w:t xml:space="preserve">beyond garden‑style apartment ranges</w:t>
            </w:r>
          </w:p>
        </w:tc>
        <w:tc>
          <w:tcPr/>
          <w:p>
            <w:pPr>
              <w:pStyle w:val="Compact"/>
            </w:pPr>
            <w:r>
              <w:t xml:space="preserve">While BFS supplies to townhomes and low‑rise apartments, mid‑/high‑rise multi‑family towers require more robust fire‑rating, sound‑insulation and seismic systems than BFS currently offers.</w:t>
            </w:r>
          </w:p>
        </w:tc>
        <w:tc>
          <w:tcPr/>
          <w:p>
            <w:pPr>
              <w:pStyle w:val="Compact"/>
            </w:pPr>
            <w:r>
              <w:rPr>
                <w:i/>
                <w:iCs/>
              </w:rPr>
              <w:t xml:space="preserve">Combine</w:t>
            </w:r>
            <w:r>
              <w:t xml:space="preserve">: BFS could collaborate with specialized panel manufacturers for fire‑rated assemblies to enter this space.</w:t>
            </w:r>
          </w:p>
        </w:tc>
      </w:tr>
    </w:tbl>
    <w:p>
      <w:pPr>
        <w:pStyle w:val="BodyText"/>
      </w:pPr>
      <w:r>
        <w:rPr>
          <w:i/>
          <w:iCs/>
        </w:rPr>
        <w:t xml:space="preserve">Tree‑of‑Thought summary</w:t>
      </w:r>
      <w:r>
        <w:t xml:space="preserve">: For any project, first check the</w:t>
      </w:r>
      <w:r>
        <w:t xml:space="preserve"> </w:t>
      </w:r>
      <w:r>
        <w:rPr>
          <w:b/>
          <w:bCs/>
        </w:rPr>
        <w:t xml:space="preserve">building type</w:t>
      </w:r>
      <w:r>
        <w:t xml:space="preserve">. If it is high‑rise, heavy commercial or infrastructure, it likely requires materials (steel, precast concrete, elevators) that BFS does not manufacture or distribute. Consult a commercial supplier or engineer instead.</w:t>
      </w:r>
    </w:p>
    <w:bookmarkEnd w:id="25"/>
    <w:bookmarkStart w:id="27" w:name="product-gaps-outofscope-materials"/>
    <w:p>
      <w:pPr>
        <w:pStyle w:val="Heading2"/>
      </w:pPr>
      <w:r>
        <w:t xml:space="preserve">Product Gaps / Out‑of‑Scope Materials</w:t>
      </w:r>
    </w:p>
    <w:p>
      <w:pPr>
        <w:pStyle w:val="FirstParagraph"/>
      </w:pPr>
      <w:r>
        <w:t xml:space="preserve">BFS’s catalog includes lumber, plywood, engineered wood products, roof/floor trusses, wall panels, stairs, vinyl windows, millwork and pre‑hung doors</w:t>
      </w:r>
      <w:hyperlink r:id="rId26">
        <w:r>
          <w:rPr>
            <w:rStyle w:val="Hyperlink"/>
          </w:rPr>
          <w:t xml:space="preserve">[3]</w:t>
        </w:r>
      </w:hyperlink>
      <w:r>
        <w:t xml:space="preserve">. It does</w:t>
      </w:r>
      <w:r>
        <w:t xml:space="preserve"> </w:t>
      </w:r>
      <w:r>
        <w:rPr>
          <w:b/>
          <w:bCs/>
        </w:rPr>
        <w:t xml:space="preserve">not</w:t>
      </w:r>
      <w:r>
        <w:t xml:space="preserve"> </w:t>
      </w:r>
      <w:r>
        <w:t xml:space="preserve">supply every construction material. Significant gaps include:</w:t>
      </w:r>
    </w:p>
    <w:p>
      <w:pPr>
        <w:pStyle w:val="Compact"/>
        <w:numPr>
          <w:ilvl w:val="0"/>
          <w:numId w:val="1002"/>
        </w:numPr>
      </w:pPr>
      <w:r>
        <w:rPr>
          <w:b/>
          <w:bCs/>
        </w:rPr>
        <w:t xml:space="preserve">Structural steel beams, columns, rebar and post‑tension cables</w:t>
      </w:r>
      <w:r>
        <w:t xml:space="preserve"> </w:t>
      </w:r>
      <w:r>
        <w:t xml:space="preserve">– used in commercial and high‑rise construction.</w:t>
      </w:r>
    </w:p>
    <w:p>
      <w:pPr>
        <w:pStyle w:val="Compact"/>
        <w:numPr>
          <w:ilvl w:val="0"/>
          <w:numId w:val="1002"/>
        </w:numPr>
      </w:pPr>
      <w:r>
        <w:rPr>
          <w:b/>
          <w:bCs/>
        </w:rPr>
        <w:t xml:space="preserve">Concrete and masonry</w:t>
      </w:r>
      <w:r>
        <w:t xml:space="preserve"> </w:t>
      </w:r>
      <w:r>
        <w:t xml:space="preserve">– bulk ready‑mix concrete, masonry block, brick and mortar are sourced through local concrete or masonry suppliers.</w:t>
      </w:r>
    </w:p>
    <w:p>
      <w:pPr>
        <w:pStyle w:val="Compact"/>
        <w:numPr>
          <w:ilvl w:val="0"/>
          <w:numId w:val="1002"/>
        </w:numPr>
      </w:pPr>
      <w:r>
        <w:rPr>
          <w:b/>
          <w:bCs/>
        </w:rPr>
        <w:t xml:space="preserve">Mechanical, Electrical &amp; Plumbing (MEP) components</w:t>
      </w:r>
      <w:r>
        <w:t xml:space="preserve"> </w:t>
      </w:r>
      <w:r>
        <w:t xml:space="preserve">– HVAC units, chillers, elevators, boilers, electrical switchgear, transformers and plumbing fixtures are outside BFS’s portfolio.</w:t>
      </w:r>
    </w:p>
    <w:p>
      <w:pPr>
        <w:pStyle w:val="Compact"/>
        <w:numPr>
          <w:ilvl w:val="0"/>
          <w:numId w:val="1002"/>
        </w:numPr>
      </w:pPr>
      <w:r>
        <w:rPr>
          <w:b/>
          <w:bCs/>
        </w:rPr>
        <w:t xml:space="preserve">Exterior cladding systems</w:t>
      </w:r>
      <w:r>
        <w:t xml:space="preserve"> </w:t>
      </w:r>
      <w:r>
        <w:t xml:space="preserve">– curtain walls, storefront glazing, precast facade panels and complex rainscreen assemblies.</w:t>
      </w:r>
    </w:p>
    <w:p>
      <w:pPr>
        <w:pStyle w:val="Compact"/>
        <w:numPr>
          <w:ilvl w:val="0"/>
          <w:numId w:val="1002"/>
        </w:numPr>
      </w:pPr>
      <w:r>
        <w:rPr>
          <w:b/>
          <w:bCs/>
        </w:rPr>
        <w:t xml:space="preserve">Finishes and interiors</w:t>
      </w:r>
      <w:r>
        <w:t xml:space="preserve"> </w:t>
      </w:r>
      <w:r>
        <w:t xml:space="preserve">– drywall, insulation, flooring, cabinetry, paint and hardware are offered by other distributors or home improvement retailers.</w:t>
      </w:r>
    </w:p>
    <w:p>
      <w:pPr>
        <w:pStyle w:val="Compact"/>
        <w:numPr>
          <w:ilvl w:val="0"/>
          <w:numId w:val="1002"/>
        </w:numPr>
      </w:pPr>
      <w:r>
        <w:rPr>
          <w:b/>
          <w:bCs/>
        </w:rPr>
        <w:t xml:space="preserve">Specialty engineered wood</w:t>
      </w:r>
      <w:r>
        <w:t xml:space="preserve"> </w:t>
      </w:r>
      <w:r>
        <w:t xml:space="preserve">such as</w:t>
      </w:r>
      <w:r>
        <w:t xml:space="preserve"> </w:t>
      </w:r>
      <w:r>
        <w:rPr>
          <w:b/>
          <w:bCs/>
        </w:rPr>
        <w:t xml:space="preserve">cross‑laminated timber (CLT)</w:t>
      </w:r>
      <w:r>
        <w:t xml:space="preserve"> </w:t>
      </w:r>
      <w:r>
        <w:t xml:space="preserve">and</w:t>
      </w:r>
      <w:r>
        <w:t xml:space="preserve"> </w:t>
      </w:r>
      <w:r>
        <w:rPr>
          <w:b/>
          <w:bCs/>
        </w:rPr>
        <w:t xml:space="preserve">glulam</w:t>
      </w:r>
      <w:r>
        <w:t xml:space="preserve"> </w:t>
      </w:r>
      <w:r>
        <w:t xml:space="preserve">for long spans may be available only in select markets.</w:t>
      </w:r>
    </w:p>
    <w:p>
      <w:pPr>
        <w:pStyle w:val="FirstParagraph"/>
      </w:pPr>
      <w:r>
        <w:rPr>
          <w:i/>
          <w:iCs/>
        </w:rPr>
        <w:t xml:space="preserve">Chain‑of‑Thought reasoning</w:t>
      </w:r>
      <w:r>
        <w:t xml:space="preserve">: BFS concentrates on structural components with high volume and standardized manufacturing. Many of the above materials are either commodity items supplied by specialized producers (e.g., concrete plants) or regulated by mechanical/electrical codes requiring contractor licensing. Supplying them would dilute focus and expose BFS to new liabilities.</w:t>
      </w:r>
    </w:p>
    <w:p>
      <w:pPr>
        <w:pStyle w:val="BodyText"/>
      </w:pPr>
      <w:r>
        <w:rPr>
          <w:i/>
          <w:iCs/>
        </w:rPr>
        <w:t xml:space="preserve">SCAMPER possibilities</w:t>
      </w:r>
      <w:r>
        <w:t xml:space="preserve">:</w:t>
      </w:r>
      <w:r>
        <w:br/>
      </w:r>
      <w:r>
        <w:t xml:space="preserve">-</w:t>
      </w:r>
      <w:r>
        <w:t xml:space="preserve"> </w:t>
      </w:r>
      <w:r>
        <w:rPr>
          <w:b/>
          <w:bCs/>
        </w:rPr>
        <w:t xml:space="preserve">Substitute/Combine</w:t>
      </w:r>
      <w:r>
        <w:t xml:space="preserve">: BFS could bundle its structural packages with partner‑provided interior finishes.</w:t>
      </w:r>
      <w:r>
        <w:br/>
      </w:r>
      <w:r>
        <w:t xml:space="preserve">-</w:t>
      </w:r>
      <w:r>
        <w:t xml:space="preserve"> </w:t>
      </w:r>
      <w:r>
        <w:rPr>
          <w:b/>
          <w:bCs/>
        </w:rPr>
        <w:t xml:space="preserve">Adapt</w:t>
      </w:r>
      <w:r>
        <w:t xml:space="preserve">: In regions emphasizing sustainability, BFS might adopt mass timber products like CLT, expanding its range while staying within wood expertise.</w:t>
      </w:r>
      <w:r>
        <w:br/>
      </w:r>
      <w:r>
        <w:t xml:space="preserve">-</w:t>
      </w:r>
      <w:r>
        <w:t xml:space="preserve"> </w:t>
      </w:r>
      <w:r>
        <w:rPr>
          <w:b/>
          <w:bCs/>
        </w:rPr>
        <w:t xml:space="preserve">Rearrange</w:t>
      </w:r>
      <w:r>
        <w:t xml:space="preserve">: Logistics models could be restructured to allow drop‑shipping of third‑party MEP components through BFS digital platforms, but this would require partnerships and new distribution channels.</w:t>
      </w:r>
    </w:p>
    <w:bookmarkEnd w:id="27"/>
    <w:bookmarkStart w:id="28" w:name="geographic-delivery-constraints"/>
    <w:p>
      <w:pPr>
        <w:pStyle w:val="Heading2"/>
      </w:pPr>
      <w:r>
        <w:t xml:space="preserve">Geographic / Delivery Constraints</w:t>
      </w:r>
    </w:p>
    <w:p>
      <w:pPr>
        <w:pStyle w:val="FirstParagraph"/>
      </w:pPr>
      <w:r>
        <w:t xml:space="preserve">Although BFS has a broad footprint, it</w:t>
      </w:r>
      <w:r>
        <w:t xml:space="preserve"> </w:t>
      </w:r>
      <w:r>
        <w:rPr>
          <w:b/>
          <w:bCs/>
        </w:rPr>
        <w:t xml:space="preserve">does not deliver everywhere</w:t>
      </w:r>
      <w:r>
        <w:t xml:space="preserve">. Key geographic considerations include:</w:t>
      </w:r>
    </w:p>
    <w:p>
      <w:pPr>
        <w:pStyle w:val="Compact"/>
        <w:numPr>
          <w:ilvl w:val="0"/>
          <w:numId w:val="1003"/>
        </w:numPr>
      </w:pPr>
      <w:r>
        <w:rPr>
          <w:b/>
          <w:bCs/>
        </w:rPr>
        <w:t xml:space="preserve">State and regional coverage</w:t>
      </w:r>
      <w:r>
        <w:t xml:space="preserve"> </w:t>
      </w:r>
      <w:r>
        <w:t xml:space="preserve">– As of 2025, BFS operates roughly 585 locations in</w:t>
      </w:r>
      <w:r>
        <w:t xml:space="preserve"> </w:t>
      </w:r>
      <w:r>
        <w:rPr>
          <w:b/>
          <w:bCs/>
        </w:rPr>
        <w:t xml:space="preserve">43 U.S. states</w:t>
      </w:r>
      <w:hyperlink r:id="rId21">
        <w:r>
          <w:rPr>
            <w:rStyle w:val="Hyperlink"/>
          </w:rPr>
          <w:t xml:space="preserve">[1]</w:t>
        </w:r>
      </w:hyperlink>
      <w:hyperlink r:id="rId22">
        <w:r>
          <w:rPr>
            <w:rStyle w:val="Hyperlink"/>
          </w:rPr>
          <w:t xml:space="preserve">[2]</w:t>
        </w:r>
      </w:hyperlink>
      <w:r>
        <w:t xml:space="preserve">.</w:t>
      </w:r>
      <w:r>
        <w:t xml:space="preserve"> </w:t>
      </w:r>
      <w:r>
        <w:rPr>
          <w:b/>
          <w:bCs/>
        </w:rPr>
        <w:t xml:space="preserve">The company does not have branches in every state</w:t>
      </w:r>
      <w:r>
        <w:t xml:space="preserve">. Customers in non‑served states or outside of top metropolitan areas may need to source products from other suppliers.</w:t>
      </w:r>
    </w:p>
    <w:p>
      <w:pPr>
        <w:pStyle w:val="Compact"/>
        <w:numPr>
          <w:ilvl w:val="0"/>
          <w:numId w:val="1003"/>
        </w:numPr>
      </w:pPr>
      <w:r>
        <w:rPr>
          <w:b/>
          <w:bCs/>
        </w:rPr>
        <w:t xml:space="preserve">Remote or rural delivery</w:t>
      </w:r>
      <w:r>
        <w:t xml:space="preserve"> </w:t>
      </w:r>
      <w:r>
        <w:t xml:space="preserve">– Even within served states, BFS prioritizes deliveries near its distribution centers. Extremely remote sites (e.g., mountain cabins, off‑grid properties, islands or parts of Alaska/Hawaii) may be beyond the reach of standard freight trucks. Additional fees or minimum order quantities might apply, and some locations may not be deliverable at all.</w:t>
      </w:r>
    </w:p>
    <w:p>
      <w:pPr>
        <w:pStyle w:val="Compact"/>
        <w:numPr>
          <w:ilvl w:val="0"/>
          <w:numId w:val="1003"/>
        </w:numPr>
      </w:pPr>
      <w:r>
        <w:rPr>
          <w:b/>
          <w:bCs/>
        </w:rPr>
        <w:t xml:space="preserve">Export / cross‑border shipments</w:t>
      </w:r>
      <w:r>
        <w:t xml:space="preserve"> </w:t>
      </w:r>
      <w:r>
        <w:t xml:space="preserve">– BFS is primarily a domestic U.S. supplier. Exporting products overseas or to Canada/Mexico involves customs compliance and logistical complexities that BFS currently does not handle.</w:t>
      </w:r>
    </w:p>
    <w:p>
      <w:pPr>
        <w:pStyle w:val="Compact"/>
        <w:numPr>
          <w:ilvl w:val="0"/>
          <w:numId w:val="1003"/>
        </w:numPr>
      </w:pPr>
      <w:r>
        <w:rPr>
          <w:b/>
          <w:bCs/>
        </w:rPr>
        <w:t xml:space="preserve">Delivery vehicle constraints</w:t>
      </w:r>
      <w:r>
        <w:t xml:space="preserve"> </w:t>
      </w:r>
      <w:r>
        <w:t xml:space="preserve">– Most BFS deliveries use</w:t>
      </w:r>
      <w:r>
        <w:t xml:space="preserve"> </w:t>
      </w:r>
      <w:r>
        <w:rPr>
          <w:b/>
          <w:bCs/>
        </w:rPr>
        <w:t xml:space="preserve">flatbed trucks or boom trucks</w:t>
      </w:r>
      <w:r>
        <w:t xml:space="preserve"> </w:t>
      </w:r>
      <w:r>
        <w:t xml:space="preserve">designed for lumber packages. Jobs requiring cranes, barge transport or helicopter lifts will need specialized logistics arranged by the customer.</w:t>
      </w:r>
    </w:p>
    <w:p>
      <w:pPr>
        <w:pStyle w:val="FirstParagraph"/>
      </w:pPr>
      <w:r>
        <w:rPr>
          <w:i/>
          <w:iCs/>
        </w:rPr>
        <w:t xml:space="preserve">Chain‑of‑Thought reasoning</w:t>
      </w:r>
      <w:r>
        <w:t xml:space="preserve">: Delivery constraints arise from</w:t>
      </w:r>
      <w:r>
        <w:t xml:space="preserve"> </w:t>
      </w:r>
      <w:r>
        <w:rPr>
          <w:b/>
          <w:bCs/>
        </w:rPr>
        <w:t xml:space="preserve">network density</w:t>
      </w:r>
      <w:r>
        <w:t xml:space="preserve"> </w:t>
      </w:r>
      <w:r>
        <w:t xml:space="preserve">(branch proximity) and</w:t>
      </w:r>
      <w:r>
        <w:t xml:space="preserve"> </w:t>
      </w:r>
      <w:r>
        <w:rPr>
          <w:b/>
          <w:bCs/>
        </w:rPr>
        <w:t xml:space="preserve">equipment capabilities</w:t>
      </w:r>
      <w:r>
        <w:t xml:space="preserve">. BFS’s network covers major metropolitan areas</w:t>
      </w:r>
      <w:hyperlink r:id="rId22">
        <w:r>
          <w:rPr>
            <w:rStyle w:val="Hyperlink"/>
          </w:rPr>
          <w:t xml:space="preserve">[2]</w:t>
        </w:r>
      </w:hyperlink>
      <w:r>
        <w:t xml:space="preserve"> </w:t>
      </w:r>
      <w:r>
        <w:t xml:space="preserve">but does not extend to all zip codes. Logistics costs (fuel, driver time) make long‑distance or remote deliveries uneconomical. International shipments introduce legal and tariff complexities.</w:t>
      </w:r>
    </w:p>
    <w:p>
      <w:pPr>
        <w:pStyle w:val="BodyText"/>
      </w:pPr>
      <w:r>
        <w:rPr>
          <w:i/>
          <w:iCs/>
        </w:rPr>
        <w:t xml:space="preserve">SCAMPER possibilities</w:t>
      </w:r>
      <w:r>
        <w:t xml:space="preserve">:</w:t>
      </w:r>
      <w:r>
        <w:br/>
      </w:r>
      <w:r>
        <w:t xml:space="preserve">-</w:t>
      </w:r>
      <w:r>
        <w:t xml:space="preserve"> </w:t>
      </w:r>
      <w:r>
        <w:rPr>
          <w:b/>
          <w:bCs/>
        </w:rPr>
        <w:t xml:space="preserve">Modify</w:t>
      </w:r>
      <w:r>
        <w:t xml:space="preserve"> </w:t>
      </w:r>
      <w:r>
        <w:t xml:space="preserve">the logistics model by partnering with last‑mile carriers or modular home builders to reach remote customers.</w:t>
      </w:r>
      <w:r>
        <w:br/>
      </w:r>
      <w:r>
        <w:t xml:space="preserve">-</w:t>
      </w:r>
      <w:r>
        <w:t xml:space="preserve"> </w:t>
      </w:r>
      <w:r>
        <w:rPr>
          <w:b/>
          <w:bCs/>
        </w:rPr>
        <w:t xml:space="preserve">Eliminate</w:t>
      </w:r>
      <w:r>
        <w:t xml:space="preserve"> </w:t>
      </w:r>
      <w:r>
        <w:t xml:space="preserve">coverage gaps through acquisition or greenfield expansion in underserved states.</w:t>
      </w:r>
      <w:r>
        <w:br/>
      </w:r>
      <w:r>
        <w:t xml:space="preserve">-</w:t>
      </w:r>
      <w:r>
        <w:t xml:space="preserve"> </w:t>
      </w:r>
      <w:r>
        <w:rPr>
          <w:b/>
          <w:bCs/>
        </w:rPr>
        <w:t xml:space="preserve">Adapt</w:t>
      </w:r>
      <w:r>
        <w:t xml:space="preserve"> </w:t>
      </w:r>
      <w:r>
        <w:t xml:space="preserve">digital ordering to coordinate drop‑ship deliveries directly from manufacturers in regions without BFS branches.</w:t>
      </w:r>
    </w:p>
    <w:bookmarkEnd w:id="28"/>
    <w:bookmarkStart w:id="29" w:name="code-structural-constraints"/>
    <w:p>
      <w:pPr>
        <w:pStyle w:val="Heading2"/>
      </w:pPr>
      <w:r>
        <w:t xml:space="preserve">Code / Structural Constraints</w:t>
      </w:r>
    </w:p>
    <w:p>
      <w:pPr>
        <w:pStyle w:val="FirstParagraph"/>
      </w:pPr>
      <w:r>
        <w:t xml:space="preserve">BFS’s design services assist customers with preliminary layouts and component sizing, but there are</w:t>
      </w:r>
      <w:r>
        <w:t xml:space="preserve"> </w:t>
      </w:r>
      <w:r>
        <w:rPr>
          <w:b/>
          <w:bCs/>
        </w:rPr>
        <w:t xml:space="preserve">important structural and regulatory limits</w:t>
      </w:r>
      <w:r>
        <w:t xml:space="preserve">:</w:t>
      </w:r>
    </w:p>
    <w:p>
      <w:pPr>
        <w:pStyle w:val="Compact"/>
        <w:numPr>
          <w:ilvl w:val="0"/>
          <w:numId w:val="1004"/>
        </w:numPr>
      </w:pPr>
      <w:r>
        <w:rPr>
          <w:b/>
          <w:bCs/>
        </w:rPr>
        <w:t xml:space="preserve">Span and load limits</w:t>
      </w:r>
      <w:r>
        <w:t xml:space="preserve"> </w:t>
      </w:r>
      <w:r>
        <w:t xml:space="preserve">– Wood trusses and I‑joists have maximum allowable spans based on species, grade, spacing and live/dead loads. Exceeding these spans introduces deflection and safety risks. BFS’s span tables are calibrated for typical residential loads (e.g., 40 psf live load for floors, 20 psf for roofs). Long‑span commercial roofs (&gt;40 feet) or heavy storage loads require engineered steel or glulam systems.</w:t>
      </w:r>
    </w:p>
    <w:p>
      <w:pPr>
        <w:pStyle w:val="Compact"/>
        <w:numPr>
          <w:ilvl w:val="0"/>
          <w:numId w:val="1004"/>
        </w:numPr>
      </w:pPr>
      <w:r>
        <w:rPr>
          <w:b/>
          <w:bCs/>
        </w:rPr>
        <w:t xml:space="preserve">Snow and wind zones</w:t>
      </w:r>
      <w:r>
        <w:t xml:space="preserve"> </w:t>
      </w:r>
      <w:r>
        <w:t xml:space="preserve">– Regions with extreme snow (e.g., Rocky Mountains, Great Lakes) or high wind/hurricane exposure (e.g., Gulf Coast) require higher load ratings. BFS may not design for</w:t>
      </w:r>
      <w:r>
        <w:t xml:space="preserve"> </w:t>
      </w:r>
      <w:r>
        <w:rPr>
          <w:b/>
          <w:bCs/>
        </w:rPr>
        <w:t xml:space="preserve">Category D/E hurricane zones</w:t>
      </w:r>
      <w:r>
        <w:t xml:space="preserve"> </w:t>
      </w:r>
      <w:r>
        <w:t xml:space="preserve">or</w:t>
      </w:r>
      <w:r>
        <w:t xml:space="preserve"> </w:t>
      </w:r>
      <w:r>
        <w:rPr>
          <w:b/>
          <w:bCs/>
        </w:rPr>
        <w:t xml:space="preserve">100 psf snow loads</w:t>
      </w:r>
      <w:r>
        <w:t xml:space="preserve">; projects in these areas need certified professional engineering to validate designs and connections.</w:t>
      </w:r>
    </w:p>
    <w:p>
      <w:pPr>
        <w:pStyle w:val="Compact"/>
        <w:numPr>
          <w:ilvl w:val="0"/>
          <w:numId w:val="1004"/>
        </w:numPr>
      </w:pPr>
      <w:r>
        <w:rPr>
          <w:b/>
          <w:bCs/>
        </w:rPr>
        <w:t xml:space="preserve">Fire rating and code compliance</w:t>
      </w:r>
      <w:r>
        <w:t xml:space="preserve"> </w:t>
      </w:r>
      <w:r>
        <w:t xml:space="preserve">– Multi‑family and commercial buildings often require</w:t>
      </w:r>
      <w:r>
        <w:t xml:space="preserve"> </w:t>
      </w:r>
      <w:r>
        <w:rPr>
          <w:b/>
          <w:bCs/>
        </w:rPr>
        <w:t xml:space="preserve">1‑ or 2‑hour fire‑rated assemblies</w:t>
      </w:r>
      <w:r>
        <w:t xml:space="preserve">, fire sprinklers and seismic detailing that exceed standard residential assemblies. BFS does not provide code certification for these assemblies unless specifically noted.</w:t>
      </w:r>
    </w:p>
    <w:p>
      <w:pPr>
        <w:pStyle w:val="Compact"/>
        <w:numPr>
          <w:ilvl w:val="0"/>
          <w:numId w:val="1004"/>
        </w:numPr>
      </w:pPr>
      <w:r>
        <w:rPr>
          <w:b/>
          <w:bCs/>
        </w:rPr>
        <w:t xml:space="preserve">Local permitting</w:t>
      </w:r>
      <w:r>
        <w:t xml:space="preserve"> </w:t>
      </w:r>
      <w:r>
        <w:t xml:space="preserve">– Building codes vary by jurisdiction. Some areas require truss designs stamped by a licensed engineer in that state. BFS’s design assistance is not a substitute for such stamps.</w:t>
      </w:r>
    </w:p>
    <w:p>
      <w:pPr>
        <w:pStyle w:val="FirstParagraph"/>
      </w:pPr>
      <w:r>
        <w:rPr>
          <w:i/>
          <w:iCs/>
        </w:rPr>
        <w:t xml:space="preserve">Chain‑of‑Thought reasoning</w:t>
      </w:r>
      <w:r>
        <w:t xml:space="preserve">: Structural components must conform to</w:t>
      </w:r>
      <w:r>
        <w:t xml:space="preserve"> </w:t>
      </w:r>
      <w:r>
        <w:rPr>
          <w:b/>
          <w:bCs/>
        </w:rPr>
        <w:t xml:space="preserve">International Residential Code (IRC)</w:t>
      </w:r>
      <w:r>
        <w:t xml:space="preserve"> </w:t>
      </w:r>
      <w:r>
        <w:t xml:space="preserve">or</w:t>
      </w:r>
      <w:r>
        <w:t xml:space="preserve"> </w:t>
      </w:r>
      <w:r>
        <w:rPr>
          <w:b/>
          <w:bCs/>
        </w:rPr>
        <w:t xml:space="preserve">International Building Code (IBC)</w:t>
      </w:r>
      <w:r>
        <w:t xml:space="preserve"> </w:t>
      </w:r>
      <w:r>
        <w:t xml:space="preserve">load requirements. BFS’s standard products target residential conditions. Exceeding those conditions could compromise safety and invite liability. Local codes and professional engineer review ensure site‑specific factors like soil conditions, seismicity and fire separation are addressed.</w:t>
      </w:r>
    </w:p>
    <w:p>
      <w:pPr>
        <w:pStyle w:val="BodyText"/>
      </w:pPr>
      <w:r>
        <w:rPr>
          <w:i/>
          <w:iCs/>
        </w:rPr>
        <w:t xml:space="preserve">SCAMPER possibilities</w:t>
      </w:r>
      <w:r>
        <w:t xml:space="preserve">:</w:t>
      </w:r>
      <w:r>
        <w:br/>
      </w:r>
      <w:r>
        <w:t xml:space="preserve">-</w:t>
      </w:r>
      <w:r>
        <w:t xml:space="preserve"> </w:t>
      </w:r>
      <w:r>
        <w:rPr>
          <w:b/>
          <w:bCs/>
        </w:rPr>
        <w:t xml:space="preserve">Adapt</w:t>
      </w:r>
      <w:r>
        <w:t xml:space="preserve"> </w:t>
      </w:r>
      <w:r>
        <w:t xml:space="preserve">BFS’s design software to automatically flag when a project requires external engineering.</w:t>
      </w:r>
      <w:r>
        <w:br/>
      </w:r>
      <w:r>
        <w:t xml:space="preserve">-</w:t>
      </w:r>
      <w:r>
        <w:t xml:space="preserve"> </w:t>
      </w:r>
      <w:r>
        <w:rPr>
          <w:b/>
          <w:bCs/>
        </w:rPr>
        <w:t xml:space="preserve">Combine</w:t>
      </w:r>
      <w:r>
        <w:t xml:space="preserve"> </w:t>
      </w:r>
      <w:r>
        <w:t xml:space="preserve">BFS trusses with mass‑timber solutions for mid‑rise projects to meet higher loads.</w:t>
      </w:r>
      <w:r>
        <w:br/>
      </w:r>
      <w:r>
        <w:t xml:space="preserve">-</w:t>
      </w:r>
      <w:r>
        <w:t xml:space="preserve"> </w:t>
      </w:r>
      <w:r>
        <w:rPr>
          <w:b/>
          <w:bCs/>
        </w:rPr>
        <w:t xml:space="preserve">Modify</w:t>
      </w:r>
      <w:r>
        <w:t xml:space="preserve"> </w:t>
      </w:r>
      <w:r>
        <w:t xml:space="preserve">product lines by adopting CLT and fire‑treated lumber to satisfy enhanced fire ratings.</w:t>
      </w:r>
    </w:p>
    <w:bookmarkEnd w:id="29"/>
    <w:bookmarkStart w:id="30" w:name="liability-design-disclaimer"/>
    <w:p>
      <w:pPr>
        <w:pStyle w:val="Heading2"/>
      </w:pPr>
      <w:r>
        <w:t xml:space="preserve">Liability &amp; Design Disclaimer</w:t>
      </w:r>
    </w:p>
    <w:p>
      <w:pPr>
        <w:pStyle w:val="FirstParagraph"/>
      </w:pPr>
      <w:r>
        <w:t xml:space="preserve">BFS strives to support builders with technical guidance, but</w:t>
      </w:r>
      <w:r>
        <w:t xml:space="preserve"> </w:t>
      </w:r>
      <w:r>
        <w:rPr>
          <w:b/>
          <w:bCs/>
        </w:rPr>
        <w:t xml:space="preserve">final responsibility rests with qualified professionals</w:t>
      </w:r>
      <w:r>
        <w:t xml:space="preserve">:</w:t>
      </w:r>
    </w:p>
    <w:p>
      <w:pPr>
        <w:pStyle w:val="Compact"/>
        <w:numPr>
          <w:ilvl w:val="0"/>
          <w:numId w:val="1005"/>
        </w:numPr>
      </w:pPr>
      <w:r>
        <w:rPr>
          <w:b/>
          <w:bCs/>
        </w:rPr>
        <w:t xml:space="preserve">AI/GPT role</w:t>
      </w:r>
      <w:r>
        <w:t xml:space="preserve"> </w:t>
      </w:r>
      <w:r>
        <w:t xml:space="preserve">– The Builders FirstSource GPT is an informational assistant trained on BFS content. It can answer questions, summarize product data and explain typical constraints, but</w:t>
      </w:r>
      <w:r>
        <w:t xml:space="preserve"> </w:t>
      </w:r>
      <w:r>
        <w:rPr>
          <w:b/>
          <w:bCs/>
        </w:rPr>
        <w:t xml:space="preserve">it is not a licensed architect or engineer</w:t>
      </w:r>
      <w:r>
        <w:t xml:space="preserve">. The assistant cannot approve designs or override code limitations.</w:t>
      </w:r>
    </w:p>
    <w:p>
      <w:pPr>
        <w:pStyle w:val="Compact"/>
        <w:numPr>
          <w:ilvl w:val="0"/>
          <w:numId w:val="1005"/>
        </w:numPr>
      </w:pPr>
      <w:r>
        <w:rPr>
          <w:b/>
          <w:bCs/>
        </w:rPr>
        <w:t xml:space="preserve">Design assistance limitations</w:t>
      </w:r>
      <w:r>
        <w:t xml:space="preserve"> </w:t>
      </w:r>
      <w:r>
        <w:t xml:space="preserve">– Any sketches, layouts or span tables provided by BFS staff are</w:t>
      </w:r>
      <w:r>
        <w:t xml:space="preserve"> </w:t>
      </w:r>
      <w:r>
        <w:rPr>
          <w:b/>
          <w:bCs/>
        </w:rPr>
        <w:t xml:space="preserve">for reference only</w:t>
      </w:r>
      <w:r>
        <w:t xml:space="preserve">. They must be reviewed and stamped by a licensed structural engineer or architect of record, who will consider local codes, site conditions, and load paths.</w:t>
      </w:r>
    </w:p>
    <w:p>
      <w:pPr>
        <w:pStyle w:val="Compact"/>
        <w:numPr>
          <w:ilvl w:val="0"/>
          <w:numId w:val="1005"/>
        </w:numPr>
      </w:pPr>
      <w:r>
        <w:rPr>
          <w:b/>
          <w:bCs/>
        </w:rPr>
        <w:t xml:space="preserve">Warranty</w:t>
      </w:r>
      <w:r>
        <w:t xml:space="preserve"> </w:t>
      </w:r>
      <w:r>
        <w:t xml:space="preserve">– BFS warranties its manufactured products when used as specified. Improper installation, unauthorized modifications or using components outside their rated capacities voids warranties and may create unsafe conditions.</w:t>
      </w:r>
    </w:p>
    <w:bookmarkEnd w:id="30"/>
    <w:bookmarkStart w:id="31" w:name="likely-user-questions"/>
    <w:p>
      <w:pPr>
        <w:pStyle w:val="Heading2"/>
      </w:pPr>
      <w:r>
        <w:t xml:space="preserve">Likely User Questions</w:t>
      </w:r>
    </w:p>
    <w:p>
      <w:pPr>
        <w:pStyle w:val="Compact"/>
        <w:numPr>
          <w:ilvl w:val="0"/>
          <w:numId w:val="1006"/>
        </w:numPr>
      </w:pPr>
      <w:r>
        <w:rPr>
          <w:b/>
          <w:bCs/>
        </w:rPr>
        <w:t xml:space="preserve">“Why can’t BFS supply materials for a 10‑story commercial project?”</w:t>
      </w:r>
      <w:r>
        <w:br/>
      </w:r>
      <w:r>
        <w:rPr>
          <w:i/>
          <w:iCs/>
        </w:rPr>
        <w:t xml:space="preserve">Because BFS specializes in wood‑based systems for residential and low‑rise structures; a 10‑story project typically requires steel framing, fire‑rated assemblies and elevators. These materials and certifications are beyond BFS’s current portfolio.</w:t>
      </w:r>
    </w:p>
    <w:p>
      <w:pPr>
        <w:pStyle w:val="Compact"/>
        <w:numPr>
          <w:ilvl w:val="0"/>
          <w:numId w:val="1006"/>
        </w:numPr>
      </w:pPr>
      <w:r>
        <w:rPr>
          <w:b/>
          <w:bCs/>
        </w:rPr>
        <w:t xml:space="preserve">“Is my remote Alaska project supported?”</w:t>
      </w:r>
      <w:r>
        <w:br/>
      </w:r>
      <w:r>
        <w:rPr>
          <w:i/>
          <w:iCs/>
        </w:rPr>
        <w:t xml:space="preserve">BFS currently operates in 43 states with about 585 locations</w:t>
      </w:r>
      <w:hyperlink r:id="rId21">
        <w:r>
          <w:rPr>
            <w:rStyle w:val="Hyperlink"/>
            <w:i/>
            <w:iCs/>
          </w:rPr>
          <w:t xml:space="preserve">[1]</w:t>
        </w:r>
      </w:hyperlink>
      <w:hyperlink r:id="rId22">
        <w:r>
          <w:rPr>
            <w:rStyle w:val="Hyperlink"/>
            <w:i/>
            <w:iCs/>
          </w:rPr>
          <w:t xml:space="preserve">[2]</w:t>
        </w:r>
      </w:hyperlink>
      <w:r>
        <w:rPr>
          <w:i/>
          <w:iCs/>
        </w:rPr>
        <w:t xml:space="preserve">. Alaska, Hawaii and remote islands are generally outside the delivery network. Customers in those areas may need to source from local suppliers or arrange special freight.</w:t>
      </w:r>
    </w:p>
    <w:p>
      <w:pPr>
        <w:pStyle w:val="Compact"/>
        <w:numPr>
          <w:ilvl w:val="0"/>
          <w:numId w:val="1006"/>
        </w:numPr>
      </w:pPr>
      <w:r>
        <w:rPr>
          <w:b/>
          <w:bCs/>
        </w:rPr>
        <w:t xml:space="preserve">“Can GPT override these constraints if I insist?”</w:t>
      </w:r>
      <w:r>
        <w:br/>
      </w:r>
      <w:r>
        <w:rPr>
          <w:i/>
          <w:iCs/>
        </w:rPr>
        <w:t xml:space="preserve">No. The GPT assistant cannot approve or modify company policies. When a request falls outside scope—whether due to product availability, geography or code—GPT will advise consulting a BFS representative or qualified professional.</w:t>
      </w:r>
    </w:p>
    <w:p>
      <w:pPr>
        <w:pStyle w:val="Compact"/>
        <w:numPr>
          <w:ilvl w:val="0"/>
          <w:numId w:val="1006"/>
        </w:numPr>
      </w:pPr>
      <w:r>
        <w:rPr>
          <w:b/>
          <w:bCs/>
        </w:rPr>
        <w:t xml:space="preserve">“What if I only need a few steel beams?”</w:t>
      </w:r>
      <w:r>
        <w:br/>
      </w:r>
      <w:r>
        <w:rPr>
          <w:i/>
          <w:iCs/>
        </w:rPr>
        <w:t xml:space="preserve">Steel beams are not carried by BFS. For hybrid projects, you should procure steel from a steel supplier and coordinate with your engineer to integrate it with BFS’s wood components.</w:t>
      </w:r>
    </w:p>
    <w:p>
      <w:pPr>
        <w:pStyle w:val="Compact"/>
        <w:numPr>
          <w:ilvl w:val="0"/>
          <w:numId w:val="1006"/>
        </w:numPr>
      </w:pPr>
      <w:r>
        <w:rPr>
          <w:b/>
          <w:bCs/>
        </w:rPr>
        <w:t xml:space="preserve">“Do you sell HVAC equipment or electrical components?”</w:t>
      </w:r>
      <w:r>
        <w:br/>
      </w:r>
      <w:r>
        <w:rPr>
          <w:i/>
          <w:iCs/>
        </w:rPr>
        <w:t xml:space="preserve">No. BFS supplies structural wood products, windows and doors. Mechanical, electrical and plumbing (MEP) equipment must be sourced from specialist distributors.</w:t>
      </w:r>
    </w:p>
    <w:p>
      <w:pPr>
        <w:pStyle w:val="Compact"/>
        <w:numPr>
          <w:ilvl w:val="0"/>
          <w:numId w:val="1006"/>
        </w:numPr>
      </w:pPr>
      <w:r>
        <w:rPr>
          <w:b/>
          <w:bCs/>
        </w:rPr>
        <w:t xml:space="preserve">“How do I get a stamped truss design?”</w:t>
      </w:r>
      <w:r>
        <w:br/>
      </w:r>
      <w:r>
        <w:rPr>
          <w:i/>
          <w:iCs/>
        </w:rPr>
        <w:t xml:space="preserve">BFS can provide preliminary truss layouts. A licensed engineer must review, adjust as necessary, and stamp the design for permit submission.</w:t>
      </w:r>
    </w:p>
    <w:bookmarkEnd w:id="31"/>
    <w:bookmarkStart w:id="32" w:name="related-topics-crosslinks"/>
    <w:p>
      <w:pPr>
        <w:pStyle w:val="Heading2"/>
      </w:pPr>
      <w:r>
        <w:t xml:space="preserve">Related Topics / Crosslinks</w:t>
      </w:r>
    </w:p>
    <w:p>
      <w:pPr>
        <w:pStyle w:val="Compact"/>
        <w:numPr>
          <w:ilvl w:val="0"/>
          <w:numId w:val="1007"/>
        </w:numPr>
      </w:pPr>
      <w:r>
        <w:rPr>
          <w:b/>
          <w:bCs/>
        </w:rPr>
        <w:t xml:space="preserve">BFS Products &amp; Services Overview</w:t>
      </w:r>
      <w:r>
        <w:t xml:space="preserve"> </w:t>
      </w:r>
      <w:r>
        <w:t xml:space="preserve">– details on available structural products, millwork and prefabricated components.</w:t>
      </w:r>
    </w:p>
    <w:p>
      <w:pPr>
        <w:pStyle w:val="Compact"/>
        <w:numPr>
          <w:ilvl w:val="0"/>
          <w:numId w:val="1007"/>
        </w:numPr>
      </w:pPr>
      <w:r>
        <w:rPr>
          <w:b/>
          <w:bCs/>
        </w:rPr>
        <w:t xml:space="preserve">Design &amp; Engineering Support</w:t>
      </w:r>
      <w:r>
        <w:t xml:space="preserve"> </w:t>
      </w:r>
      <w:r>
        <w:t xml:space="preserve">– how BFS’s design teams create truss and wall panel layouts and when engineer review is required.</w:t>
      </w:r>
    </w:p>
    <w:p>
      <w:pPr>
        <w:pStyle w:val="Compact"/>
        <w:numPr>
          <w:ilvl w:val="0"/>
          <w:numId w:val="1007"/>
        </w:numPr>
      </w:pPr>
      <w:r>
        <w:rPr>
          <w:b/>
          <w:bCs/>
        </w:rPr>
        <w:t xml:space="preserve">Order &amp; Delivery Process</w:t>
      </w:r>
      <w:r>
        <w:t xml:space="preserve"> </w:t>
      </w:r>
      <w:r>
        <w:t xml:space="preserve">– information on quoting, lead times, minimum order quantities and scheduling deliveries.</w:t>
      </w:r>
    </w:p>
    <w:p>
      <w:pPr>
        <w:pStyle w:val="Compact"/>
        <w:numPr>
          <w:ilvl w:val="0"/>
          <w:numId w:val="1007"/>
        </w:numPr>
      </w:pPr>
      <w:r>
        <w:rPr>
          <w:b/>
          <w:bCs/>
        </w:rPr>
        <w:t xml:space="preserve">Mass Timber &amp; CLT</w:t>
      </w:r>
      <w:r>
        <w:t xml:space="preserve"> </w:t>
      </w:r>
      <w:r>
        <w:t xml:space="preserve">– exploring engineered wood products that could expand BFS offerings (future topics).</w:t>
      </w:r>
    </w:p>
    <w:p>
      <w:pPr>
        <w:pStyle w:val="Compact"/>
        <w:numPr>
          <w:ilvl w:val="0"/>
          <w:numId w:val="1007"/>
        </w:numPr>
      </w:pPr>
      <w:r>
        <w:rPr>
          <w:b/>
          <w:bCs/>
        </w:rPr>
        <w:t xml:space="preserve">Geographic Coverage</w:t>
      </w:r>
      <w:r>
        <w:t xml:space="preserve"> </w:t>
      </w:r>
      <w:r>
        <w:t xml:space="preserve">– detailed map of branches and service areas.</w:t>
      </w:r>
    </w:p>
    <w:p>
      <w:pPr>
        <w:pStyle w:val="Compact"/>
        <w:numPr>
          <w:ilvl w:val="0"/>
          <w:numId w:val="1007"/>
        </w:numPr>
      </w:pPr>
      <w:r>
        <w:rPr>
          <w:b/>
          <w:bCs/>
        </w:rPr>
        <w:t xml:space="preserve">Building Codes &amp; Standards</w:t>
      </w:r>
      <w:r>
        <w:t xml:space="preserve"> </w:t>
      </w:r>
      <w:r>
        <w:t xml:space="preserve">– overview of IRC vs. IBC requirements and how they affect product selection.</w:t>
      </w:r>
    </w:p>
    <w:p>
      <w:pPr>
        <w:pStyle w:val="FirstParagraph"/>
      </w:pPr>
      <w:r>
        <w:rPr>
          <w:i/>
          <w:iCs/>
        </w:rPr>
        <w:t xml:space="preserve">By understanding BFS’s current scope and constraints, customers can collaborate more effectively and plan for future innovations.</w:t>
      </w:r>
    </w:p>
    <w:bookmarkEnd w:id="32"/>
    <w:bookmarkEnd w:id="33"/>
    <w:p>
      <w:r>
        <w:pict>
          <v:rect style="width:0;height:1.5pt" o:hralign="center" o:hrstd="t" o:hr="t"/>
        </w:pict>
      </w:r>
    </w:p>
    <w:bookmarkStart w:id="36" w:name="citations"/>
    <w:p>
      <w:pPr>
        <w:pStyle w:val="FirstParagraph"/>
      </w:pPr>
      <w:hyperlink r:id="rId21">
        <w:r>
          <w:rPr>
            <w:rStyle w:val="Hyperlink"/>
          </w:rPr>
          <w:t xml:space="preserve">[1]</w:t>
        </w:r>
      </w:hyperlink>
      <w:r>
        <w:t xml:space="preserve"> </w:t>
      </w:r>
      <w:r>
        <w:t xml:space="preserve">Builders FirstSource acquires two turnkey millwork companies | Woodworking Network</w:t>
      </w:r>
    </w:p>
    <w:p>
      <w:pPr>
        <w:pStyle w:val="BodyText"/>
      </w:pPr>
      <w:hyperlink r:id="rId34">
        <w:r>
          <w:rPr>
            <w:rStyle w:val="Hyperlink"/>
          </w:rPr>
          <w:t xml:space="preserve">https://www.woodworkingnetwork.com/news/woodworking-industry-news/builders-firstsource-acquires-two-turnkey-millwork-companies</w:t>
        </w:r>
      </w:hyperlink>
    </w:p>
    <w:p>
      <w:pPr>
        <w:pStyle w:val="BodyText"/>
      </w:pPr>
      <w:hyperlink r:id="rId22">
        <w:r>
          <w:rPr>
            <w:rStyle w:val="Hyperlink"/>
          </w:rPr>
          <w:t xml:space="preserve">[2]</w:t>
        </w:r>
      </w:hyperlink>
      <w:r>
        <w:t xml:space="preserve"> </w:t>
      </w:r>
      <w:hyperlink r:id="rId26">
        <w:r>
          <w:rPr>
            <w:rStyle w:val="Hyperlink"/>
          </w:rPr>
          <w:t xml:space="preserve">[3]</w:t>
        </w:r>
      </w:hyperlink>
      <w:r>
        <w:t xml:space="preserve"> </w:t>
      </w:r>
      <w:r>
        <w:t xml:space="preserve">Builders FirstSource to Host Third Quarter 2025 Financial Results Conference Call and Webcast</w:t>
      </w:r>
    </w:p>
    <w:p>
      <w:pPr>
        <w:pStyle w:val="BodyText"/>
      </w:pPr>
      <w:hyperlink r:id="rId35">
        <w:r>
          <w:rPr>
            <w:rStyle w:val="Hyperlink"/>
          </w:rPr>
          <w:t xml:space="preserve">https://www.businesswire.com/news/home/20251009508618/en/Builders-FirstSource-to-Host-Third-Quarter-2025-Financial-Results-Conference-Call-and-Webcast</w:t>
        </w:r>
      </w:hyperlink>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www.businesswire.com/news/home/20251009508618/en/Builders-FirstSource-to-Host-Third-Quarter-2025-Financial-Results-Conference-Call-and-Webcast" TargetMode="External" /><Relationship Type="http://schemas.openxmlformats.org/officeDocument/2006/relationships/hyperlink" Id="rId22" Target="https://www.businesswire.com/news/home/20251009508618/en/Builders-FirstSource-to-Host-Third-Quarter-2025-Financial-Results-Conference-Call-and-Webcast#:~:text=About%20Builders%20FirstSource" TargetMode="External" /><Relationship Type="http://schemas.openxmlformats.org/officeDocument/2006/relationships/hyperlink" Id="rId26" Target="https://www.businesswire.com/news/home/20251009508618/en/Builders-FirstSource-to-Host-Third-Quarter-2025-Financial-Results-Conference-Call-and-Webcast#:~:text=Headquartered%20in%20Irving%2C%20Texas%2C%20Builders,goods%2C%20millwork%2C%20windows%2C%20interior%20and" TargetMode="External" /><Relationship Type="http://schemas.openxmlformats.org/officeDocument/2006/relationships/hyperlink" Id="rId34" Target="https://www.woodworkingnetwork.com/news/woodworking-industry-news/builders-firstsource-acquires-two-turnkey-millwork-companies" TargetMode="External" /><Relationship Type="http://schemas.openxmlformats.org/officeDocument/2006/relationships/hyperlink" Id="rId21" Target="https://www.woodworkingnetwork.com/news/woodworking-industry-news/builders-firstsource-acquires-two-turnkey-millwork-companies#:~:text=Headquartered%20in%20Irving%2C%20Texas%2C%20Builders,and%20balanced%20end%20market%20exposure" TargetMode="External" /></Relationships>
</file>

<file path=word/_rels/footnotes.xml.rels><?xml version="1.0" encoding="UTF-8"?><Relationships xmlns="http://schemas.openxmlformats.org/package/2006/relationships"><Relationship Type="http://schemas.openxmlformats.org/officeDocument/2006/relationships/hyperlink" Id="rId35" Target="https://www.businesswire.com/news/home/20251009508618/en/Builders-FirstSource-to-Host-Third-Quarter-2025-Financial-Results-Conference-Call-and-Webcast" TargetMode="External" /><Relationship Type="http://schemas.openxmlformats.org/officeDocument/2006/relationships/hyperlink" Id="rId22" Target="https://www.businesswire.com/news/home/20251009508618/en/Builders-FirstSource-to-Host-Third-Quarter-2025-Financial-Results-Conference-Call-and-Webcast#:~:text=About%20Builders%20FirstSource" TargetMode="External" /><Relationship Type="http://schemas.openxmlformats.org/officeDocument/2006/relationships/hyperlink" Id="rId26" Target="https://www.businesswire.com/news/home/20251009508618/en/Builders-FirstSource-to-Host-Third-Quarter-2025-Financial-Results-Conference-Call-and-Webcast#:~:text=Headquartered%20in%20Irving%2C%20Texas%2C%20Builders,goods%2C%20millwork%2C%20windows%2C%20interior%20and" TargetMode="External" /><Relationship Type="http://schemas.openxmlformats.org/officeDocument/2006/relationships/hyperlink" Id="rId34" Target="https://www.woodworkingnetwork.com/news/woodworking-industry-news/builders-firstsource-acquires-two-turnkey-millwork-companies" TargetMode="External" /><Relationship Type="http://schemas.openxmlformats.org/officeDocument/2006/relationships/hyperlink" Id="rId21" Target="https://www.woodworkingnetwork.com/news/woodworking-industry-news/builders-firstsource-acquires-two-turnkey-millwork-companies#:~:text=Headquartered%20in%20Irving%2C%20Texas%2C%20Builders,and%20balanced%20end%20market%20exposu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2025-10-10T03:54:44Z</dcterms:created>
  <dcterms:modified xsi:type="dcterms:W3CDTF">2025-10-10T03:54:44Z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