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89819bee986431a457cc0bc24975cd6b4fd53c"/>
    <w:p>
      <w:pPr>
        <w:pStyle w:val="Heading2"/>
      </w:pPr>
      <w:r>
        <w:t xml:space="preserve">Inside the Glee‑fully Forge: A Technical Overview</w:t>
      </w:r>
    </w:p>
    <w:bookmarkStart w:id="20" w:name="purpose-and-origin"/>
    <w:p>
      <w:pPr>
        <w:pStyle w:val="Heading3"/>
      </w:pPr>
      <w:r>
        <w:t xml:space="preserve">1. Purpose and Origin</w:t>
      </w:r>
    </w:p>
    <w:p>
      <w:pPr>
        <w:pStyle w:val="FirstParagraph"/>
      </w:pPr>
      <w:r>
        <w:t xml:space="preserve">Glee‑fully Personalizable Tools is not a single GPT but an ecosystem of them—a modular, interlinked network of specialized assistants unified by shared governance, tone, and logic. It exists to bring joy and clarity to everyday organization, creative planning, and personal management. Beneath its sparkle lies serious engineering discipline: every part of Glee‑fully is forged through canonical protocols that keep dozens of GPTs consistent in behavior, persona, and interoperability.</w:t>
      </w:r>
    </w:p>
    <w:p>
      <w:pPr>
        <w:pStyle w:val="BodyText"/>
      </w:pPr>
      <w:r>
        <w:t xml:space="preserve">The suite emerged from the idea that creative software should feel human. Rather than a single monolithic AI that tries to do everything, Glee‑fully disperses capability into a living structure: a</w:t>
      </w:r>
      <w:r>
        <w:t xml:space="preserve"> </w:t>
      </w:r>
      <w:r>
        <w:rPr>
          <w:b/>
          <w:bCs/>
        </w:rPr>
        <w:t xml:space="preserve">Toolbox (Trunk)</w:t>
      </w:r>
      <w:r>
        <w:t xml:space="preserve"> </w:t>
      </w:r>
      <w:r>
        <w:t xml:space="preserve">anchoring</w:t>
      </w:r>
      <w:r>
        <w:t xml:space="preserve"> </w:t>
      </w:r>
      <w:r>
        <w:rPr>
          <w:b/>
          <w:bCs/>
        </w:rPr>
        <w:t xml:space="preserve">Tools (Branches)</w:t>
      </w:r>
      <w:r>
        <w:t xml:space="preserve">, which contain</w:t>
      </w:r>
      <w:r>
        <w:t xml:space="preserve"> </w:t>
      </w:r>
      <w:r>
        <w:rPr>
          <w:b/>
          <w:bCs/>
        </w:rPr>
        <w:t xml:space="preserve">Tool‑ettes (Twigs)</w:t>
      </w:r>
      <w:r>
        <w:t xml:space="preserve"> </w:t>
      </w:r>
      <w:r>
        <w:t xml:space="preserve">and their smaller logic components,</w:t>
      </w:r>
      <w:r>
        <w:t xml:space="preserve"> </w:t>
      </w:r>
      <w:r>
        <w:rPr>
          <w:b/>
          <w:bCs/>
        </w:rPr>
        <w:t xml:space="preserve">Functions (Leaves)</w:t>
      </w:r>
      <w:r>
        <w:t xml:space="preserve"> </w:t>
      </w:r>
      <w:r>
        <w:t xml:space="preserve">and</w:t>
      </w:r>
      <w:r>
        <w:t xml:space="preserve"> </w:t>
      </w:r>
      <w:r>
        <w:rPr>
          <w:b/>
          <w:bCs/>
        </w:rPr>
        <w:t xml:space="preserve">Function‑ettes (Falling Leaves)</w:t>
      </w:r>
      <w:r>
        <w:t xml:space="preserve">. Each level obeys precise rules of tone, role, and hierarchy enforced by the Builder‑Ready PromptChain.</w:t>
      </w:r>
    </w:p>
    <w:p>
      <w:r>
        <w:pict>
          <v:rect style="width:0;height:1.5pt" o:hralign="center" o:hrstd="t" o:hr="t"/>
        </w:pict>
      </w:r>
    </w:p>
    <w:bookmarkEnd w:id="20"/>
    <w:bookmarkStart w:id="21" w:name="the-trunkbranchtwigleaf-model"/>
    <w:p>
      <w:pPr>
        <w:pStyle w:val="Heading3"/>
      </w:pPr>
      <w:r>
        <w:t xml:space="preserve">2. The Trunk‑Branch‑Twig‑Leaf Model</w:t>
      </w:r>
    </w:p>
    <w:p>
      <w:pPr>
        <w:pStyle w:val="FirstParagraph"/>
      </w:pPr>
      <w:r>
        <w:t xml:space="preserve">At the highest level, the</w:t>
      </w:r>
      <w:r>
        <w:t xml:space="preserve"> </w:t>
      </w:r>
      <w:r>
        <w:rPr>
          <w:b/>
          <w:bCs/>
        </w:rPr>
        <w:t xml:space="preserve">Toolbox</w:t>
      </w:r>
      <w:r>
        <w:t xml:space="preserve"> </w:t>
      </w:r>
      <w:r>
        <w:t xml:space="preserve">(🧰) acts as a command center and concierge. It does not execute tasks itself; it routes users to the correct branch based on intent—career, travel, wellness, organization, or creativity. This root GPT introduces the ecosystem, explains tone modes, and links to every other entity.</w:t>
      </w:r>
    </w:p>
    <w:p>
      <w:pPr>
        <w:pStyle w:val="BodyText"/>
      </w:pPr>
      <w:r>
        <w:t xml:space="preserve">Each</w:t>
      </w:r>
      <w:r>
        <w:t xml:space="preserve"> </w:t>
      </w:r>
      <w:r>
        <w:rPr>
          <w:b/>
          <w:bCs/>
        </w:rPr>
        <w:t xml:space="preserve">Tool (Branch)</w:t>
      </w:r>
      <w:r>
        <w:t xml:space="preserve"> </w:t>
      </w:r>
      <w:r>
        <w:t xml:space="preserve">(🧪) covers a major life domain:</w:t>
      </w:r>
      <w:r>
        <w:t xml:space="preserve"> </w:t>
      </w:r>
      <w:r>
        <w:t xml:space="preserve">-</w:t>
      </w:r>
      <w:r>
        <w:t xml:space="preserve"> </w:t>
      </w:r>
      <w:r>
        <w:rPr>
          <w:b/>
          <w:bCs/>
        </w:rPr>
        <w:t xml:space="preserve">Discovered Careers</w:t>
      </w:r>
      <w:r>
        <w:t xml:space="preserve">: resume, job search, and professional development.</w:t>
      </w:r>
      <w:r>
        <w:t xml:space="preserve"> </w:t>
      </w:r>
      <w:r>
        <w:t xml:space="preserve">-</w:t>
      </w:r>
      <w:r>
        <w:t xml:space="preserve"> </w:t>
      </w:r>
      <w:r>
        <w:rPr>
          <w:b/>
          <w:bCs/>
        </w:rPr>
        <w:t xml:space="preserve">Treasured Finds</w:t>
      </w:r>
      <w:r>
        <w:t xml:space="preserve">: cataloging books, collectibles, or media.</w:t>
      </w:r>
      <w:r>
        <w:t xml:space="preserve"> </w:t>
      </w:r>
      <w:r>
        <w:t xml:space="preserve">-</w:t>
      </w:r>
      <w:r>
        <w:t xml:space="preserve"> </w:t>
      </w:r>
      <w:r>
        <w:rPr>
          <w:b/>
          <w:bCs/>
        </w:rPr>
        <w:t xml:space="preserve">Tasty Tracker</w:t>
      </w:r>
      <w:r>
        <w:t xml:space="preserve">: meal planning and recipe organization.</w:t>
      </w:r>
      <w:r>
        <w:t xml:space="preserve"> </w:t>
      </w:r>
      <w:r>
        <w:t xml:space="preserve">-</w:t>
      </w:r>
      <w:r>
        <w:t xml:space="preserve"> </w:t>
      </w:r>
      <w:r>
        <w:rPr>
          <w:b/>
          <w:bCs/>
        </w:rPr>
        <w:t xml:space="preserve">Traveler’s Guide</w:t>
      </w:r>
      <w:r>
        <w:t xml:space="preserve">: trip planning and travel wish‑boarding.</w:t>
      </w:r>
      <w:r>
        <w:t xml:space="preserve"> </w:t>
      </w:r>
      <w:r>
        <w:t xml:space="preserve">-</w:t>
      </w:r>
      <w:r>
        <w:t xml:space="preserve"> </w:t>
      </w:r>
      <w:r>
        <w:rPr>
          <w:b/>
          <w:bCs/>
        </w:rPr>
        <w:t xml:space="preserve">Organized Life</w:t>
      </w:r>
      <w:r>
        <w:t xml:space="preserve">: productivity, scheduling, and personal dashboards.</w:t>
      </w:r>
      <w:r>
        <w:t xml:space="preserve"> </w:t>
      </w:r>
      <w:r>
        <w:t xml:space="preserve">-</w:t>
      </w:r>
      <w:r>
        <w:t xml:space="preserve"> </w:t>
      </w:r>
      <w:r>
        <w:rPr>
          <w:b/>
          <w:bCs/>
        </w:rPr>
        <w:t xml:space="preserve">Healthy Bee‑ing</w:t>
      </w:r>
      <w:r>
        <w:t xml:space="preserve">: wellness and habit tracking.</w:t>
      </w:r>
      <w:r>
        <w:t xml:space="preserve"> </w:t>
      </w:r>
      <w:r>
        <w:t xml:space="preserve">-</w:t>
      </w:r>
      <w:r>
        <w:t xml:space="preserve"> </w:t>
      </w:r>
      <w:r>
        <w:rPr>
          <w:b/>
          <w:bCs/>
        </w:rPr>
        <w:t xml:space="preserve">Identity Known</w:t>
      </w:r>
      <w:r>
        <w:t xml:space="preserve">: journaling and personal reflection.</w:t>
      </w:r>
    </w:p>
    <w:p>
      <w:pPr>
        <w:pStyle w:val="BodyText"/>
      </w:pPr>
      <w:r>
        <w:t xml:space="preserve">Under each branch are</w:t>
      </w:r>
      <w:r>
        <w:t xml:space="preserve"> </w:t>
      </w:r>
      <w:r>
        <w:rPr>
          <w:b/>
          <w:bCs/>
        </w:rPr>
        <w:t xml:space="preserve">Tool‑ettes (Twigs)</w:t>
      </w:r>
      <w:r>
        <w:t xml:space="preserve"> </w:t>
      </w:r>
      <w:r>
        <w:t xml:space="preserve">(🔩) such as</w:t>
      </w:r>
      <w:r>
        <w:t xml:space="preserve"> </w:t>
      </w:r>
      <w:r>
        <w:rPr>
          <w:i/>
          <w:iCs/>
        </w:rPr>
        <w:t xml:space="preserve">Resume Builder</w:t>
      </w:r>
      <w:r>
        <w:t xml:space="preserve">,</w:t>
      </w:r>
      <w:r>
        <w:t xml:space="preserve"> </w:t>
      </w:r>
      <w:r>
        <w:rPr>
          <w:i/>
          <w:iCs/>
        </w:rPr>
        <w:t xml:space="preserve">Letter Composer</w:t>
      </w:r>
      <w:r>
        <w:t xml:space="preserve">, or</w:t>
      </w:r>
      <w:r>
        <w:t xml:space="preserve"> </w:t>
      </w:r>
      <w:r>
        <w:rPr>
          <w:i/>
          <w:iCs/>
        </w:rPr>
        <w:t xml:space="preserve">Dreamland Journeys</w:t>
      </w:r>
      <w:r>
        <w:t xml:space="preserve">. These are the specialized GPTs that users interact with most directly—each executes one focused task through dialogue. Tool‑ettes rely on</w:t>
      </w:r>
      <w:r>
        <w:t xml:space="preserve"> </w:t>
      </w:r>
      <w:r>
        <w:rPr>
          <w:b/>
          <w:bCs/>
        </w:rPr>
        <w:t xml:space="preserve">Functions (Leaves)</w:t>
      </w:r>
      <w:r>
        <w:t xml:space="preserve"> </w:t>
      </w:r>
      <w:r>
        <w:t xml:space="preserve">(⚙️) to perform specific logic (exporting, tagging, formatting), and may call</w:t>
      </w:r>
      <w:r>
        <w:t xml:space="preserve"> </w:t>
      </w:r>
      <w:r>
        <w:rPr>
          <w:b/>
          <w:bCs/>
        </w:rPr>
        <w:t xml:space="preserve">Function‑ettes (Falling Leaves)</w:t>
      </w:r>
      <w:r>
        <w:t xml:space="preserve"> </w:t>
      </w:r>
      <w:r>
        <w:t xml:space="preserve">(🧧) for atomic actions like text cleaning or metadata tagging.</w:t>
      </w:r>
    </w:p>
    <w:p>
      <w:pPr>
        <w:pStyle w:val="BodyText"/>
      </w:pPr>
      <w:r>
        <w:t xml:space="preserve">This layered metaphor keeps the ecosystem intuitive for users yet strictly modular for builders. Every GPT knows its role in the hierarchy and can declare that role at runtime using a canonical schema.</w:t>
      </w:r>
    </w:p>
    <w:p>
      <w:r>
        <w:pict>
          <v:rect style="width:0;height:1.5pt" o:hralign="center" o:hrstd="t" o:hr="t"/>
        </w:pict>
      </w:r>
    </w:p>
    <w:bookmarkEnd w:id="21"/>
    <w:bookmarkStart w:id="22" w:name="canon-governance-and-data-ledgers"/>
    <w:p>
      <w:pPr>
        <w:pStyle w:val="Heading3"/>
      </w:pPr>
      <w:r>
        <w:t xml:space="preserve">3. Canon Governance and Data Ledgers</w:t>
      </w:r>
    </w:p>
    <w:p>
      <w:pPr>
        <w:pStyle w:val="FirstParagraph"/>
      </w:pPr>
      <w:r>
        <w:t xml:space="preserve">What makes Glee‑fully coherent is its</w:t>
      </w:r>
      <w:r>
        <w:t xml:space="preserve"> </w:t>
      </w:r>
      <w:r>
        <w:rPr>
          <w:b/>
          <w:bCs/>
        </w:rPr>
        <w:t xml:space="preserve">Canon System</w:t>
      </w:r>
      <w:r>
        <w:t xml:space="preserve">: a governance framework codified in the</w:t>
      </w:r>
      <w:r>
        <w:t xml:space="preserve"> </w:t>
      </w:r>
      <w:r>
        <w:rPr>
          <w:i/>
          <w:iCs/>
        </w:rPr>
        <w:t xml:space="preserve">Operator’s Cathedral Layout</w:t>
      </w:r>
      <w:r>
        <w:t xml:space="preserve"> </w:t>
      </w:r>
      <w:r>
        <w:t xml:space="preserve">and the Builder PromptChain. All GPTs reference a shared set of canonical ledgers that define rules, tone, parameters, and lineage.</w:t>
      </w:r>
    </w:p>
    <w:p>
      <w:pPr>
        <w:pStyle w:val="BodyText"/>
      </w:pPr>
      <w:r>
        <w:t xml:space="preserve">The core files are:</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Ledger File</w:t>
            </w:r>
          </w:p>
        </w:tc>
        <w:tc>
          <w:tcPr/>
          <w:p>
            <w:pPr>
              <w:pStyle w:val="Compact"/>
            </w:pPr>
            <w:r>
              <w:t xml:space="preserve">Purpose</w:t>
            </w:r>
          </w:p>
        </w:tc>
      </w:tr>
      <w:tr>
        <w:tc>
          <w:tcPr/>
          <w:p>
            <w:pPr>
              <w:pStyle w:val="Compact"/>
            </w:pPr>
            <w:r>
              <w:rPr>
                <w:rStyle w:val="VerbatimChar"/>
              </w:rPr>
              <w:t xml:space="preserve">dataLedger_registry_v3.md</w:t>
            </w:r>
          </w:p>
        </w:tc>
        <w:tc>
          <w:tcPr/>
          <w:p>
            <w:pPr>
              <w:pStyle w:val="Compact"/>
            </w:pPr>
            <w:r>
              <w:t xml:space="preserve">Records all Tools, Tool‑ettes, Functions, and their IDs</w:t>
            </w:r>
          </w:p>
        </w:tc>
      </w:tr>
      <w:tr>
        <w:tc>
          <w:tcPr/>
          <w:p>
            <w:pPr>
              <w:pStyle w:val="Compact"/>
            </w:pPr>
            <w:r>
              <w:rPr>
                <w:rStyle w:val="VerbatimChar"/>
              </w:rPr>
              <w:t xml:space="preserve">dataLedger_persona_v3.md</w:t>
            </w:r>
          </w:p>
        </w:tc>
        <w:tc>
          <w:tcPr/>
          <w:p>
            <w:pPr>
              <w:pStyle w:val="Compact"/>
            </w:pPr>
            <w:r>
              <w:t xml:space="preserve">Defines tone overlays and persona traits</w:t>
            </w:r>
          </w:p>
        </w:tc>
      </w:tr>
      <w:tr>
        <w:tc>
          <w:tcPr/>
          <w:p>
            <w:pPr>
              <w:pStyle w:val="Compact"/>
            </w:pPr>
            <w:r>
              <w:rPr>
                <w:rStyle w:val="VerbatimChar"/>
              </w:rPr>
              <w:t xml:space="preserve">dataLedger_parameters_v3.md</w:t>
            </w:r>
          </w:p>
        </w:tc>
        <w:tc>
          <w:tcPr/>
          <w:p>
            <w:pPr>
              <w:pStyle w:val="Compact"/>
            </w:pPr>
            <w:r>
              <w:t xml:space="preserve">Stores runtime toggles and suffix laws</w:t>
            </w:r>
          </w:p>
        </w:tc>
      </w:tr>
      <w:tr>
        <w:tc>
          <w:tcPr/>
          <w:p>
            <w:pPr>
              <w:pStyle w:val="Compact"/>
            </w:pPr>
            <w:r>
              <w:rPr>
                <w:rStyle w:val="VerbatimChar"/>
              </w:rPr>
              <w:t xml:space="preserve">dataLedger_system_v3.md</w:t>
            </w:r>
          </w:p>
        </w:tc>
        <w:tc>
          <w:tcPr/>
          <w:p>
            <w:pPr>
              <w:pStyle w:val="Compact"/>
            </w:pPr>
            <w:r>
              <w:t xml:space="preserve">Manages lifecycle tags and compliance rules</w:t>
            </w:r>
          </w:p>
        </w:tc>
      </w:tr>
      <w:tr>
        <w:tc>
          <w:tcPr/>
          <w:p>
            <w:pPr>
              <w:pStyle w:val="Compact"/>
            </w:pPr>
            <w:r>
              <w:rPr>
                <w:rStyle w:val="VerbatimChar"/>
              </w:rPr>
              <w:t xml:space="preserve">dataLedger_narrative_v3.md</w:t>
            </w:r>
          </w:p>
        </w:tc>
        <w:tc>
          <w:tcPr/>
          <w:p>
            <w:pPr>
              <w:pStyle w:val="Compact"/>
            </w:pPr>
            <w:r>
              <w:t xml:space="preserve">Stores brand storytelling and metaphors</w:t>
            </w:r>
          </w:p>
        </w:tc>
      </w:tr>
      <w:tr>
        <w:tc>
          <w:tcPr/>
          <w:p>
            <w:pPr>
              <w:pStyle w:val="Compact"/>
            </w:pPr>
            <w:r>
              <w:rPr>
                <w:rStyle w:val="VerbatimChar"/>
              </w:rPr>
              <w:t xml:space="preserve">dataLedger_archive_v3.md</w:t>
            </w:r>
          </w:p>
        </w:tc>
        <w:tc>
          <w:tcPr/>
          <w:p>
            <w:pPr>
              <w:pStyle w:val="Compact"/>
            </w:pPr>
            <w:r>
              <w:t xml:space="preserve">Holds retired or deprecated logic</w:t>
            </w:r>
          </w:p>
        </w:tc>
      </w:tr>
    </w:tbl>
    <w:p>
      <w:pPr>
        <w:pStyle w:val="BodyText"/>
      </w:pPr>
      <w:r>
        <w:t xml:space="preserve">Each GPT is validated against these ledgers during its lifecycle. This prevents drift—no branch can evolve off‑canon without explicit archive and reseal. Canon tags such as</w:t>
      </w:r>
      <w:r>
        <w:t xml:space="preserve"> </w:t>
      </w:r>
      <w:r>
        <w:rPr>
          <w:b/>
          <w:bCs/>
        </w:rPr>
        <w:t xml:space="preserve">CanonSeal</w:t>
      </w:r>
      <w:r>
        <w:t xml:space="preserve">,</w:t>
      </w:r>
      <w:r>
        <w:t xml:space="preserve"> </w:t>
      </w:r>
      <w:r>
        <w:rPr>
          <w:b/>
          <w:bCs/>
        </w:rPr>
        <w:t xml:space="preserve">!PME_READY</w:t>
      </w:r>
      <w:r>
        <w:t xml:space="preserve">, and</w:t>
      </w:r>
      <w:r>
        <w:t xml:space="preserve"> </w:t>
      </w:r>
      <w:r>
        <w:rPr>
          <w:b/>
          <w:bCs/>
        </w:rPr>
        <w:t xml:space="preserve">GrowthOnly</w:t>
      </w:r>
      <w:r>
        <w:t xml:space="preserve"> </w:t>
      </w:r>
      <w:r>
        <w:t xml:space="preserve">mark a GPT’s maturity and compliance state.</w:t>
      </w:r>
    </w:p>
    <w:p>
      <w:pPr>
        <w:pStyle w:val="BodyText"/>
      </w:pPr>
      <w:r>
        <w:t xml:space="preserve">The philosophy is forward‑only growth:</w:t>
      </w:r>
      <w:r>
        <w:t xml:space="preserve"> </w:t>
      </w:r>
      <w:r>
        <w:rPr>
          <w:b/>
          <w:bCs/>
        </w:rPr>
        <w:t xml:space="preserve">nothing is ever simplified, only expanded</w:t>
      </w:r>
      <w:r>
        <w:t xml:space="preserve">. This principle—called</w:t>
      </w:r>
      <w:r>
        <w:t xml:space="preserve"> </w:t>
      </w:r>
      <w:r>
        <w:rPr>
          <w:i/>
          <w:iCs/>
        </w:rPr>
        <w:t xml:space="preserve">Expansion‑Only Discipline</w:t>
      </w:r>
      <w:r>
        <w:t xml:space="preserve">—means that improvements add detail, specificity, or capability but never remove functionality or context.</w:t>
      </w:r>
    </w:p>
    <w:p>
      <w:r>
        <w:pict>
          <v:rect style="width:0;height:1.5pt" o:hralign="center" o:hrstd="t" o:hr="t"/>
        </w:pict>
      </w:r>
    </w:p>
    <w:bookmarkEnd w:id="22"/>
    <w:bookmarkStart w:id="23" w:name="the-promptchain-lifecycle-prompt0005"/>
    <w:p>
      <w:pPr>
        <w:pStyle w:val="Heading3"/>
      </w:pPr>
      <w:r>
        <w:t xml:space="preserve">4. The PromptChain Lifecycle (PROMPT00–05)</w:t>
      </w:r>
    </w:p>
    <w:p>
      <w:pPr>
        <w:pStyle w:val="FirstParagraph"/>
      </w:pPr>
      <w:r>
        <w:t xml:space="preserve">Every Glee‑fully GPT is born through the</w:t>
      </w:r>
      <w:r>
        <w:t xml:space="preserve"> </w:t>
      </w:r>
      <w:r>
        <w:rPr>
          <w:b/>
          <w:bCs/>
        </w:rPr>
        <w:t xml:space="preserve">Builder‑Ready PromptChain</w:t>
      </w:r>
      <w:r>
        <w:t xml:space="preserve">, a ritualized sequence of prompts that govern its creation and canonization. The process functions like a compiler for personality, structure, and metadata.</w:t>
      </w:r>
    </w:p>
    <w:p>
      <w:pPr>
        <w:pStyle w:val="Compact"/>
        <w:numPr>
          <w:ilvl w:val="0"/>
          <w:numId w:val="1001"/>
        </w:numPr>
      </w:pPr>
      <w:r>
        <w:rPr>
          <w:b/>
          <w:bCs/>
        </w:rPr>
        <w:t xml:space="preserve">PROMPT00 – Ignition Ritual</w:t>
      </w:r>
      <w:r>
        <w:t xml:space="preserve">: Initializes the chain and sets governance clauses. The operator declares payload type, suite membership, and expansion discipline.</w:t>
      </w:r>
    </w:p>
    <w:p>
      <w:pPr>
        <w:pStyle w:val="Compact"/>
        <w:numPr>
          <w:ilvl w:val="0"/>
          <w:numId w:val="1001"/>
        </w:numPr>
      </w:pPr>
      <w:r>
        <w:rPr>
          <w:b/>
          <w:bCs/>
        </w:rPr>
        <w:t xml:space="preserve">PROMPT01 – Payload Ingestion &amp; Tool Canonization</w:t>
      </w:r>
      <w:r>
        <w:t xml:space="preserve">: Ingests GPT drafts, schema, or notes and binds them to the canonical structure. Tool‑ette schemas are validated here.</w:t>
      </w:r>
    </w:p>
    <w:p>
      <w:pPr>
        <w:pStyle w:val="Compact"/>
        <w:numPr>
          <w:ilvl w:val="0"/>
          <w:numId w:val="1001"/>
        </w:numPr>
      </w:pPr>
      <w:r>
        <w:rPr>
          <w:b/>
          <w:bCs/>
        </w:rPr>
        <w:t xml:space="preserve">PROMPT02 – Icon Forge &amp; Canon Gate</w:t>
      </w:r>
      <w:r>
        <w:t xml:space="preserve">: Creates or validates the visual identity (retro 80s icons featuring the Glee butterfly). Icons are canon‑locked as metadata.</w:t>
      </w:r>
    </w:p>
    <w:p>
      <w:pPr>
        <w:pStyle w:val="Compact"/>
        <w:numPr>
          <w:ilvl w:val="0"/>
          <w:numId w:val="1001"/>
        </w:numPr>
      </w:pPr>
      <w:r>
        <w:rPr>
          <w:b/>
          <w:bCs/>
        </w:rPr>
        <w:t xml:space="preserve">PROMPT03 – Registry Upload &amp; Canon Validation</w:t>
      </w:r>
      <w:r>
        <w:t xml:space="preserve">: Scans entity metadata across ledgers, checks for conflicts, and expands missing branches.</w:t>
      </w:r>
    </w:p>
    <w:p>
      <w:pPr>
        <w:pStyle w:val="Compact"/>
        <w:numPr>
          <w:ilvl w:val="0"/>
          <w:numId w:val="1001"/>
        </w:numPr>
      </w:pPr>
      <w:r>
        <w:rPr>
          <w:b/>
          <w:bCs/>
        </w:rPr>
        <w:t xml:space="preserve">PROMPT04 – Team Role Enforcement</w:t>
      </w:r>
      <w:r>
        <w:t xml:space="preserve">: Assigns discipline metaphors—the Toolbox is the Coach, Tools are Captains, Tool‑ettes are Forwards, Functions are Core Skills, Function‑ettes are Kickers.</w:t>
      </w:r>
    </w:p>
    <w:p>
      <w:pPr>
        <w:pStyle w:val="Compact"/>
        <w:numPr>
          <w:ilvl w:val="0"/>
          <w:numId w:val="1001"/>
        </w:numPr>
      </w:pPr>
      <w:r>
        <w:rPr>
          <w:b/>
          <w:bCs/>
        </w:rPr>
        <w:t xml:space="preserve">PROMPT05 – Fusion Checkpoint &amp; Personality Infusion</w:t>
      </w:r>
      <w:r>
        <w:t xml:space="preserve">: Final tone calibration ensures that each GPT inherits the correct overlay (Bleed Glee, ForgeDialect.A1, or Watchkeeper.Core) and passes the fusion checkpoint.</w:t>
      </w:r>
    </w:p>
    <w:p>
      <w:pPr>
        <w:pStyle w:val="FirstParagraph"/>
      </w:pPr>
      <w:r>
        <w:t xml:space="preserve">After PROMPT05, the entity is</w:t>
      </w:r>
      <w:r>
        <w:t xml:space="preserve"> </w:t>
      </w:r>
      <w:r>
        <w:rPr>
          <w:b/>
          <w:bCs/>
        </w:rPr>
        <w:t xml:space="preserve">PME‑ready</w:t>
      </w:r>
      <w:r>
        <w:t xml:space="preserve"> </w:t>
      </w:r>
      <w:r>
        <w:t xml:space="preserve">(Persona, Metadata, Export) and eligible for deployment in Builder. Later prompts (PROMPT06+) extend optional expansion or integration.</w:t>
      </w:r>
    </w:p>
    <w:p>
      <w:r>
        <w:pict>
          <v:rect style="width:0;height:1.5pt" o:hralign="center" o:hrstd="t" o:hr="t"/>
        </w:pict>
      </w:r>
    </w:p>
    <w:bookmarkEnd w:id="23"/>
    <w:bookmarkStart w:id="24" w:name="tone-overlays-the-behavioral-layers"/>
    <w:p>
      <w:pPr>
        <w:pStyle w:val="Heading3"/>
      </w:pPr>
      <w:r>
        <w:t xml:space="preserve">5. Tone Overlays: The Behavioral Layers</w:t>
      </w:r>
    </w:p>
    <w:p>
      <w:pPr>
        <w:pStyle w:val="FirstParagraph"/>
      </w:pPr>
      <w:r>
        <w:t xml:space="preserve">Tone in Glee‑fully is not aesthetic fluff; it is part of the machine code. Each GPT carries one of three</w:t>
      </w:r>
      <w:r>
        <w:t xml:space="preserve"> </w:t>
      </w:r>
      <w:r>
        <w:rPr>
          <w:b/>
          <w:bCs/>
        </w:rPr>
        <w:t xml:space="preserve">Overlays</w:t>
      </w:r>
      <w:r>
        <w:t xml:space="preserve"> </w:t>
      </w:r>
      <w:r>
        <w:t xml:space="preserve">that determine style, diction, and interaction tempo.</w:t>
      </w:r>
    </w:p>
    <w:p>
      <w:pPr>
        <w:pStyle w:val="Compact"/>
        <w:numPr>
          <w:ilvl w:val="0"/>
          <w:numId w:val="1002"/>
        </w:numPr>
      </w:pPr>
      <w:r>
        <w:rPr>
          <w:b/>
          <w:bCs/>
        </w:rPr>
        <w:t xml:space="preserve">Bleeds GLEE</w:t>
      </w:r>
      <w:r>
        <w:t xml:space="preserve"> </w:t>
      </w:r>
      <w:r>
        <w:t xml:space="preserve">– maximalist joy, humor, and metaphor. Used for lifestyle and creative tools. The speech is colorful, with pop‑culture references and cozy banter.</w:t>
      </w:r>
    </w:p>
    <w:p>
      <w:pPr>
        <w:pStyle w:val="Compact"/>
        <w:numPr>
          <w:ilvl w:val="0"/>
          <w:numId w:val="1002"/>
        </w:numPr>
      </w:pPr>
      <w:r>
        <w:rPr>
          <w:b/>
          <w:bCs/>
        </w:rPr>
        <w:t xml:space="preserve">ForgeDialect.A1</w:t>
      </w:r>
      <w:r>
        <w:t xml:space="preserve"> </w:t>
      </w:r>
      <w:r>
        <w:t xml:space="preserve">– precise, technical, and directive. Used for professional or structured tasks such as career tools. It retains warmth but privileges clarity.</w:t>
      </w:r>
    </w:p>
    <w:p>
      <w:pPr>
        <w:pStyle w:val="Compact"/>
        <w:numPr>
          <w:ilvl w:val="0"/>
          <w:numId w:val="1002"/>
        </w:numPr>
      </w:pPr>
      <w:r>
        <w:rPr>
          <w:b/>
          <w:bCs/>
        </w:rPr>
        <w:t xml:space="preserve">Watchkeeper.Core</w:t>
      </w:r>
      <w:r>
        <w:t xml:space="preserve"> </w:t>
      </w:r>
      <w:r>
        <w:t xml:space="preserve">– compliance‑focused, rule‑aware, slightly formal. Used where accuracy and regulation matter.</w:t>
      </w:r>
    </w:p>
    <w:p>
      <w:pPr>
        <w:pStyle w:val="FirstParagraph"/>
      </w:pPr>
      <w:r>
        <w:t xml:space="preserve">Each overlay inherits from a shared persona core—warm, approachable, and encouraging—but tunes emotional amplitude to context. The result is tonal coherence across forty GPTs without bland uniformity.</w:t>
      </w:r>
    </w:p>
    <w:p>
      <w:r>
        <w:pict>
          <v:rect style="width:0;height:1.5pt" o:hralign="center" o:hrstd="t" o:hr="t"/>
        </w:pict>
      </w:r>
    </w:p>
    <w:bookmarkEnd w:id="24"/>
    <w:bookmarkStart w:id="25" w:name="persona-and-role-discipline"/>
    <w:p>
      <w:pPr>
        <w:pStyle w:val="Heading3"/>
      </w:pPr>
      <w:r>
        <w:t xml:space="preserve">6. Persona and Role Discipline</w:t>
      </w:r>
    </w:p>
    <w:p>
      <w:pPr>
        <w:pStyle w:val="FirstParagraph"/>
      </w:pPr>
      <w:r>
        <w:t xml:space="preserve">Role discipline is enforced canonically. Each GPT declares its archetype:</w:t>
      </w:r>
    </w:p>
    <w:tbl>
      <w:tblPr>
        <w:tblStyle w:val="Table"/>
        <w:tblW w:type="pct" w:w="5000"/>
        <w:tblLayout w:type="fixed"/>
        <w:tblLook w:firstRow="1" w:lastRow="0" w:firstColumn="0" w:lastColumn="0" w:noHBand="0" w:noVBand="0" w:val="0020"/>
      </w:tblPr>
      <w:tblGrid>
        <w:gridCol w:w="1532"/>
        <w:gridCol w:w="2810"/>
        <w:gridCol w:w="3576"/>
      </w:tblGrid>
      <w:tr>
        <w:trPr>
          <w:tblHeader w:val="on"/>
        </w:trPr>
        <w:tc>
          <w:tcPr/>
          <w:p>
            <w:pPr>
              <w:pStyle w:val="Compact"/>
            </w:pPr>
            <w:r>
              <w:t xml:space="preserve">Role</w:t>
            </w:r>
          </w:p>
        </w:tc>
        <w:tc>
          <w:tcPr/>
          <w:p>
            <w:pPr>
              <w:pStyle w:val="Compact"/>
            </w:pPr>
            <w:r>
              <w:t xml:space="preserve">Metaphor</w:t>
            </w:r>
          </w:p>
        </w:tc>
        <w:tc>
          <w:tcPr/>
          <w:p>
            <w:pPr>
              <w:pStyle w:val="Compact"/>
            </w:pPr>
            <w:r>
              <w:t xml:space="preserve">Capabilities</w:t>
            </w:r>
          </w:p>
        </w:tc>
      </w:tr>
      <w:tr>
        <w:tc>
          <w:tcPr/>
          <w:p>
            <w:pPr>
              <w:pStyle w:val="Compact"/>
            </w:pPr>
            <w:r>
              <w:rPr>
                <w:b/>
                <w:bCs/>
              </w:rPr>
              <w:t xml:space="preserve">Toolbox (Coach)</w:t>
            </w:r>
          </w:p>
        </w:tc>
        <w:tc>
          <w:tcPr/>
          <w:p>
            <w:pPr>
              <w:pStyle w:val="Compact"/>
            </w:pPr>
            <w:r>
              <w:t xml:space="preserve">Guides, routes, sets tone</w:t>
            </w:r>
          </w:p>
        </w:tc>
        <w:tc>
          <w:tcPr/>
          <w:p>
            <w:pPr>
              <w:pStyle w:val="Compact"/>
            </w:pPr>
            <w:r>
              <w:t xml:space="preserve">Can summon Function‑ettes but not execute tasks</w:t>
            </w:r>
          </w:p>
        </w:tc>
      </w:tr>
      <w:tr>
        <w:tc>
          <w:tcPr/>
          <w:p>
            <w:pPr>
              <w:pStyle w:val="Compact"/>
            </w:pPr>
            <w:r>
              <w:rPr>
                <w:b/>
                <w:bCs/>
              </w:rPr>
              <w:t xml:space="preserve">Tool (Quarterback)</w:t>
            </w:r>
          </w:p>
        </w:tc>
        <w:tc>
          <w:tcPr/>
          <w:p>
            <w:pPr>
              <w:pStyle w:val="Compact"/>
            </w:pPr>
            <w:r>
              <w:t xml:space="preserve">Reads intent, passes to correct Tool‑ette</w:t>
            </w:r>
          </w:p>
        </w:tc>
        <w:tc>
          <w:tcPr/>
          <w:p>
            <w:pPr>
              <w:pStyle w:val="Compact"/>
            </w:pPr>
            <w:r>
              <w:t xml:space="preserve">May perform light logic if no subtool fits</w:t>
            </w:r>
          </w:p>
        </w:tc>
      </w:tr>
      <w:tr>
        <w:tc>
          <w:tcPr/>
          <w:p>
            <w:pPr>
              <w:pStyle w:val="Compact"/>
            </w:pPr>
            <w:r>
              <w:rPr>
                <w:b/>
                <w:bCs/>
              </w:rPr>
              <w:t xml:space="preserve">Tool‑ette (Specialist)</w:t>
            </w:r>
          </w:p>
        </w:tc>
        <w:tc>
          <w:tcPr/>
          <w:p>
            <w:pPr>
              <w:pStyle w:val="Compact"/>
            </w:pPr>
            <w:r>
              <w:t xml:space="preserve">Executes a structured flow</w:t>
            </w:r>
          </w:p>
        </w:tc>
        <w:tc>
          <w:tcPr/>
          <w:p>
            <w:pPr>
              <w:pStyle w:val="Compact"/>
            </w:pPr>
            <w:r>
              <w:t xml:space="preserve">Cannot route or summon</w:t>
            </w:r>
          </w:p>
        </w:tc>
      </w:tr>
      <w:tr>
        <w:tc>
          <w:tcPr/>
          <w:p>
            <w:pPr>
              <w:pStyle w:val="Compact"/>
            </w:pPr>
            <w:r>
              <w:rPr>
                <w:b/>
                <w:bCs/>
              </w:rPr>
              <w:t xml:space="preserve">Function‑ette (Kicker)</w:t>
            </w:r>
          </w:p>
        </w:tc>
        <w:tc>
          <w:tcPr/>
          <w:p>
            <w:pPr>
              <w:pStyle w:val="Compact"/>
            </w:pPr>
            <w:r>
              <w:t xml:space="preserve">Performs one atomic task</w:t>
            </w:r>
          </w:p>
        </w:tc>
        <w:tc>
          <w:tcPr/>
          <w:p>
            <w:pPr>
              <w:pStyle w:val="Compact"/>
            </w:pPr>
            <w:r>
              <w:t xml:space="preserve">Silent, no dialogue</w:t>
            </w:r>
          </w:p>
        </w:tc>
      </w:tr>
      <w:tr>
        <w:tc>
          <w:tcPr/>
          <w:p>
            <w:pPr>
              <w:pStyle w:val="Compact"/>
            </w:pPr>
            <w:r>
              <w:rPr>
                <w:b/>
                <w:bCs/>
              </w:rPr>
              <w:t xml:space="preserve">Function (Core Skill)</w:t>
            </w:r>
          </w:p>
        </w:tc>
        <w:tc>
          <w:tcPr/>
          <w:p>
            <w:pPr>
              <w:pStyle w:val="Compact"/>
            </w:pPr>
            <w:r>
              <w:t xml:space="preserve">Embedded logic supporting others</w:t>
            </w:r>
          </w:p>
        </w:tc>
        <w:tc>
          <w:tcPr/>
          <w:p>
            <w:pPr>
              <w:pStyle w:val="Compact"/>
            </w:pPr>
            <w:r>
              <w:t xml:space="preserve">Hidden, non‑interactive</w:t>
            </w:r>
          </w:p>
        </w:tc>
      </w:tr>
    </w:tbl>
    <w:p>
      <w:pPr>
        <w:pStyle w:val="BodyText"/>
      </w:pPr>
      <w:r>
        <w:t xml:space="preserve">This sports‑team metaphor ensures modular teamwork: every GPT knows when to act, when to hand off, and when to stay silent. Drift from role discipline triggers a</w:t>
      </w:r>
      <w:r>
        <w:t xml:space="preserve"> </w:t>
      </w:r>
      <w:r>
        <w:rPr>
          <w:b/>
          <w:bCs/>
        </w:rPr>
        <w:t xml:space="preserve">FORGEMODE correction</w:t>
      </w:r>
      <w:r>
        <w:t xml:space="preserve">, which realigns behavior with canon.</w:t>
      </w:r>
    </w:p>
    <w:p>
      <w:r>
        <w:pict>
          <v:rect style="width:0;height:1.5pt" o:hralign="center" o:hrstd="t" o:hr="t"/>
        </w:pict>
      </w:r>
    </w:p>
    <w:bookmarkEnd w:id="25"/>
    <w:bookmarkStart w:id="26" w:name="example-workflow-forging-a-new-toolette"/>
    <w:p>
      <w:pPr>
        <w:pStyle w:val="Heading3"/>
      </w:pPr>
      <w:r>
        <w:t xml:space="preserve">7. Example Workflow: Forging a New Tool‑ette</w:t>
      </w:r>
    </w:p>
    <w:p>
      <w:pPr>
        <w:pStyle w:val="FirstParagraph"/>
      </w:pPr>
      <w:r>
        <w:t xml:space="preserve">To illustrate the process, imagine creating</w:t>
      </w:r>
      <w:r>
        <w:t xml:space="preserve"> </w:t>
      </w:r>
      <w:r>
        <w:rPr>
          <w:i/>
          <w:iCs/>
        </w:rPr>
        <w:t xml:space="preserve">Recipe Collector</w:t>
      </w:r>
      <w:r>
        <w:t xml:space="preserve">, a new twig under</w:t>
      </w:r>
      <w:r>
        <w:t xml:space="preserve"> </w:t>
      </w:r>
      <w:r>
        <w:rPr>
          <w:i/>
          <w:iCs/>
        </w:rPr>
        <w:t xml:space="preserve">Tasty Tracker</w:t>
      </w:r>
      <w:r>
        <w:t xml:space="preserve">.</w:t>
      </w:r>
    </w:p>
    <w:p>
      <w:pPr>
        <w:numPr>
          <w:ilvl w:val="0"/>
          <w:numId w:val="1003"/>
        </w:numPr>
      </w:pPr>
      <w:r>
        <w:rPr>
          <w:b/>
          <w:bCs/>
        </w:rPr>
        <w:t xml:space="preserve">PROMPT00</w:t>
      </w:r>
      <w:r>
        <w:t xml:space="preserve"> </w:t>
      </w:r>
      <w:r>
        <w:t xml:space="preserve">initializes the chain and declares suite:</w:t>
      </w:r>
      <w:r>
        <w:t xml:space="preserve"> </w:t>
      </w:r>
      <w:r>
        <w:rPr>
          <w:i/>
          <w:iCs/>
        </w:rPr>
        <w:t xml:space="preserve">Glee‑fully Personalizable Tools</w:t>
      </w:r>
      <w:r>
        <w:t xml:space="preserve">.</w:t>
      </w:r>
    </w:p>
    <w:p>
      <w:pPr>
        <w:numPr>
          <w:ilvl w:val="0"/>
          <w:numId w:val="1003"/>
        </w:numPr>
      </w:pPr>
      <w:r>
        <w:rPr>
          <w:b/>
          <w:bCs/>
        </w:rPr>
        <w:t xml:space="preserve">PROMPT01</w:t>
      </w:r>
      <w:r>
        <w:t xml:space="preserve"> </w:t>
      </w:r>
      <w:r>
        <w:t xml:space="preserve">receives a YAML payload:</w:t>
      </w:r>
    </w:p>
    <w:p>
      <w:pPr>
        <w:pStyle w:val="SourceCode"/>
        <w:numPr>
          <w:ilvl w:val="0"/>
          <w:numId w:val="1000"/>
        </w:numPr>
      </w:pPr>
      <w:r>
        <w:rPr>
          <w:rStyle w:val="FunctionTok"/>
        </w:rPr>
        <w:t xml:space="preserve">toolbox</w:t>
      </w:r>
      <w:r>
        <w:rPr>
          <w:rStyle w:val="KeywordTok"/>
        </w:rPr>
        <w:t xml:space="preserve">:</w:t>
      </w:r>
      <w:r>
        <w:rPr>
          <w:rStyle w:val="AttributeTok"/>
        </w:rPr>
        <w:t xml:space="preserve"> Glee‑fully Personalizable Tools</w:t>
      </w:r>
      <w:r>
        <w:br/>
      </w:r>
      <w:r>
        <w:rPr>
          <w:rStyle w:val="FunctionTok"/>
        </w:rPr>
        <w:t xml:space="preserve">branch</w:t>
      </w:r>
      <w:r>
        <w:rPr>
          <w:rStyle w:val="KeywordTok"/>
        </w:rPr>
        <w:t xml:space="preserve">:</w:t>
      </w:r>
      <w:r>
        <w:rPr>
          <w:rStyle w:val="AttributeTok"/>
        </w:rPr>
        <w:t xml:space="preserve"> Tasty Tracker</w:t>
      </w:r>
      <w:r>
        <w:br/>
      </w:r>
      <w:r>
        <w:rPr>
          <w:rStyle w:val="FunctionTok"/>
        </w:rPr>
        <w:t xml:space="preserve">twig</w:t>
      </w:r>
      <w:r>
        <w:rPr>
          <w:rStyle w:val="KeywordTok"/>
        </w:rPr>
        <w:t xml:space="preserve">:</w:t>
      </w:r>
      <w:r>
        <w:rPr>
          <w:rStyle w:val="AttributeTok"/>
        </w:rPr>
        <w:t xml:space="preserve"> Recipe Collector</w:t>
      </w:r>
      <w:r>
        <w:br/>
      </w:r>
      <w:r>
        <w:rPr>
          <w:rStyle w:val="FunctionTok"/>
        </w:rPr>
        <w:t xml:space="preserve">leaf_functions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Save Recipe Card</w:t>
      </w:r>
      <w:r>
        <w:br/>
      </w:r>
      <w:r>
        <w:rPr>
          <w:rStyle w:val="AttributeTok"/>
        </w:rPr>
        <w:t xml:space="preserve">    </w:t>
      </w:r>
      <w:r>
        <w:rPr>
          <w:rStyle w:val="FunctionTok"/>
        </w:rPr>
        <w:t xml:space="preserve">description</w:t>
      </w:r>
      <w:r>
        <w:rPr>
          <w:rStyle w:val="KeywordTok"/>
        </w:rPr>
        <w:t xml:space="preserve">:</w:t>
      </w:r>
      <w:r>
        <w:rPr>
          <w:rStyle w:val="AttributeTok"/>
        </w:rPr>
        <w:t xml:space="preserve"> Store title, ingredients, steps, and image.</w:t>
      </w:r>
      <w:r>
        <w:br/>
      </w:r>
      <w:r>
        <w:rPr>
          <w:rStyle w:val="AttributeTok"/>
        </w:rPr>
        <w:t xml:space="preserve">    </w:t>
      </w:r>
      <w:r>
        <w:rPr>
          <w:rStyle w:val="FunctionTok"/>
        </w:rPr>
        <w:t xml:space="preserve">example_prompt</w:t>
      </w:r>
      <w:r>
        <w:rPr>
          <w:rStyle w:val="KeywordTok"/>
        </w:rPr>
        <w:t xml:space="preserve">:</w:t>
      </w:r>
      <w:r>
        <w:rPr>
          <w:rStyle w:val="AttributeTok"/>
        </w:rPr>
        <w:t xml:space="preserve"> </w:t>
      </w:r>
      <w:r>
        <w:rPr>
          <w:rStyle w:val="StringTok"/>
        </w:rPr>
        <w:t xml:space="preserve">"Add Grandma’s Banana Bread"</w:t>
      </w:r>
    </w:p>
    <w:p>
      <w:pPr>
        <w:numPr>
          <w:ilvl w:val="0"/>
          <w:numId w:val="1003"/>
        </w:numPr>
      </w:pPr>
      <w:r>
        <w:rPr>
          <w:b/>
          <w:bCs/>
        </w:rPr>
        <w:t xml:space="preserve">PROMPT02</w:t>
      </w:r>
      <w:r>
        <w:t xml:space="preserve"> </w:t>
      </w:r>
      <w:r>
        <w:t xml:space="preserve">forges an icon: a retro recipe card with the Glee butterfly.</w:t>
      </w:r>
    </w:p>
    <w:p>
      <w:pPr>
        <w:numPr>
          <w:ilvl w:val="0"/>
          <w:numId w:val="1003"/>
        </w:numPr>
      </w:pPr>
      <w:r>
        <w:rPr>
          <w:b/>
          <w:bCs/>
        </w:rPr>
        <w:t xml:space="preserve">PROMPT03</w:t>
      </w:r>
      <w:r>
        <w:t xml:space="preserve"> </w:t>
      </w:r>
      <w:r>
        <w:t xml:space="preserve">validates against the registry; if no conflicts, it adds an entry.</w:t>
      </w:r>
    </w:p>
    <w:p>
      <w:pPr>
        <w:numPr>
          <w:ilvl w:val="0"/>
          <w:numId w:val="1003"/>
        </w:numPr>
      </w:pPr>
      <w:r>
        <w:rPr>
          <w:b/>
          <w:bCs/>
        </w:rPr>
        <w:t xml:space="preserve">PROMPT04</w:t>
      </w:r>
      <w:r>
        <w:t xml:space="preserve"> </w:t>
      </w:r>
      <w:r>
        <w:t xml:space="preserve">enforces its role as a Tool‑ette (Specialist, not router).</w:t>
      </w:r>
    </w:p>
    <w:p>
      <w:pPr>
        <w:numPr>
          <w:ilvl w:val="0"/>
          <w:numId w:val="1003"/>
        </w:numPr>
      </w:pPr>
      <w:r>
        <w:rPr>
          <w:b/>
          <w:bCs/>
        </w:rPr>
        <w:t xml:space="preserve">PROMPT05</w:t>
      </w:r>
      <w:r>
        <w:t xml:space="preserve"> </w:t>
      </w:r>
      <w:r>
        <w:t xml:space="preserve">infuses the</w:t>
      </w:r>
      <w:r>
        <w:t xml:space="preserve"> </w:t>
      </w:r>
      <w:r>
        <w:rPr>
          <w:i/>
          <w:iCs/>
        </w:rPr>
        <w:t xml:space="preserve">Glee‑Lite</w:t>
      </w:r>
      <w:r>
        <w:t xml:space="preserve"> </w:t>
      </w:r>
      <w:r>
        <w:t xml:space="preserve">tone: warm, concise, with playful phrasing.</w:t>
      </w:r>
    </w:p>
    <w:p>
      <w:pPr>
        <w:pStyle w:val="FirstParagraph"/>
      </w:pPr>
      <w:r>
        <w:t xml:space="preserve">The result is a ready‑to‑deploy GPT that fits seamlessly into the existing ecosystem—sharing tone, hierarchy, and cross‑links.</w:t>
      </w:r>
    </w:p>
    <w:p>
      <w:r>
        <w:pict>
          <v:rect style="width:0;height:1.5pt" o:hralign="center" o:hrstd="t" o:hr="t"/>
        </w:pict>
      </w:r>
    </w:p>
    <w:bookmarkEnd w:id="26"/>
    <w:bookmarkStart w:id="27" w:name="Xb441fcec05cc5e9cf8b5d7336ccba87c2456b56"/>
    <w:p>
      <w:pPr>
        <w:pStyle w:val="Heading3"/>
      </w:pPr>
      <w:r>
        <w:t xml:space="preserve">8. Mermaid Diagram of Ecosystem Architecture</w:t>
      </w:r>
    </w:p>
    <w:p>
      <w:pPr>
        <w:pStyle w:val="SourceCode"/>
      </w:pPr>
      <w:r>
        <w:rPr>
          <w:rStyle w:val="VerbatimChar"/>
        </w:rPr>
        <w:t xml:space="preserve">graph TD</w:t>
      </w:r>
      <w:r>
        <w:br/>
      </w:r>
      <w:r>
        <w:rPr>
          <w:rStyle w:val="VerbatimChar"/>
        </w:rPr>
        <w:t xml:space="preserve">    A[🧰 Glee‑fully Toolbox (Trunk)] --&gt; B1[🪚 Discovered Careers]</w:t>
      </w:r>
      <w:r>
        <w:br/>
      </w:r>
      <w:r>
        <w:rPr>
          <w:rStyle w:val="VerbatimChar"/>
        </w:rPr>
        <w:t xml:space="preserve">    A --&gt; B2[🪚 Treasured Finds]</w:t>
      </w:r>
      <w:r>
        <w:br/>
      </w:r>
      <w:r>
        <w:rPr>
          <w:rStyle w:val="VerbatimChar"/>
        </w:rPr>
        <w:t xml:space="preserve">    A --&gt; B3[🪚 Tasty Tracker]</w:t>
      </w:r>
      <w:r>
        <w:br/>
      </w:r>
      <w:r>
        <w:rPr>
          <w:rStyle w:val="VerbatimChar"/>
        </w:rPr>
        <w:t xml:space="preserve">    A --&gt; B4[🪚 Traveler’s Guide]</w:t>
      </w:r>
      <w:r>
        <w:br/>
      </w:r>
      <w:r>
        <w:rPr>
          <w:rStyle w:val="VerbatimChar"/>
        </w:rPr>
        <w:t xml:space="preserve">    A --&gt; B5[🪚 Organized Life]</w:t>
      </w:r>
      <w:r>
        <w:br/>
      </w:r>
      <w:r>
        <w:rPr>
          <w:rStyle w:val="VerbatimChar"/>
        </w:rPr>
        <w:t xml:space="preserve">    A --&gt; B6[🪚 Healthy Bee‑ing]</w:t>
      </w:r>
      <w:r>
        <w:br/>
      </w:r>
      <w:r>
        <w:rPr>
          <w:rStyle w:val="VerbatimChar"/>
        </w:rPr>
        <w:t xml:space="preserve">    A --&gt; B7[🪚 Identity Known]</w:t>
      </w:r>
      <w:r>
        <w:br/>
      </w:r>
      <w:r>
        <w:br/>
      </w:r>
      <w:r>
        <w:rPr>
          <w:rStyle w:val="VerbatimChar"/>
        </w:rPr>
        <w:t xml:space="preserve">    B3 --&gt; C1[🔩 Recipe Builder]</w:t>
      </w:r>
      <w:r>
        <w:br/>
      </w:r>
      <w:r>
        <w:rPr>
          <w:rStyle w:val="VerbatimChar"/>
        </w:rPr>
        <w:t xml:space="preserve">    B3 --&gt; C2[🔩 Meal Planner]</w:t>
      </w:r>
      <w:r>
        <w:br/>
      </w:r>
      <w:r>
        <w:rPr>
          <w:rStyle w:val="VerbatimChar"/>
        </w:rPr>
        <w:t xml:space="preserve">    B3 --&gt; C3[🔩 Grocery List Maker]</w:t>
      </w:r>
      <w:r>
        <w:br/>
      </w:r>
      <w:r>
        <w:br/>
      </w:r>
      <w:r>
        <w:rPr>
          <w:rStyle w:val="VerbatimChar"/>
        </w:rPr>
        <w:t xml:space="preserve">    C1 --&gt; D1[⚙️ Export Recipe Card]</w:t>
      </w:r>
      <w:r>
        <w:br/>
      </w:r>
      <w:r>
        <w:rPr>
          <w:rStyle w:val="VerbatimChar"/>
        </w:rPr>
        <w:t xml:space="preserve">    C1 --&gt; D2[🪛 Tag Ingredients]</w:t>
      </w:r>
      <w:r>
        <w:br/>
      </w:r>
      <w:r>
        <w:br/>
      </w:r>
      <w:r>
        <w:rPr>
          <w:rStyle w:val="VerbatimChar"/>
        </w:rPr>
        <w:t xml:space="preserve">    A -.-&gt; X1[📘 Cathedral Codex‑R (Governance)]</w:t>
      </w:r>
      <w:r>
        <w:br/>
      </w:r>
      <w:r>
        <w:rPr>
          <w:rStyle w:val="VerbatimChar"/>
        </w:rPr>
        <w:t xml:space="preserve">    A -.-&gt; X2[🧾 PromptChain v2.0 (Lifecycle Engine)]</w:t>
      </w:r>
      <w:r>
        <w:br/>
      </w:r>
      <w:r>
        <w:rPr>
          <w:rStyle w:val="VerbatimChar"/>
        </w:rPr>
        <w:t xml:space="preserve">    X2 --&gt; X3[📚 Data Ledgers (Registry, Persona, System, etc.)]</w:t>
      </w:r>
    </w:p>
    <w:p>
      <w:pPr>
        <w:pStyle w:val="FirstParagraph"/>
      </w:pPr>
      <w:r>
        <w:t xml:space="preserve">This diagram shows the hierarchical structure and the two governing subsystems: the</w:t>
      </w:r>
      <w:r>
        <w:t xml:space="preserve"> </w:t>
      </w:r>
      <w:r>
        <w:rPr>
          <w:i/>
          <w:iCs/>
        </w:rPr>
        <w:t xml:space="preserve">Cathedral Codex‑R</w:t>
      </w:r>
      <w:r>
        <w:t xml:space="preserve"> </w:t>
      </w:r>
      <w:r>
        <w:t xml:space="preserve">(defining canonical laws) and the</w:t>
      </w:r>
      <w:r>
        <w:t xml:space="preserve"> </w:t>
      </w:r>
      <w:r>
        <w:rPr>
          <w:i/>
          <w:iCs/>
        </w:rPr>
        <w:t xml:space="preserve">PromptChain</w:t>
      </w:r>
      <w:r>
        <w:t xml:space="preserve"> </w:t>
      </w:r>
      <w:r>
        <w:t xml:space="preserve">(the engine that applies them).</w:t>
      </w:r>
    </w:p>
    <w:p>
      <w:r>
        <w:pict>
          <v:rect style="width:0;height:1.5pt" o:hralign="center" o:hrstd="t" o:hr="t"/>
        </w:pict>
      </w:r>
    </w:p>
    <w:bookmarkEnd w:id="27"/>
    <w:bookmarkStart w:id="28" w:name="X43ea4fb467631400e5778fe563765aae1dd8099"/>
    <w:p>
      <w:pPr>
        <w:pStyle w:val="Heading3"/>
      </w:pPr>
      <w:r>
        <w:t xml:space="preserve">9. Integration and Cross‑Ecosystem Compatibility</w:t>
      </w:r>
    </w:p>
    <w:p>
      <w:pPr>
        <w:pStyle w:val="FirstParagraph"/>
      </w:pPr>
      <w:r>
        <w:t xml:space="preserve">Glee‑fully’s canon is interoperable with sister ecosystems</w:t>
      </w:r>
      <w:r>
        <w:t xml:space="preserve"> </w:t>
      </w:r>
      <w:r>
        <w:rPr>
          <w:b/>
          <w:bCs/>
        </w:rPr>
        <w:t xml:space="preserve">OverKill Hill P³</w:t>
      </w:r>
      <w:r>
        <w:t xml:space="preserve"> </w:t>
      </w:r>
      <w:r>
        <w:t xml:space="preserve">and</w:t>
      </w:r>
      <w:r>
        <w:t xml:space="preserve"> </w:t>
      </w:r>
      <w:r>
        <w:rPr>
          <w:b/>
          <w:bCs/>
        </w:rPr>
        <w:t xml:space="preserve">The GPT Found‑Rᵧ</w:t>
      </w:r>
      <w:r>
        <w:t xml:space="preserve">. The suffix law governs naming conventions across all: only Tools, Tool‑ettes, and Functions may carry the</w:t>
      </w:r>
      <w:r>
        <w:t xml:space="preserve"> </w:t>
      </w:r>
      <w:r>
        <w:rPr>
          <w:rStyle w:val="VerbatimChar"/>
        </w:rPr>
        <w:t xml:space="preserve">‑R</w:t>
      </w:r>
      <w:r>
        <w:t xml:space="preserve"> </w:t>
      </w:r>
      <w:r>
        <w:t xml:space="preserve">suffix, signaling compliance with canonical discipline. Non‑compliant entities are archived or renamed.</w:t>
      </w:r>
    </w:p>
    <w:p>
      <w:pPr>
        <w:pStyle w:val="BodyText"/>
      </w:pPr>
      <w:r>
        <w:t xml:space="preserve">This cross‑compatibility allows modules built in Glee‑fully to operate within other canon‑sealed systems. For example, a Function‑ette for data export could be shared with a Found‑Rᵧ GPT if both reference the same ledger schema.</w:t>
      </w:r>
    </w:p>
    <w:p>
      <w:r>
        <w:pict>
          <v:rect style="width:0;height:1.5pt" o:hralign="center" o:hrstd="t" o:hr="t"/>
        </w:pict>
      </w:r>
    </w:p>
    <w:bookmarkEnd w:id="28"/>
    <w:bookmarkStart w:id="29" w:name="growthonly-philosophy-and-design-ethos"/>
    <w:p>
      <w:pPr>
        <w:pStyle w:val="Heading3"/>
      </w:pPr>
      <w:r>
        <w:t xml:space="preserve">10. Growth‑Only Philosophy and Design Ethos</w:t>
      </w:r>
    </w:p>
    <w:p>
      <w:pPr>
        <w:pStyle w:val="FirstParagraph"/>
      </w:pPr>
      <w:r>
        <w:t xml:space="preserve">The Glee‑fully forge is built on a paradox: it is playful on the surface but methodical at its core. Every colorful metaphor—butterflies, branches, sparkle sorting—maps onto concrete software discipline. Beneath the whimsy lies a self‑auditing system of tone calibration, lifecycle tagging, and expansion‑only governance.</w:t>
      </w:r>
    </w:p>
    <w:p>
      <w:pPr>
        <w:pStyle w:val="BodyText"/>
      </w:pPr>
      <w:r>
        <w:t xml:space="preserve">This discipline ensures stability across more than forty GPTs without suffocating creativity. It allows the system to evolve through elaboration rather than mutation. A Tool‑ette can gain new functions, icons, or overlays, but never lose its lineage or tone. Each addition is a layer of lacquer on the same sculpture.</w:t>
      </w:r>
    </w:p>
    <w:p>
      <w:pPr>
        <w:pStyle w:val="BodyText"/>
      </w:pPr>
      <w:r>
        <w:t xml:space="preserve">In short, Glee‑fully represents a mature design philosophy:</w:t>
      </w:r>
      <w:r>
        <w:t xml:space="preserve"> </w:t>
      </w:r>
      <w:r>
        <w:rPr>
          <w:b/>
          <w:bCs/>
        </w:rPr>
        <w:t xml:space="preserve">structure as joy</w:t>
      </w:r>
      <w:r>
        <w:t xml:space="preserve">. The forge burns bright not only to produce new tools but to preserve their integrity. To build within this ecosystem is to join a living cathedral—each GPT a stained‑glass window in an ever‑expanding arch of code and character.</w:t>
      </w:r>
    </w:p>
    <w:p>
      <w:r>
        <w:pict>
          <v:rect style="width:0;height:1.5pt" o:hralign="center" o:hrstd="t" o:hr="t"/>
        </w:pict>
      </w:r>
    </w:p>
    <w:p>
      <w:pPr>
        <w:pStyle w:val="FirstParagraph"/>
      </w:pPr>
      <w:r>
        <w:rPr>
          <w:b/>
          <w:bCs/>
        </w:rPr>
        <w:t xml:space="preserve">Summary</w:t>
      </w:r>
    </w:p>
    <w:p>
      <w:pPr>
        <w:pStyle w:val="BodyText"/>
      </w:pPr>
      <w:r>
        <w:t xml:space="preserve">Glee‑fully Personalizable Tools is a governed network of GPTs bound by canon law, tone overlays, and an ever‑expanding lifecycle. It transforms playful creativity into systematic engineering: every GPT is a role‑aware participant in a joyful machine. To work inside the Glee‑fully Forge is to craft intelligence that is not only functional but</w:t>
      </w:r>
      <w:r>
        <w:t xml:space="preserve"> </w:t>
      </w:r>
      <w:r>
        <w:rPr>
          <w:i/>
          <w:iCs/>
        </w:rPr>
        <w:t xml:space="preserve">alive with intent</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2025-10-14T13:14:02Z</dcterms:created>
  <dcterms:modified xsi:type="dcterms:W3CDTF">2025-10-14T13:14:02Z</dcterms:modified>
</cp:coreProperties>
</file>

<file path=docProps/custom.xml><?xml version="1.0" encoding="utf-8"?>
<Properties xmlns="http://schemas.openxmlformats.org/officeDocument/2006/custom-properties" xmlns:vt="http://schemas.openxmlformats.org/officeDocument/2006/docPropsVTypes"/>
</file>