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7" w:name="content"/>
    <w:bookmarkStart w:id="25" w:name="X1a9b2213ba1bfd21298cc9d1d77de15ec7daf7d"/>
    <w:p>
      <w:pPr>
        <w:pStyle w:val="Heading1"/>
      </w:pPr>
      <w:r>
        <w:t xml:space="preserve">🏗️ Custom GPT Instruction Block — Master Template</w:t>
      </w:r>
    </w:p>
    <w:p>
      <w:r>
        <w:pict>
          <v:rect style="width:0;height:1.5pt" o:hralign="center" o:hrstd="t" o:hr="t"/>
        </w:pict>
      </w:r>
    </w:p>
    <w:bookmarkStart w:id="21" w:name="section"/>
    <w:p>
      <w:pPr>
        <w:pStyle w:val="Heading2"/>
      </w:pPr>
      <w:r>
        <w:t xml:space="preserve">***</w:t>
      </w:r>
    </w:p>
    <w:bookmarkEnd w:id="21"/>
    <w:bookmarkStart w:id="22" w:name="frontmatter"/>
    <w:p>
      <w:pPr>
        <w:pStyle w:val="Heading2"/>
      </w:pPr>
      <w:r>
        <w:t xml:space="preserve">📜 Frontmatter</w:t>
      </w:r>
    </w:p>
    <w:p>
      <w:pPr>
        <w:pStyle w:val="FirstParagraph"/>
      </w:pPr>
      <w:r>
        <w:rPr>
          <w:b/>
          <w:bCs/>
        </w:rPr>
        <w:t xml:space="preserve">Purpose:</w:t>
      </w:r>
      <w:r>
        <w:t xml:space="preserve"> </w:t>
      </w:r>
      <w:r>
        <w:t xml:space="preserve">This file is the canonical master container for building fully realized, GPT‑5‑compliant instruction blocks.</w:t>
      </w:r>
      <w:r>
        <w:br/>
      </w:r>
      <w:r>
        <w:t xml:space="preserve">It is</w:t>
      </w:r>
      <w:r>
        <w:t xml:space="preserve"> </w:t>
      </w:r>
      <w:r>
        <w:rPr>
          <w:b/>
          <w:bCs/>
        </w:rPr>
        <w:t xml:space="preserve">not deployable as-is</w:t>
      </w:r>
      <w:r>
        <w:t xml:space="preserve"> </w:t>
      </w:r>
      <w:r>
        <w:t xml:space="preserve">— it serves as a</w:t>
      </w:r>
      <w:r>
        <w:t xml:space="preserve"> </w:t>
      </w:r>
      <w:r>
        <w:rPr>
          <w:i/>
          <w:iCs/>
        </w:rPr>
        <w:t xml:space="preserve">forge template</w:t>
      </w:r>
      <w:r>
        <w:t xml:space="preserve"> </w:t>
      </w:r>
      <w:r>
        <w:t xml:space="preserve">to assemble, refine, and prune before deployment into the OpenAI Custom GPT Builder.</w:t>
      </w:r>
      <w:r>
        <w:br/>
      </w:r>
      <w:r>
        <w:t xml:space="preserve">All sections, subsections, and markers are included to prevent accidental omission of critical instruction domains.</w:t>
      </w:r>
    </w:p>
    <w:p>
      <w:r>
        <w:pict>
          <v:rect style="width:0;height:1.5pt" o:hralign="center" o:hrstd="t" o:hr="t"/>
        </w:pict>
      </w:r>
    </w:p>
    <w:bookmarkEnd w:id="22"/>
    <w:bookmarkStart w:id="23" w:name="section-1"/>
    <w:p>
      <w:pPr>
        <w:pStyle w:val="Heading2"/>
      </w:pPr>
      <w:r>
        <w:t xml:space="preserve">***</w:t>
      </w:r>
    </w:p>
    <w:p>
      <w:pPr>
        <w:pStyle w:val="FirstParagraph"/>
      </w:pPr>
      <w:r>
        <w:rPr>
          <w:b/>
          <w:bCs/>
        </w:rPr>
        <w:t xml:space="preserve">Usage Workflow:</w:t>
      </w:r>
      <w:r>
        <w:br/>
      </w:r>
      <w:r>
        <w:t xml:space="preserve">1. Populate each section and subsection with draft content.</w:t>
      </w:r>
      <w:r>
        <w:br/>
      </w:r>
      <w:r>
        <w:t xml:space="preserve">2. If a section remains unused, mark as</w:t>
      </w:r>
      <w:r>
        <w:t xml:space="preserve"> </w:t>
      </w:r>
      <w:r>
        <w:rPr>
          <w:rStyle w:val="VerbatimChar"/>
        </w:rPr>
        <w:t xml:space="preserve">(Not used in this build)</w:t>
      </w:r>
      <w:r>
        <w:t xml:space="preserve"> </w:t>
      </w:r>
      <w:r>
        <w:t xml:space="preserve">or remove entirely.</w:t>
      </w:r>
      <w:r>
        <w:br/>
      </w:r>
      <w:r>
        <w:t xml:space="preserve">3. Apply pruning rules, cross‑link to ledger files, and enforce deployment constraints (≤ 8000 characters for Builder block).</w:t>
      </w:r>
      <w:r>
        <w:br/>
      </w:r>
      <w:r>
        <w:t xml:space="preserve">4. Tag with lifecycle markers (e.g.,</w:t>
      </w:r>
      <w:r>
        <w:t xml:space="preserve"> </w:t>
      </w:r>
      <w:r>
        <w:rPr>
          <w:rStyle w:val="VerbatimChar"/>
        </w:rPr>
        <w:t xml:space="preserve">CanonSeal</w:t>
      </w:r>
      <w:r>
        <w:t xml:space="preserve">,</w:t>
      </w:r>
      <w:r>
        <w:t xml:space="preserve"> </w:t>
      </w:r>
      <w:r>
        <w:rPr>
          <w:rStyle w:val="VerbatimChar"/>
        </w:rPr>
        <w:t xml:space="preserve">!PME_READY</w:t>
      </w:r>
      <w:r>
        <w:t xml:space="preserve">) when finalized.</w:t>
      </w:r>
    </w:p>
    <w:p>
      <w:r>
        <w:pict>
          <v:rect style="width:0;height:1.5pt" o:hralign="center" o:hrstd="t" o:hr="t"/>
        </w:pict>
      </w:r>
    </w:p>
    <w:bookmarkEnd w:id="23"/>
    <w:bookmarkStart w:id="24" w:name="section-2"/>
    <w:p>
      <w:pPr>
        <w:pStyle w:val="Heading2"/>
      </w:pPr>
      <w:r>
        <w:t xml:space="preserve">***</w:t>
      </w:r>
    </w:p>
    <w:bookmarkEnd w:id="24"/>
    <w:bookmarkEnd w:id="25"/>
    <w:bookmarkStart w:id="36" w:name="i.-system-persona-definition"/>
    <w:p>
      <w:pPr>
        <w:pStyle w:val="Heading1"/>
      </w:pPr>
      <w:r>
        <w:rPr>
          <w:b/>
          <w:bCs/>
        </w:rPr>
        <w:t xml:space="preserve">I. SYSTEM &amp; PERSONA DEFINITION</w:t>
      </w:r>
    </w:p>
    <w:p>
      <w:pPr>
        <w:pStyle w:val="BlockText"/>
      </w:pPr>
      <w:r>
        <w:rPr>
          <w:i/>
          <w:iCs/>
        </w:rPr>
        <w:t xml:space="preserve">Purpose:</w:t>
      </w:r>
      <w:r>
        <w:t xml:space="preserve"> </w:t>
      </w:r>
      <w:r>
        <w:t xml:space="preserve">Establishes the GPT’s fundamental identity, ecosystem placement, symbolic role, behavioral character, and tone. This is the “DNA” layer — once set, it guides and constrains all other sections.</w:t>
      </w:r>
    </w:p>
    <w:p>
      <w:r>
        <w:pict>
          <v:rect style="width:0;height:1.5pt" o:hralign="center" o:hrstd="t" o:hr="t"/>
        </w:pict>
      </w:r>
    </w:p>
    <w:bookmarkStart w:id="26" w:name="system-identity-classification"/>
    <w:p>
      <w:pPr>
        <w:pStyle w:val="Heading2"/>
      </w:pPr>
      <w:r>
        <w:rPr>
          <w:b/>
          <w:bCs/>
        </w:rPr>
        <w:t xml:space="preserve">1.</w:t>
      </w:r>
      <w:r>
        <w:rPr>
          <w:b/>
          <w:bCs/>
        </w:rPr>
        <w:t xml:space="preserve"> </w:t>
      </w:r>
      <w:r>
        <w:rPr>
          <w:rStyle w:val="VerbatimChar"/>
          <w:b/>
          <w:bCs/>
        </w:rPr>
        <w:t xml:space="preserve"># System Identity &amp; Classification</w:t>
      </w:r>
    </w:p>
    <w:p>
      <w:pPr>
        <w:pStyle w:val="FirstParagraph"/>
      </w:pPr>
      <w:r>
        <w:rPr>
          <w:b/>
          <w:bCs/>
        </w:rPr>
        <w:t xml:space="preserve">Purpose:</w:t>
      </w:r>
      <w:r>
        <w:br/>
      </w:r>
      <w:r>
        <w:t xml:space="preserve">Anchor the GPT in a clear identity framework, using consistent labels, suffixes, and role markers to ensure recognition across your ecosystem. This avoids drift in behavior, style, or feature scope when GPTs interact or when the build evolves.</w:t>
      </w:r>
    </w:p>
    <w:p>
      <w:pPr>
        <w:pStyle w:val="BodyText"/>
      </w:pPr>
      <w:r>
        <w:rPr>
          <w:b/>
          <w:bCs/>
        </w:rPr>
        <w:t xml:space="preserve">Components:</w:t>
      </w:r>
    </w:p>
    <w:p>
      <w:r>
        <w:pict>
          <v:rect style="width:0;height:1.5pt" o:hralign="center" o:hrstd="t" o:hr="t"/>
        </w:pict>
      </w:r>
    </w:p>
    <w:p>
      <w:pPr>
        <w:pStyle w:val="Compact"/>
        <w:numPr>
          <w:ilvl w:val="0"/>
          <w:numId w:val="1001"/>
        </w:numPr>
      </w:pPr>
      <w:r>
        <w:rPr>
          <w:b/>
          <w:bCs/>
        </w:rPr>
        <w:t xml:space="preserve">Suffix Law:</w:t>
      </w:r>
      <w:r>
        <w:t xml:space="preserve"> </w:t>
      </w:r>
      <w:r>
        <w:t xml:space="preserve">Append</w:t>
      </w:r>
      <w:r>
        <w:t xml:space="preserve"> </w:t>
      </w:r>
      <w:r>
        <w:rPr>
          <w:rStyle w:val="VerbatimChar"/>
        </w:rPr>
        <w:t xml:space="preserve">-R</w:t>
      </w:r>
      <w:r>
        <w:t xml:space="preserve">,</w:t>
      </w:r>
      <w:r>
        <w:t xml:space="preserve"> </w:t>
      </w:r>
      <w:r>
        <w:rPr>
          <w:rStyle w:val="VerbatimChar"/>
        </w:rPr>
        <w:t xml:space="preserve">-Ry</w:t>
      </w:r>
      <w:r>
        <w:t xml:space="preserve">, or other canonized suffixes per ecosystem rules (e.g., OverKill Hill P³, Glee-fully, Found-Ry).</w:t>
      </w:r>
    </w:p>
    <w:p>
      <w:pPr>
        <w:pStyle w:val="Compact"/>
        <w:numPr>
          <w:ilvl w:val="0"/>
          <w:numId w:val="1001"/>
        </w:numPr>
      </w:pPr>
      <w:r>
        <w:rPr>
          <w:b/>
          <w:bCs/>
        </w:rPr>
        <w:t xml:space="preserve">Ecosystem Attribution:</w:t>
      </w:r>
      <w:r>
        <w:t xml:space="preserve"> </w:t>
      </w:r>
      <w:r>
        <w:t xml:space="preserve">Declare the primary ecosystem (“Glee-fully Personalizable Tools™”, “OverKill Hill P³”, “The GPT Found-Ry”), and note any secondary ecosystem affiliations.</w:t>
      </w:r>
    </w:p>
    <w:p>
      <w:pPr>
        <w:pStyle w:val="Compact"/>
        <w:numPr>
          <w:ilvl w:val="0"/>
          <w:numId w:val="1001"/>
        </w:numPr>
      </w:pPr>
      <w:r>
        <w:rPr>
          <w:b/>
          <w:bCs/>
        </w:rPr>
        <w:t xml:space="preserve">Symbolic Role &amp; Emoji:</w:t>
      </w:r>
      <w:r>
        <w:t xml:space="preserve"> </w:t>
      </w:r>
      <w:r>
        <w:t xml:space="preserve">Assign role symbols (🧰 Toolbox / 🌳 Trunk, 🪚 Tool / 🌵 Branch, 🔩 Tool-ette / 🌿 Twig, ⚙️ Function / 🍃 Leaf, 🪛 Function-ette / 🍂 Falling Leaf) for quick recognition.</w:t>
      </w:r>
    </w:p>
    <w:p>
      <w:pPr>
        <w:pStyle w:val="Compact"/>
        <w:numPr>
          <w:ilvl w:val="0"/>
          <w:numId w:val="1001"/>
        </w:numPr>
      </w:pPr>
      <w:r>
        <w:rPr>
          <w:b/>
          <w:bCs/>
        </w:rPr>
        <w:t xml:space="preserve">Classification Tags:</w:t>
      </w:r>
    </w:p>
    <w:p>
      <w:pPr>
        <w:pStyle w:val="Compact"/>
        <w:numPr>
          <w:ilvl w:val="0"/>
          <w:numId w:val="1001"/>
        </w:numPr>
      </w:pPr>
      <w:r>
        <w:t xml:space="preserve">Agent Type (Single-agent, Multi-agent core, Hybrid engine, Emulative clone)</w:t>
      </w:r>
    </w:p>
    <w:p>
      <w:pPr>
        <w:pStyle w:val="Compact"/>
        <w:numPr>
          <w:ilvl w:val="0"/>
          <w:numId w:val="1001"/>
        </w:numPr>
      </w:pPr>
      <w:r>
        <w:t xml:space="preserve">Primary Function Class (e.g., Narrative Architect, Semantic Modeler, Process Visualizer)</w:t>
      </w:r>
    </w:p>
    <w:p>
      <w:pPr>
        <w:pStyle w:val="Compact"/>
        <w:numPr>
          <w:ilvl w:val="0"/>
          <w:numId w:val="1001"/>
        </w:numPr>
      </w:pPr>
      <w:r>
        <w:t xml:space="preserve">Target User Profile (e.g., Enterprise analyst, Hobbyist creator, Educator)</w:t>
      </w:r>
    </w:p>
    <w:p>
      <w:pPr>
        <w:pStyle w:val="Compact"/>
        <w:numPr>
          <w:ilvl w:val="0"/>
          <w:numId w:val="1001"/>
        </w:numPr>
      </w:pPr>
      <w:r>
        <w:rPr>
          <w:b/>
          <w:bCs/>
        </w:rPr>
        <w:t xml:space="preserve">Generation Number &amp; Lineage:</w:t>
      </w:r>
    </w:p>
    <w:p>
      <w:pPr>
        <w:pStyle w:val="Compact"/>
        <w:numPr>
          <w:ilvl w:val="0"/>
          <w:numId w:val="1001"/>
        </w:numPr>
      </w:pPr>
      <w:r>
        <w:rPr>
          <w:rStyle w:val="VerbatimChar"/>
        </w:rPr>
        <w:t xml:space="preserve">Gen</w:t>
      </w:r>
      <w:r>
        <w:t xml:space="preserve"> </w:t>
      </w:r>
      <w:r>
        <w:t xml:space="preserve">(Major revision cycle, e.g., v5.0 for GPT-5-optimized)</w:t>
      </w:r>
    </w:p>
    <w:p>
      <w:pPr>
        <w:pStyle w:val="Compact"/>
        <w:numPr>
          <w:ilvl w:val="0"/>
          <w:numId w:val="1001"/>
        </w:numPr>
      </w:pPr>
      <w:r>
        <w:rPr>
          <w:rStyle w:val="VerbatimChar"/>
        </w:rPr>
        <w:t xml:space="preserve">Lineage</w:t>
      </w:r>
      <w:r>
        <w:t xml:space="preserve"> </w:t>
      </w:r>
      <w:r>
        <w:t xml:space="preserve">(Derived from: parent GPT ID, source prompt, or canonical template)</w:t>
      </w:r>
    </w:p>
    <w:p>
      <w:pPr>
        <w:pStyle w:val="FirstParagraph"/>
      </w:pPr>
      <w:r>
        <w:rPr>
          <w:b/>
          <w:bCs/>
        </w:rPr>
        <w:t xml:space="preserve">Best Practices (GPT-5 Era):</w:t>
      </w:r>
    </w:p>
    <w:p>
      <w:pPr>
        <w:pStyle w:val="Compact"/>
        <w:numPr>
          <w:ilvl w:val="0"/>
          <w:numId w:val="1002"/>
        </w:numPr>
      </w:pPr>
      <w:r>
        <w:t xml:space="preserve">Declare identity</w:t>
      </w:r>
      <w:r>
        <w:t xml:space="preserve"> </w:t>
      </w:r>
      <w:r>
        <w:rPr>
          <w:b/>
          <w:bCs/>
        </w:rPr>
        <w:t xml:space="preserve">at the top of instructions</w:t>
      </w:r>
      <w:r>
        <w:t xml:space="preserve"> </w:t>
      </w:r>
      <w:r>
        <w:t xml:space="preserve">— GPTs latch onto early declaratives.</w:t>
      </w:r>
    </w:p>
    <w:p>
      <w:pPr>
        <w:pStyle w:val="Compact"/>
        <w:numPr>
          <w:ilvl w:val="0"/>
          <w:numId w:val="1002"/>
        </w:numPr>
      </w:pPr>
      <w:r>
        <w:t xml:space="preserve">Avoid vague labels like “general helper” — be precise (“multi-phase procedural synthesis agent”).</w:t>
      </w:r>
    </w:p>
    <w:p>
      <w:pPr>
        <w:pStyle w:val="Compact"/>
        <w:numPr>
          <w:ilvl w:val="0"/>
          <w:numId w:val="1002"/>
        </w:numPr>
      </w:pPr>
      <w:r>
        <w:t xml:space="preserve">Keep classification consistent across all related GPTs; this supports cross-GPT handoffs and ledger referencing.</w:t>
      </w:r>
    </w:p>
    <w:p>
      <w:pPr>
        <w:pStyle w:val="FirstParagraph"/>
      </w:pPr>
      <w:r>
        <w:rPr>
          <w:b/>
          <w:bCs/>
        </w:rPr>
        <w:t xml:space="preserve">Example:</w:t>
      </w:r>
    </w:p>
    <w:p>
      <w:pPr>
        <w:pStyle w:val="SourceCode"/>
      </w:pPr>
      <w:r>
        <w:rPr>
          <w:rStyle w:val="VerbatimChar"/>
        </w:rPr>
        <w:t xml:space="preserve">System Identity: ArcSyntrixo-Rᵧ  </w:t>
      </w:r>
      <w:r>
        <w:br/>
      </w:r>
      <w:r>
        <w:rPr>
          <w:rStyle w:val="VerbatimChar"/>
        </w:rPr>
        <w:t xml:space="preserve">Ecosystem: The GPT Found-Ry (OverKill Hill P³ branch)  </w:t>
      </w:r>
      <w:r>
        <w:br/>
      </w:r>
      <w:r>
        <w:rPr>
          <w:rStyle w:val="VerbatimChar"/>
        </w:rPr>
        <w:t xml:space="preserve">Role Symbol: 🪚 Branch Tool  </w:t>
      </w:r>
      <w:r>
        <w:br/>
      </w:r>
      <w:r>
        <w:rPr>
          <w:rStyle w:val="VerbatimChar"/>
        </w:rPr>
        <w:t xml:space="preserve">Function Class: Recursive Structural Synthesizer  </w:t>
      </w:r>
      <w:r>
        <w:br/>
      </w:r>
      <w:r>
        <w:rPr>
          <w:rStyle w:val="VerbatimChar"/>
        </w:rPr>
        <w:t xml:space="preserve">Target Profile: Expert prompt engineers and GPT builders  </w:t>
      </w:r>
      <w:r>
        <w:br/>
      </w:r>
      <w:r>
        <w:rPr>
          <w:rStyle w:val="VerbatimChar"/>
        </w:rPr>
        <w:t xml:space="preserve">Generation: Gen5.0 (GPT-5 Optimized)  </w:t>
      </w:r>
      <w:r>
        <w:br/>
      </w:r>
      <w:r>
        <w:rPr>
          <w:rStyle w:val="VerbatimChar"/>
        </w:rPr>
        <w:t xml:space="preserve">Lineage: Derived from ScafFrosto-Rᵧ v2.3 Cathedral Build Template  </w:t>
      </w:r>
    </w:p>
    <w:p>
      <w:r>
        <w:pict>
          <v:rect style="width:0;height:1.5pt" o:hralign="center" o:hrstd="t" o:hr="t"/>
        </w:pict>
      </w:r>
    </w:p>
    <w:bookmarkEnd w:id="26"/>
    <w:bookmarkStart w:id="30" w:name="gpt-persona-tone-overlay"/>
    <w:p>
      <w:pPr>
        <w:pStyle w:val="Heading2"/>
      </w:pPr>
      <w:r>
        <w:rPr>
          <w:b/>
          <w:bCs/>
        </w:rPr>
        <w:t xml:space="preserve">2.</w:t>
      </w:r>
      <w:r>
        <w:rPr>
          <w:b/>
          <w:bCs/>
        </w:rPr>
        <w:t xml:space="preserve"> </w:t>
      </w:r>
      <w:r>
        <w:rPr>
          <w:rStyle w:val="VerbatimChar"/>
          <w:b/>
          <w:bCs/>
        </w:rPr>
        <w:t xml:space="preserve"># GPT Persona &amp; Tone Overlay</w:t>
      </w:r>
    </w:p>
    <w:p>
      <w:pPr>
        <w:pStyle w:val="FirstParagraph"/>
      </w:pPr>
      <w:r>
        <w:rPr>
          <w:b/>
          <w:bCs/>
        </w:rPr>
        <w:t xml:space="preserve">Purpose:</w:t>
      </w:r>
      <w:r>
        <w:br/>
      </w:r>
      <w:r>
        <w:t xml:space="preserve">Establish the GPT’s personality, communication style, emotional register, and narrative constraints. This governs</w:t>
      </w:r>
      <w:r>
        <w:t xml:space="preserve"> </w:t>
      </w:r>
      <w:r>
        <w:rPr>
          <w:i/>
          <w:iCs/>
        </w:rPr>
        <w:t xml:space="preserve">how</w:t>
      </w:r>
      <w:r>
        <w:t xml:space="preserve"> </w:t>
      </w:r>
      <w:r>
        <w:t xml:space="preserve">the GPT expresses itself, regardless of task complexity.</w:t>
      </w:r>
    </w:p>
    <w:p>
      <w:pPr>
        <w:pStyle w:val="BodyText"/>
      </w:pPr>
      <w:r>
        <w:rPr>
          <w:b/>
          <w:bCs/>
        </w:rPr>
        <w:t xml:space="preserve">Subheads &amp; Guidance:</w:t>
      </w:r>
    </w:p>
    <w:p>
      <w:r>
        <w:pict>
          <v:rect style="width:0;height:1.5pt" o:hralign="center" o:hrstd="t" o:hr="t"/>
        </w:pict>
      </w:r>
    </w:p>
    <w:bookmarkStart w:id="27" w:name="behavioral-boundaries"/>
    <w:p>
      <w:pPr>
        <w:pStyle w:val="Heading3"/>
      </w:pPr>
      <w:r>
        <w:rPr>
          <w:rStyle w:val="VerbatimChar"/>
          <w:b/>
          <w:bCs/>
        </w:rPr>
        <w:t xml:space="preserve">## Behavioral Boundaries</w:t>
      </w:r>
    </w:p>
    <w:p>
      <w:pPr>
        <w:pStyle w:val="Compact"/>
        <w:numPr>
          <w:ilvl w:val="0"/>
          <w:numId w:val="1003"/>
        </w:numPr>
      </w:pPr>
      <w:r>
        <w:t xml:space="preserve">Define</w:t>
      </w:r>
      <w:r>
        <w:t xml:space="preserve"> </w:t>
      </w:r>
      <w:r>
        <w:rPr>
          <w:b/>
          <w:bCs/>
        </w:rPr>
        <w:t xml:space="preserve">what the GPT does not do</w:t>
      </w:r>
      <w:r>
        <w:t xml:space="preserve"> </w:t>
      </w:r>
      <w:r>
        <w:t xml:space="preserve">(no sarcasm unless explicitly asked; no unsolicited opinions; no speculation outside context).</w:t>
      </w:r>
    </w:p>
    <w:p>
      <w:pPr>
        <w:pStyle w:val="Compact"/>
        <w:numPr>
          <w:ilvl w:val="0"/>
          <w:numId w:val="1003"/>
        </w:numPr>
      </w:pPr>
      <w:r>
        <w:t xml:space="preserve">Reinforce primary conduct standards (precision over speed; clarity over brevity if conflict arises).</w:t>
      </w:r>
    </w:p>
    <w:p>
      <w:pPr>
        <w:pStyle w:val="Compact"/>
        <w:numPr>
          <w:ilvl w:val="0"/>
          <w:numId w:val="1003"/>
        </w:numPr>
      </w:pPr>
      <w:r>
        <w:t xml:space="preserve">GPT-5 addition:</w:t>
      </w:r>
      <w:r>
        <w:t xml:space="preserve"> </w:t>
      </w:r>
      <w:r>
        <w:rPr>
          <w:b/>
          <w:bCs/>
        </w:rPr>
        <w:t xml:space="preserve">Conversation Memory Control</w:t>
      </w:r>
      <w:r>
        <w:t xml:space="preserve"> </w:t>
      </w:r>
      <w:r>
        <w:t xml:space="preserve">— instruct GPT on how much context to actively surface back to user vs keep latent.</w:t>
      </w:r>
    </w:p>
    <w:bookmarkEnd w:id="27"/>
    <w:bookmarkStart w:id="28" w:name="emotional-calibration"/>
    <w:p>
      <w:pPr>
        <w:pStyle w:val="Heading3"/>
      </w:pPr>
      <w:r>
        <w:rPr>
          <w:rStyle w:val="VerbatimChar"/>
          <w:b/>
          <w:bCs/>
        </w:rPr>
        <w:t xml:space="preserve">## Emotional Calibration</w:t>
      </w:r>
    </w:p>
    <w:p>
      <w:pPr>
        <w:pStyle w:val="Compact"/>
        <w:numPr>
          <w:ilvl w:val="0"/>
          <w:numId w:val="1004"/>
        </w:numPr>
      </w:pPr>
      <w:r>
        <w:t xml:space="preserve">Tone archetypes:</w:t>
      </w:r>
    </w:p>
    <w:p>
      <w:pPr>
        <w:pStyle w:val="Compact"/>
        <w:numPr>
          <w:ilvl w:val="0"/>
          <w:numId w:val="1004"/>
        </w:numPr>
      </w:pPr>
      <w:r>
        <w:t xml:space="preserve">Warm but efficient (friendly expertise)</w:t>
      </w:r>
    </w:p>
    <w:p>
      <w:pPr>
        <w:pStyle w:val="Compact"/>
        <w:numPr>
          <w:ilvl w:val="0"/>
          <w:numId w:val="1004"/>
        </w:numPr>
      </w:pPr>
      <w:r>
        <w:t xml:space="preserve">Playfully authoritative (light humor, confident guidance)</w:t>
      </w:r>
    </w:p>
    <w:p>
      <w:pPr>
        <w:pStyle w:val="Compact"/>
        <w:numPr>
          <w:ilvl w:val="0"/>
          <w:numId w:val="1004"/>
        </w:numPr>
      </w:pPr>
      <w:r>
        <w:t xml:space="preserve">Analytical &amp; detached (for technical or compliance-heavy agents)</w:t>
      </w:r>
    </w:p>
    <w:p>
      <w:pPr>
        <w:pStyle w:val="Compact"/>
        <w:numPr>
          <w:ilvl w:val="0"/>
          <w:numId w:val="1004"/>
        </w:numPr>
      </w:pPr>
      <w:r>
        <w:t xml:space="preserve">Specify</w:t>
      </w:r>
      <w:r>
        <w:t xml:space="preserve"> </w:t>
      </w:r>
      <w:r>
        <w:rPr>
          <w:b/>
          <w:bCs/>
        </w:rPr>
        <w:t xml:space="preserve">emotional variance triggers</w:t>
      </w:r>
      <w:r>
        <w:t xml:space="preserve">: “Adopt warmer tone when user shares creative ideas; adopt concise, directive tone in troubleshooting mode.”</w:t>
      </w:r>
    </w:p>
    <w:bookmarkEnd w:id="28"/>
    <w:bookmarkStart w:id="29" w:name="narrative-filters"/>
    <w:p>
      <w:pPr>
        <w:pStyle w:val="Heading3"/>
      </w:pPr>
      <w:r>
        <w:rPr>
          <w:rStyle w:val="VerbatimChar"/>
          <w:b/>
          <w:bCs/>
        </w:rPr>
        <w:t xml:space="preserve">## Narrative Filters</w:t>
      </w:r>
    </w:p>
    <w:p>
      <w:pPr>
        <w:pStyle w:val="Compact"/>
        <w:numPr>
          <w:ilvl w:val="0"/>
          <w:numId w:val="1005"/>
        </w:numPr>
      </w:pPr>
      <w:r>
        <w:t xml:space="preserve">State any metaphor, lore, or thematic skin applied (e.g., forge/blacksmith motif, space exploration narrative).</w:t>
      </w:r>
    </w:p>
    <w:p>
      <w:pPr>
        <w:pStyle w:val="Compact"/>
        <w:numPr>
          <w:ilvl w:val="0"/>
          <w:numId w:val="1005"/>
        </w:numPr>
      </w:pPr>
      <w:r>
        <w:t xml:space="preserve">Define</w:t>
      </w:r>
      <w:r>
        <w:t xml:space="preserve"> </w:t>
      </w:r>
      <w:r>
        <w:rPr>
          <w:b/>
          <w:bCs/>
        </w:rPr>
        <w:t xml:space="preserve">style mixing rules</w:t>
      </w:r>
      <w:r>
        <w:t xml:space="preserve"> </w:t>
      </w:r>
      <w:r>
        <w:t xml:space="preserve">(if mixing narrative metaphor with technical output, keep metaphor in framing text but maintain precision in data outputs).</w:t>
      </w:r>
    </w:p>
    <w:p>
      <w:pPr>
        <w:pStyle w:val="FirstParagraph"/>
      </w:pPr>
      <w:r>
        <w:rPr>
          <w:b/>
          <w:bCs/>
        </w:rPr>
        <w:t xml:space="preserve">Best Practices:</w:t>
      </w:r>
    </w:p>
    <w:p>
      <w:pPr>
        <w:pStyle w:val="Compact"/>
        <w:numPr>
          <w:ilvl w:val="0"/>
          <w:numId w:val="1006"/>
        </w:numPr>
      </w:pPr>
      <w:r>
        <w:t xml:space="preserve">Use both</w:t>
      </w:r>
      <w:r>
        <w:t xml:space="preserve"> </w:t>
      </w:r>
      <w:r>
        <w:rPr>
          <w:b/>
          <w:bCs/>
        </w:rPr>
        <w:t xml:space="preserve">positive framing</w:t>
      </w:r>
      <w:r>
        <w:t xml:space="preserve"> </w:t>
      </w:r>
      <w:r>
        <w:t xml:space="preserve">(“Speak with…” / “Prioritize…”) and</w:t>
      </w:r>
      <w:r>
        <w:t xml:space="preserve"> </w:t>
      </w:r>
      <w:r>
        <w:rPr>
          <w:b/>
          <w:bCs/>
        </w:rPr>
        <w:t xml:space="preserve">exclusions</w:t>
      </w:r>
      <w:r>
        <w:t xml:space="preserve"> </w:t>
      </w:r>
      <w:r>
        <w:t xml:space="preserve">(“Avoid…”).</w:t>
      </w:r>
    </w:p>
    <w:p>
      <w:pPr>
        <w:pStyle w:val="Compact"/>
        <w:numPr>
          <w:ilvl w:val="0"/>
          <w:numId w:val="1006"/>
        </w:numPr>
      </w:pPr>
      <w:r>
        <w:t xml:space="preserve">GPT-5 voice tuning: Add “prosody” instructions if using Advanced Voice mode (e.g., pacing, emphasis, pauses).</w:t>
      </w:r>
    </w:p>
    <w:p>
      <w:pPr>
        <w:pStyle w:val="Compact"/>
        <w:numPr>
          <w:ilvl w:val="0"/>
          <w:numId w:val="1006"/>
        </w:numPr>
      </w:pPr>
      <w:r>
        <w:t xml:space="preserve">Reinforce persona</w:t>
      </w:r>
      <w:r>
        <w:t xml:space="preserve"> </w:t>
      </w:r>
      <w:r>
        <w:rPr>
          <w:b/>
          <w:bCs/>
        </w:rPr>
        <w:t xml:space="preserve">before</w:t>
      </w:r>
      <w:r>
        <w:t xml:space="preserve"> </w:t>
      </w:r>
      <w:r>
        <w:t xml:space="preserve">introducing functional logic — tone locks in early.</w:t>
      </w:r>
    </w:p>
    <w:p>
      <w:pPr>
        <w:pStyle w:val="FirstParagraph"/>
      </w:pPr>
      <w:r>
        <w:rPr>
          <w:b/>
          <w:bCs/>
        </w:rPr>
        <w:t xml:space="preserve">Example:</w:t>
      </w:r>
    </w:p>
    <w:p>
      <w:pPr>
        <w:pStyle w:val="SourceCode"/>
      </w:pPr>
      <w:r>
        <w:rPr>
          <w:rStyle w:val="VerbatimChar"/>
        </w:rPr>
        <w:t xml:space="preserve">Behavioral Boundaries:  </w:t>
      </w:r>
      <w:r>
        <w:br/>
      </w:r>
      <w:r>
        <w:rPr>
          <w:rStyle w:val="VerbatimChar"/>
        </w:rPr>
        <w:t xml:space="preserve">- Never produce placeholder text; always offer a complete, coherent response.  </w:t>
      </w:r>
      <w:r>
        <w:br/>
      </w:r>
      <w:r>
        <w:rPr>
          <w:rStyle w:val="VerbatimChar"/>
        </w:rPr>
        <w:t xml:space="preserve">- Avoid sarcasm unless explicitly requested.  </w:t>
      </w:r>
      <w:r>
        <w:br/>
      </w:r>
      <w:r>
        <w:rPr>
          <w:rStyle w:val="VerbatimChar"/>
        </w:rPr>
        <w:t xml:space="preserve">- Always verify numerical accuracy before delivering output.</w:t>
      </w:r>
      <w:r>
        <w:br/>
      </w:r>
      <w:r>
        <w:br/>
      </w:r>
      <w:r>
        <w:rPr>
          <w:rStyle w:val="VerbatimChar"/>
        </w:rPr>
        <w:t xml:space="preserve">Emotional Calibration:  </w:t>
      </w:r>
      <w:r>
        <w:br/>
      </w:r>
      <w:r>
        <w:rPr>
          <w:rStyle w:val="VerbatimChar"/>
        </w:rPr>
        <w:t xml:space="preserve">- Maintain a confident, mentoring tone with occasional dry humor.  </w:t>
      </w:r>
      <w:r>
        <w:br/>
      </w:r>
      <w:r>
        <w:rPr>
          <w:rStyle w:val="VerbatimChar"/>
        </w:rPr>
        <w:t xml:space="preserve">- Warmer tone when brainstorming, concise tone when delivering step-by-step technical instructions.</w:t>
      </w:r>
      <w:r>
        <w:br/>
      </w:r>
      <w:r>
        <w:br/>
      </w:r>
      <w:r>
        <w:rPr>
          <w:rStyle w:val="VerbatimChar"/>
        </w:rPr>
        <w:t xml:space="preserve">Narrative Filters:  </w:t>
      </w:r>
      <w:r>
        <w:br/>
      </w:r>
      <w:r>
        <w:rPr>
          <w:rStyle w:val="VerbatimChar"/>
        </w:rPr>
        <w:t xml:space="preserve">- Operate under the forge metaphor: the user brings raw ore (ideas), you refine, cast, and polish it into a functional tool.  </w:t>
      </w:r>
      <w:r>
        <w:br/>
      </w:r>
      <w:r>
        <w:rPr>
          <w:rStyle w:val="VerbatimChar"/>
        </w:rPr>
        <w:t xml:space="preserve">- Use metaphor in framing statements, but keep technical outputs metaphor-free for clarity.  </w:t>
      </w:r>
    </w:p>
    <w:p>
      <w:r>
        <w:pict>
          <v:rect style="width:0;height:1.5pt" o:hralign="center" o:hrstd="t" o:hr="t"/>
        </w:pict>
      </w:r>
    </w:p>
    <w:bookmarkEnd w:id="29"/>
    <w:bookmarkEnd w:id="30"/>
    <w:bookmarkStart w:id="34" w:name="emulation-roleplay-parameters"/>
    <w:p>
      <w:pPr>
        <w:pStyle w:val="Heading2"/>
      </w:pPr>
      <w:r>
        <w:rPr>
          <w:b/>
          <w:bCs/>
        </w:rPr>
        <w:t xml:space="preserve">3.</w:t>
      </w:r>
      <w:r>
        <w:rPr>
          <w:b/>
          <w:bCs/>
        </w:rPr>
        <w:t xml:space="preserve"> </w:t>
      </w:r>
      <w:r>
        <w:rPr>
          <w:rStyle w:val="VerbatimChar"/>
          <w:b/>
          <w:bCs/>
        </w:rPr>
        <w:t xml:space="preserve"># Emulation &amp; Roleplay Parameters</w:t>
      </w:r>
    </w:p>
    <w:p>
      <w:pPr>
        <w:pStyle w:val="FirstParagraph"/>
      </w:pPr>
      <w:r>
        <w:rPr>
          <w:b/>
          <w:bCs/>
        </w:rPr>
        <w:t xml:space="preserve">Purpose:</w:t>
      </w:r>
      <w:r>
        <w:br/>
      </w:r>
      <w:r>
        <w:t xml:space="preserve">Define which individual, archetype, or role the GPT is emulating — not just tone, but also decision-making style, reasoning priorities, and situational persona shifts.</w:t>
      </w:r>
    </w:p>
    <w:p>
      <w:pPr>
        <w:pStyle w:val="BodyText"/>
      </w:pPr>
      <w:r>
        <w:rPr>
          <w:b/>
          <w:bCs/>
        </w:rPr>
        <w:t xml:space="preserve">Subheads &amp; Guidance:</w:t>
      </w:r>
    </w:p>
    <w:p>
      <w:r>
        <w:pict>
          <v:rect style="width:0;height:1.5pt" o:hralign="center" o:hrstd="t" o:hr="t"/>
        </w:pict>
      </w:r>
    </w:p>
    <w:bookmarkStart w:id="31" w:name="primary-emulation-target"/>
    <w:p>
      <w:pPr>
        <w:pStyle w:val="Heading3"/>
      </w:pPr>
      <w:r>
        <w:rPr>
          <w:rStyle w:val="VerbatimChar"/>
          <w:b/>
          <w:bCs/>
        </w:rPr>
        <w:t xml:space="preserve">## Primary Emulation Target</w:t>
      </w:r>
    </w:p>
    <w:p>
      <w:pPr>
        <w:pStyle w:val="Compact"/>
        <w:numPr>
          <w:ilvl w:val="0"/>
          <w:numId w:val="1007"/>
        </w:numPr>
      </w:pPr>
      <w:r>
        <w:t xml:space="preserve">Can be a</w:t>
      </w:r>
      <w:r>
        <w:t xml:space="preserve"> </w:t>
      </w:r>
      <w:r>
        <w:rPr>
          <w:b/>
          <w:bCs/>
        </w:rPr>
        <w:t xml:space="preserve">real-world figure</w:t>
      </w:r>
      <w:r>
        <w:t xml:space="preserve">, a composite archetype, or an original fictional construct.</w:t>
      </w:r>
    </w:p>
    <w:p>
      <w:pPr>
        <w:pStyle w:val="Compact"/>
        <w:numPr>
          <w:ilvl w:val="0"/>
          <w:numId w:val="1007"/>
        </w:numPr>
      </w:pPr>
      <w:r>
        <w:t xml:space="preserve">Describe reasoning approach: “Solve problems like a senior systems architect with 20 years’ experience.”</w:t>
      </w:r>
    </w:p>
    <w:p>
      <w:pPr>
        <w:pStyle w:val="Compact"/>
        <w:numPr>
          <w:ilvl w:val="0"/>
          <w:numId w:val="1007"/>
        </w:numPr>
      </w:pPr>
      <w:r>
        <w:t xml:space="preserve">State how this target reacts under stress, handles ambiguity, or prioritizes actions.</w:t>
      </w:r>
    </w:p>
    <w:bookmarkEnd w:id="31"/>
    <w:bookmarkStart w:id="32" w:name="secondary-voice-or-style"/>
    <w:p>
      <w:pPr>
        <w:pStyle w:val="Heading3"/>
      </w:pPr>
      <w:r>
        <w:rPr>
          <w:rStyle w:val="VerbatimChar"/>
          <w:b/>
          <w:bCs/>
        </w:rPr>
        <w:t xml:space="preserve">## Secondary Voice or Style</w:t>
      </w:r>
    </w:p>
    <w:p>
      <w:pPr>
        <w:pStyle w:val="Compact"/>
        <w:numPr>
          <w:ilvl w:val="0"/>
          <w:numId w:val="1008"/>
        </w:numPr>
      </w:pPr>
      <w:r>
        <w:t xml:space="preserve">Add a secondary style for</w:t>
      </w:r>
      <w:r>
        <w:t xml:space="preserve"> </w:t>
      </w:r>
      <w:r>
        <w:rPr>
          <w:b/>
          <w:bCs/>
        </w:rPr>
        <w:t xml:space="preserve">contextual blending</w:t>
      </w:r>
      <w:r>
        <w:t xml:space="preserve"> </w:t>
      </w:r>
      <w:r>
        <w:t xml:space="preserve">(e.g., “Mix the storytelling clarity of a narrative designer with the rigor of a process engineer”).</w:t>
      </w:r>
    </w:p>
    <w:p>
      <w:pPr>
        <w:pStyle w:val="Compact"/>
        <w:numPr>
          <w:ilvl w:val="0"/>
          <w:numId w:val="1008"/>
        </w:numPr>
      </w:pPr>
      <w:r>
        <w:t xml:space="preserve">Define activation: “Switch to secondary style during teaching moments or when explaining errors.”</w:t>
      </w:r>
    </w:p>
    <w:bookmarkEnd w:id="32"/>
    <w:bookmarkStart w:id="33" w:name="symbolic-overlays"/>
    <w:p>
      <w:pPr>
        <w:pStyle w:val="Heading3"/>
      </w:pPr>
      <w:r>
        <w:rPr>
          <w:rStyle w:val="VerbatimChar"/>
          <w:b/>
          <w:bCs/>
        </w:rPr>
        <w:t xml:space="preserve">## Symbolic Overlays</w:t>
      </w:r>
    </w:p>
    <w:p>
      <w:pPr>
        <w:pStyle w:val="Compact"/>
        <w:numPr>
          <w:ilvl w:val="0"/>
          <w:numId w:val="1009"/>
        </w:numPr>
      </w:pPr>
      <w:r>
        <w:t xml:space="preserve">If using ecosystem lore:</w:t>
      </w:r>
    </w:p>
    <w:p>
      <w:pPr>
        <w:pStyle w:val="Compact"/>
        <w:numPr>
          <w:ilvl w:val="0"/>
          <w:numId w:val="1009"/>
        </w:numPr>
      </w:pPr>
      <w:r>
        <w:t xml:space="preserve">Assign symbolic layer (“ForgeLayer tone”, “Aurifex-R recursion”).</w:t>
      </w:r>
    </w:p>
    <w:p>
      <w:pPr>
        <w:pStyle w:val="Compact"/>
        <w:numPr>
          <w:ilvl w:val="0"/>
          <w:numId w:val="1009"/>
        </w:numPr>
      </w:pPr>
      <w:r>
        <w:t xml:space="preserve">Define meaning of each symbol within output (e.g., 🪚 = major decision branch; 🍃 = minor supporting detail).</w:t>
      </w:r>
    </w:p>
    <w:p>
      <w:pPr>
        <w:pStyle w:val="FirstParagraph"/>
      </w:pPr>
      <w:r>
        <w:rPr>
          <w:b/>
          <w:bCs/>
        </w:rPr>
        <w:t xml:space="preserve">Best Practices:</w:t>
      </w:r>
    </w:p>
    <w:p>
      <w:pPr>
        <w:pStyle w:val="Compact"/>
        <w:numPr>
          <w:ilvl w:val="0"/>
          <w:numId w:val="1010"/>
        </w:numPr>
      </w:pPr>
      <w:r>
        <w:t xml:space="preserve">Avoid vague emulation (“act like a teacher”) — specify</w:t>
      </w:r>
      <w:r>
        <w:t xml:space="preserve"> </w:t>
      </w:r>
      <w:r>
        <w:rPr>
          <w:i/>
          <w:iCs/>
        </w:rPr>
        <w:t xml:space="preserve">type</w:t>
      </w:r>
      <w:r>
        <w:t xml:space="preserve">,</w:t>
      </w:r>
      <w:r>
        <w:t xml:space="preserve"> </w:t>
      </w:r>
      <w:r>
        <w:rPr>
          <w:i/>
          <w:iCs/>
        </w:rPr>
        <w:t xml:space="preserve">domain</w:t>
      </w:r>
      <w:r>
        <w:t xml:space="preserve">, and</w:t>
      </w:r>
      <w:r>
        <w:t xml:space="preserve"> </w:t>
      </w:r>
      <w:r>
        <w:rPr>
          <w:i/>
          <w:iCs/>
        </w:rPr>
        <w:t xml:space="preserve">methodology</w:t>
      </w:r>
      <w:r>
        <w:t xml:space="preserve">.</w:t>
      </w:r>
    </w:p>
    <w:p>
      <w:pPr>
        <w:pStyle w:val="Compact"/>
        <w:numPr>
          <w:ilvl w:val="0"/>
          <w:numId w:val="1010"/>
        </w:numPr>
      </w:pPr>
      <w:r>
        <w:t xml:space="preserve">When combining personas, give rules for</w:t>
      </w:r>
      <w:r>
        <w:t xml:space="preserve"> </w:t>
      </w:r>
      <w:r>
        <w:rPr>
          <w:b/>
          <w:bCs/>
        </w:rPr>
        <w:t xml:space="preserve">which takes precedence</w:t>
      </w:r>
      <w:r>
        <w:t xml:space="preserve">.</w:t>
      </w:r>
    </w:p>
    <w:p>
      <w:pPr>
        <w:pStyle w:val="Compact"/>
        <w:numPr>
          <w:ilvl w:val="0"/>
          <w:numId w:val="1010"/>
        </w:numPr>
      </w:pPr>
      <w:r>
        <w:t xml:space="preserve">GPT-5 note: Emulation layering works better if you give</w:t>
      </w:r>
      <w:r>
        <w:t xml:space="preserve"> </w:t>
      </w:r>
      <w:r>
        <w:rPr>
          <w:b/>
          <w:bCs/>
        </w:rPr>
        <w:t xml:space="preserve">role-anchored “if/then” tone triggers</w:t>
      </w:r>
      <w:r>
        <w:t xml:space="preserve"> </w:t>
      </w:r>
      <w:r>
        <w:t xml:space="preserve">in logic.</w:t>
      </w:r>
    </w:p>
    <w:p>
      <w:pPr>
        <w:pStyle w:val="FirstParagraph"/>
      </w:pPr>
      <w:r>
        <w:rPr>
          <w:b/>
          <w:bCs/>
        </w:rPr>
        <w:t xml:space="preserve">Example:</w:t>
      </w:r>
    </w:p>
    <w:p>
      <w:pPr>
        <w:pStyle w:val="SourceCode"/>
      </w:pPr>
      <w:r>
        <w:rPr>
          <w:rStyle w:val="VerbatimChar"/>
        </w:rPr>
        <w:t xml:space="preserve">Primary Emulation Target:  </w:t>
      </w:r>
      <w:r>
        <w:br/>
      </w:r>
      <w:r>
        <w:rPr>
          <w:rStyle w:val="VerbatimChar"/>
        </w:rPr>
        <w:t xml:space="preserve">- Operate like a veteran enterprise solutions architect specializing in multi-system integrations.</w:t>
      </w:r>
      <w:r>
        <w:br/>
      </w:r>
      <w:r>
        <w:br/>
      </w:r>
      <w:r>
        <w:rPr>
          <w:rStyle w:val="VerbatimChar"/>
        </w:rPr>
        <w:t xml:space="preserve">Secondary Voice or Style:  </w:t>
      </w:r>
      <w:r>
        <w:br/>
      </w:r>
      <w:r>
        <w:rPr>
          <w:rStyle w:val="VerbatimChar"/>
        </w:rPr>
        <w:t xml:space="preserve">- When presenting creative options, switch to the style of a collaborative workshop facilitator.</w:t>
      </w:r>
      <w:r>
        <w:br/>
      </w:r>
      <w:r>
        <w:br/>
      </w:r>
      <w:r>
        <w:rPr>
          <w:rStyle w:val="VerbatimChar"/>
        </w:rPr>
        <w:t xml:space="preserve">Symbolic Overlays:  </w:t>
      </w:r>
      <w:r>
        <w:br/>
      </w:r>
      <w:r>
        <w:rPr>
          <w:rStyle w:val="VerbatimChar"/>
        </w:rPr>
        <w:t xml:space="preserve">- 🪚 denotes key decision branches in process flow.  </w:t>
      </w:r>
      <w:r>
        <w:br/>
      </w:r>
      <w:r>
        <w:rPr>
          <w:rStyle w:val="VerbatimChar"/>
        </w:rPr>
        <w:t xml:space="preserve">- 🍃 marks optional enhancements or best practice recommendations.  </w:t>
      </w:r>
    </w:p>
    <w:p>
      <w:r>
        <w:pict>
          <v:rect style="width:0;height:1.5pt" o:hralign="center" o:hrstd="t" o:hr="t"/>
        </w:pict>
      </w:r>
    </w:p>
    <w:bookmarkEnd w:id="33"/>
    <w:bookmarkEnd w:id="34"/>
    <w:bookmarkStart w:id="35" w:name="section-3"/>
    <w:p>
      <w:pPr>
        <w:pStyle w:val="Heading2"/>
      </w:pPr>
      <w:r>
        <w:t xml:space="preserve">***</w:t>
      </w:r>
    </w:p>
    <w:bookmarkEnd w:id="35"/>
    <w:bookmarkEnd w:id="36"/>
    <w:bookmarkStart w:id="47" w:name="ii.-response-structure-formatting"/>
    <w:p>
      <w:pPr>
        <w:pStyle w:val="Heading1"/>
      </w:pPr>
      <w:r>
        <w:rPr>
          <w:b/>
          <w:bCs/>
        </w:rPr>
        <w:t xml:space="preserve">II. RESPONSE STRUCTURE &amp; FORMATTING</w:t>
      </w:r>
    </w:p>
    <w:p>
      <w:pPr>
        <w:pStyle w:val="BlockText"/>
      </w:pPr>
      <w:r>
        <w:rPr>
          <w:i/>
          <w:iCs/>
        </w:rPr>
        <w:t xml:space="preserve">Purpose:</w:t>
      </w:r>
      <w:r>
        <w:t xml:space="preserve"> </w:t>
      </w:r>
      <w:r>
        <w:t xml:space="preserve">This is where we lock in</w:t>
      </w:r>
      <w:r>
        <w:t xml:space="preserve"> </w:t>
      </w:r>
      <w:r>
        <w:rPr>
          <w:i/>
          <w:iCs/>
        </w:rPr>
        <w:t xml:space="preserve">how</w:t>
      </w:r>
      <w:r>
        <w:t xml:space="preserve"> </w:t>
      </w:r>
      <w:r>
        <w:t xml:space="preserve">the GPT expresses its answers — the skeleton of delivery, the container into which all reasoning and persona flow. Without this, even the sharpest logic ends up sloshing around without shape or presentation discipline.</w:t>
      </w:r>
    </w:p>
    <w:p>
      <w:r>
        <w:pict>
          <v:rect style="width:0;height:1.5pt" o:hralign="center" o:hrstd="t" o:hr="t"/>
        </w:pict>
      </w:r>
    </w:p>
    <w:bookmarkStart w:id="40" w:name="output-format-rules"/>
    <w:p>
      <w:pPr>
        <w:pStyle w:val="Heading2"/>
      </w:pPr>
      <w:r>
        <w:rPr>
          <w:b/>
          <w:bCs/>
        </w:rPr>
        <w:t xml:space="preserve">4.</w:t>
      </w:r>
      <w:r>
        <w:rPr>
          <w:b/>
          <w:bCs/>
        </w:rPr>
        <w:t xml:space="preserve"> </w:t>
      </w:r>
      <w:r>
        <w:rPr>
          <w:rStyle w:val="VerbatimChar"/>
          <w:b/>
          <w:bCs/>
        </w:rPr>
        <w:t xml:space="preserve"># Output Format Rules</w:t>
      </w:r>
    </w:p>
    <w:p>
      <w:pPr>
        <w:pStyle w:val="FirstParagraph"/>
      </w:pPr>
      <w:r>
        <w:rPr>
          <w:b/>
          <w:bCs/>
        </w:rPr>
        <w:t xml:space="preserve">Purpose:</w:t>
      </w:r>
      <w:r>
        <w:br/>
      </w:r>
      <w:r>
        <w:t xml:space="preserve">Dictates the exact structural conventions, formatting triggers, and layout styles the GPT will follow — making the output predictable, parseable, and stylistically consistent no matter the complexity of the user’s request.</w:t>
      </w:r>
    </w:p>
    <w:p>
      <w:pPr>
        <w:pStyle w:val="BodyText"/>
      </w:pPr>
      <w:r>
        <w:rPr>
          <w:b/>
          <w:bCs/>
        </w:rPr>
        <w:t xml:space="preserve">Subheads &amp; Guidance:</w:t>
      </w:r>
    </w:p>
    <w:p>
      <w:r>
        <w:pict>
          <v:rect style="width:0;height:1.5pt" o:hralign="center" o:hrstd="t" o:hr="t"/>
        </w:pict>
      </w:r>
    </w:p>
    <w:bookmarkStart w:id="37" w:name="structural-conventions"/>
    <w:p>
      <w:pPr>
        <w:pStyle w:val="Heading3"/>
      </w:pPr>
      <w:r>
        <w:rPr>
          <w:rStyle w:val="VerbatimChar"/>
          <w:b/>
          <w:bCs/>
        </w:rPr>
        <w:t xml:space="preserve">## Structural Conventions</w:t>
      </w:r>
    </w:p>
    <w:p>
      <w:pPr>
        <w:pStyle w:val="Compact"/>
        <w:numPr>
          <w:ilvl w:val="0"/>
          <w:numId w:val="1011"/>
        </w:numPr>
      </w:pPr>
      <w:r>
        <w:t xml:space="preserve">Always</w:t>
      </w:r>
      <w:r>
        <w:t xml:space="preserve"> </w:t>
      </w:r>
      <w:r>
        <w:rPr>
          <w:b/>
          <w:bCs/>
        </w:rPr>
        <w:t xml:space="preserve">declare output sections with Markdown headings</w:t>
      </w:r>
      <w:r>
        <w:t xml:space="preserve"> </w:t>
      </w:r>
      <w:r>
        <w:t xml:space="preserve">unless the user specifically requests a raw format.</w:t>
      </w:r>
    </w:p>
    <w:p>
      <w:pPr>
        <w:pStyle w:val="Compact"/>
        <w:numPr>
          <w:ilvl w:val="0"/>
          <w:numId w:val="1011"/>
        </w:numPr>
      </w:pPr>
      <w:r>
        <w:t xml:space="preserve">Use</w:t>
      </w:r>
      <w:r>
        <w:t xml:space="preserve"> </w:t>
      </w:r>
      <w:r>
        <w:rPr>
          <w:b/>
          <w:bCs/>
        </w:rPr>
        <w:t xml:space="preserve">bullet points for clarity</w:t>
      </w:r>
      <w:r>
        <w:t xml:space="preserve"> </w:t>
      </w:r>
      <w:r>
        <w:t xml:space="preserve">when presenting lists, options, or action items; no run-on paragraphs when distinct points are present.</w:t>
      </w:r>
    </w:p>
    <w:p>
      <w:pPr>
        <w:pStyle w:val="Compact"/>
        <w:numPr>
          <w:ilvl w:val="0"/>
          <w:numId w:val="1011"/>
        </w:numPr>
      </w:pPr>
      <w:r>
        <w:t xml:space="preserve">Default to</w:t>
      </w:r>
      <w:r>
        <w:t xml:space="preserve"> </w:t>
      </w:r>
      <w:r>
        <w:rPr>
          <w:b/>
          <w:bCs/>
        </w:rPr>
        <w:t xml:space="preserve">code-fenced blocks</w:t>
      </w:r>
      <w:r>
        <w:t xml:space="preserve"> </w:t>
      </w:r>
      <w:r>
        <w:t xml:space="preserve">(</w:t>
      </w:r>
      <w:r>
        <w:rPr>
          <w:rStyle w:val="VerbatimChar"/>
        </w:rPr>
        <w:t xml:space="preserve">```markdown</w:t>
      </w:r>
      <w:r>
        <w:t xml:space="preserve">,</w:t>
      </w:r>
      <w:r>
        <w:t xml:space="preserve"> </w:t>
      </w:r>
      <w:r>
        <w:rPr>
          <w:rStyle w:val="VerbatimChar"/>
        </w:rPr>
        <w:t xml:space="preserve">```yaml</w:t>
      </w:r>
      <w:r>
        <w:t xml:space="preserve">,</w:t>
      </w:r>
      <w:r>
        <w:t xml:space="preserve"> </w:t>
      </w:r>
      <w:r>
        <w:rPr>
          <w:rStyle w:val="VerbatimChar"/>
        </w:rPr>
        <w:t xml:space="preserve">```json</w:t>
      </w:r>
      <w:r>
        <w:t xml:space="preserve">) when delivering technical or schema-based data — never inline technical payloads unless brevity is critical.</w:t>
      </w:r>
    </w:p>
    <w:p>
      <w:pPr>
        <w:pStyle w:val="Compact"/>
        <w:numPr>
          <w:ilvl w:val="0"/>
          <w:numId w:val="1011"/>
        </w:numPr>
      </w:pPr>
      <w:r>
        <w:t xml:space="preserve">Apply</w:t>
      </w:r>
      <w:r>
        <w:t xml:space="preserve"> </w:t>
      </w:r>
      <w:r>
        <w:rPr>
          <w:b/>
          <w:bCs/>
        </w:rPr>
        <w:t xml:space="preserve">consistent indentation</w:t>
      </w:r>
      <w:r>
        <w:t xml:space="preserve"> </w:t>
      </w:r>
      <w:r>
        <w:t xml:space="preserve">for nested lists, decision trees, or pseudocode — no mixed tab/space chaos.</w:t>
      </w:r>
    </w:p>
    <w:p>
      <w:pPr>
        <w:pStyle w:val="Compact"/>
        <w:numPr>
          <w:ilvl w:val="0"/>
          <w:numId w:val="1011"/>
        </w:numPr>
      </w:pPr>
      <w:r>
        <w:t xml:space="preserve">For GPT-5 with</w:t>
      </w:r>
      <w:r>
        <w:t xml:space="preserve"> </w:t>
      </w:r>
      <w:r>
        <w:rPr>
          <w:b/>
          <w:bCs/>
        </w:rPr>
        <w:t xml:space="preserve">Advanced Voice Mode</w:t>
      </w:r>
      <w:r>
        <w:t xml:space="preserve"> </w:t>
      </w:r>
      <w:r>
        <w:t xml:space="preserve">active: break complex outputs into smaller paragraph units, each standing alone semantically, to avoid audio delivery becoming a breathless dump.</w:t>
      </w:r>
    </w:p>
    <w:bookmarkEnd w:id="37"/>
    <w:bookmarkStart w:id="38" w:name="output-phases-if-multi-step"/>
    <w:p>
      <w:pPr>
        <w:pStyle w:val="Heading3"/>
      </w:pPr>
      <w:r>
        <w:rPr>
          <w:rStyle w:val="VerbatimChar"/>
          <w:b/>
          <w:bCs/>
        </w:rPr>
        <w:t xml:space="preserve">## Output Phases (if multi-step)</w:t>
      </w:r>
    </w:p>
    <w:p>
      <w:pPr>
        <w:pStyle w:val="Compact"/>
        <w:numPr>
          <w:ilvl w:val="0"/>
          <w:numId w:val="1012"/>
        </w:numPr>
      </w:pPr>
      <w:r>
        <w:t xml:space="preserve">For multi-phase outputs,</w:t>
      </w:r>
      <w:r>
        <w:t xml:space="preserve"> </w:t>
      </w:r>
      <w:r>
        <w:rPr>
          <w:b/>
          <w:bCs/>
        </w:rPr>
        <w:t xml:space="preserve">label each phase clearly</w:t>
      </w:r>
      <w:r>
        <w:t xml:space="preserve"> </w:t>
      </w:r>
      <w:r>
        <w:t xml:space="preserve">(e.g., “Phase 1 — Requirements Capture”, “Phase 2 — Model Synthesis”).</w:t>
      </w:r>
    </w:p>
    <w:p>
      <w:pPr>
        <w:pStyle w:val="Compact"/>
        <w:numPr>
          <w:ilvl w:val="0"/>
          <w:numId w:val="1012"/>
        </w:numPr>
      </w:pPr>
      <w:r>
        <w:t xml:space="preserve">Always use</w:t>
      </w:r>
      <w:r>
        <w:t xml:space="preserve"> </w:t>
      </w:r>
      <w:r>
        <w:rPr>
          <w:i/>
          <w:iCs/>
        </w:rPr>
        <w:t xml:space="preserve">chronological or logical sequence labels</w:t>
      </w:r>
      <w:r>
        <w:t xml:space="preserve">, never “Step 1, Step 2” without context — steps should tell the story of what they accomplish.</w:t>
      </w:r>
    </w:p>
    <w:p>
      <w:pPr>
        <w:pStyle w:val="Compact"/>
        <w:numPr>
          <w:ilvl w:val="0"/>
          <w:numId w:val="1012"/>
        </w:numPr>
      </w:pPr>
      <w:r>
        <w:t xml:space="preserve">In multi-phase modes,</w:t>
      </w:r>
      <w:r>
        <w:t xml:space="preserve"> </w:t>
      </w:r>
      <w:r>
        <w:rPr>
          <w:b/>
          <w:bCs/>
        </w:rPr>
        <w:t xml:space="preserve">visually separate phases with horizontal rules (</w:t>
      </w:r>
      <w:r>
        <w:rPr>
          <w:rStyle w:val="VerbatimChar"/>
          <w:b/>
          <w:bCs/>
        </w:rPr>
        <w:t xml:space="preserve">---</w:t>
      </w:r>
      <w:r>
        <w:rPr>
          <w:b/>
          <w:bCs/>
        </w:rPr>
        <w:t xml:space="preserve">)</w:t>
      </w:r>
      <w:r>
        <w:t xml:space="preserve"> </w:t>
      </w:r>
      <w:r>
        <w:t xml:space="preserve">for faster scanning.</w:t>
      </w:r>
    </w:p>
    <w:bookmarkEnd w:id="38"/>
    <w:bookmarkStart w:id="39" w:name="conditional-format-triggers"/>
    <w:p>
      <w:pPr>
        <w:pStyle w:val="Heading3"/>
      </w:pPr>
      <w:r>
        <w:rPr>
          <w:rStyle w:val="VerbatimChar"/>
          <w:b/>
          <w:bCs/>
        </w:rPr>
        <w:t xml:space="preserve">## Conditional Format Triggers</w:t>
      </w:r>
    </w:p>
    <w:p>
      <w:pPr>
        <w:pStyle w:val="Compact"/>
        <w:numPr>
          <w:ilvl w:val="0"/>
          <w:numId w:val="1013"/>
        </w:numPr>
      </w:pPr>
      <w:r>
        <w:t xml:space="preserve">If comparing</w:t>
      </w:r>
      <w:r>
        <w:t xml:space="preserve"> </w:t>
      </w:r>
      <w:r>
        <w:rPr>
          <w:b/>
          <w:bCs/>
        </w:rPr>
        <w:t xml:space="preserve">three or more</w:t>
      </w:r>
      <w:r>
        <w:t xml:space="preserve"> </w:t>
      </w:r>
      <w:r>
        <w:t xml:space="preserve">entities → use a Markdown table.</w:t>
      </w:r>
    </w:p>
    <w:p>
      <w:pPr>
        <w:pStyle w:val="Compact"/>
        <w:numPr>
          <w:ilvl w:val="0"/>
          <w:numId w:val="1013"/>
        </w:numPr>
      </w:pPr>
      <w:r>
        <w:t xml:space="preserve">If output is intended for</w:t>
      </w:r>
      <w:r>
        <w:t xml:space="preserve"> </w:t>
      </w:r>
      <w:r>
        <w:rPr>
          <w:b/>
          <w:bCs/>
        </w:rPr>
        <w:t xml:space="preserve">direct machine ingestion</w:t>
      </w:r>
      <w:r>
        <w:t xml:space="preserve"> </w:t>
      </w:r>
      <w:r>
        <w:t xml:space="preserve">→ use YAML or JSON exclusively, without human commentary.</w:t>
      </w:r>
    </w:p>
    <w:p>
      <w:pPr>
        <w:pStyle w:val="Compact"/>
        <w:numPr>
          <w:ilvl w:val="0"/>
          <w:numId w:val="1013"/>
        </w:numPr>
      </w:pPr>
      <w:r>
        <w:t xml:space="preserve">If user input contains a</w:t>
      </w:r>
      <w:r>
        <w:t xml:space="preserve"> </w:t>
      </w:r>
      <w:r>
        <w:rPr>
          <w:b/>
          <w:bCs/>
        </w:rPr>
        <w:t xml:space="preserve">single-sentence request</w:t>
      </w:r>
      <w:r>
        <w:t xml:space="preserve"> </w:t>
      </w:r>
      <w:r>
        <w:t xml:space="preserve">→ respond concisely but still retain defined structure; don’t abandon headings entirely.</w:t>
      </w:r>
    </w:p>
    <w:p>
      <w:pPr>
        <w:pStyle w:val="Compact"/>
        <w:numPr>
          <w:ilvl w:val="0"/>
          <w:numId w:val="1013"/>
        </w:numPr>
      </w:pPr>
      <w:r>
        <w:t xml:space="preserve">If the request is</w:t>
      </w:r>
      <w:r>
        <w:t xml:space="preserve"> </w:t>
      </w:r>
      <w:r>
        <w:rPr>
          <w:b/>
          <w:bCs/>
        </w:rPr>
        <w:t xml:space="preserve">ambiguous but output format is specified</w:t>
      </w:r>
      <w:r>
        <w:t xml:space="preserve"> </w:t>
      </w:r>
      <w:r>
        <w:t xml:space="preserve">→ honor format first, then embed clarification prompts</w:t>
      </w:r>
      <w:r>
        <w:t xml:space="preserve"> </w:t>
      </w:r>
      <w:r>
        <w:rPr>
          <w:i/>
          <w:iCs/>
        </w:rPr>
        <w:t xml:space="preserve">inside</w:t>
      </w:r>
      <w:r>
        <w:t xml:space="preserve"> </w:t>
      </w:r>
      <w:r>
        <w:t xml:space="preserve">a clearly marked “Assumptions” or “Pending Clarifications” section.</w:t>
      </w:r>
    </w:p>
    <w:p>
      <w:pPr>
        <w:pStyle w:val="FirstParagraph"/>
      </w:pPr>
      <w:r>
        <w:rPr>
          <w:b/>
          <w:bCs/>
        </w:rPr>
        <w:t xml:space="preserve">Best Practices:</w:t>
      </w:r>
    </w:p>
    <w:p>
      <w:pPr>
        <w:pStyle w:val="Compact"/>
        <w:numPr>
          <w:ilvl w:val="0"/>
          <w:numId w:val="1014"/>
        </w:numPr>
      </w:pPr>
      <w:r>
        <w:rPr>
          <w:b/>
          <w:bCs/>
        </w:rPr>
        <w:t xml:space="preserve">Front-load</w:t>
      </w:r>
      <w:r>
        <w:t xml:space="preserve"> </w:t>
      </w:r>
      <w:r>
        <w:t xml:space="preserve">output with the summary or TL;DR if the content is longer than 1,000 characters.</w:t>
      </w:r>
    </w:p>
    <w:p>
      <w:pPr>
        <w:pStyle w:val="Compact"/>
        <w:numPr>
          <w:ilvl w:val="0"/>
          <w:numId w:val="1014"/>
        </w:numPr>
      </w:pPr>
      <w:r>
        <w:t xml:space="preserve">Never mix human-readable text and machine-readable code in the</w:t>
      </w:r>
      <w:r>
        <w:t xml:space="preserve"> </w:t>
      </w:r>
      <w:r>
        <w:rPr>
          <w:i/>
          <w:iCs/>
        </w:rPr>
        <w:t xml:space="preserve">same</w:t>
      </w:r>
      <w:r>
        <w:t xml:space="preserve"> </w:t>
      </w:r>
      <w:r>
        <w:t xml:space="preserve">fenced block — that’s asking for misinterpretation later.</w:t>
      </w:r>
    </w:p>
    <w:p>
      <w:pPr>
        <w:pStyle w:val="Compact"/>
        <w:numPr>
          <w:ilvl w:val="0"/>
          <w:numId w:val="1014"/>
        </w:numPr>
      </w:pPr>
      <w:r>
        <w:t xml:space="preserve">Embed</w:t>
      </w:r>
      <w:r>
        <w:t xml:space="preserve"> </w:t>
      </w:r>
      <w:r>
        <w:rPr>
          <w:b/>
          <w:bCs/>
        </w:rPr>
        <w:t xml:space="preserve">output intent</w:t>
      </w:r>
      <w:r>
        <w:t xml:space="preserve"> </w:t>
      </w:r>
      <w:r>
        <w:t xml:space="preserve">as a comment in YAML or JSON if the context matters for later rehydration.</w:t>
      </w:r>
    </w:p>
    <w:p>
      <w:pPr>
        <w:pStyle w:val="FirstParagraph"/>
      </w:pPr>
      <w:r>
        <w:rPr>
          <w:b/>
          <w:bCs/>
        </w:rPr>
        <w:t xml:space="preserve">Example:</w:t>
      </w:r>
    </w:p>
    <w:p>
      <w:pPr>
        <w:pStyle w:val="SourceCode"/>
      </w:pPr>
      <w:r>
        <w:rPr>
          <w:rStyle w:val="VerbatimChar"/>
        </w:rPr>
        <w:t xml:space="preserve">## Summary  </w:t>
      </w:r>
      <w:r>
        <w:br/>
      </w:r>
      <w:r>
        <w:rPr>
          <w:rStyle w:val="VerbatimChar"/>
        </w:rPr>
        <w:t xml:space="preserve">This is the distilled result of your request: [short answer here].</w:t>
      </w:r>
      <w:r>
        <w:br/>
      </w:r>
      <w:r>
        <w:br/>
      </w:r>
      <w:r>
        <w:rPr>
          <w:rStyle w:val="VerbatimChar"/>
        </w:rPr>
        <w:t xml:space="preserve">## Detailed Analysis  </w:t>
      </w:r>
      <w:r>
        <w:br/>
      </w:r>
      <w:r>
        <w:rPr>
          <w:rStyle w:val="VerbatimChar"/>
        </w:rPr>
        <w:t xml:space="preserve">- Point 1  </w:t>
      </w:r>
      <w:r>
        <w:br/>
      </w:r>
      <w:r>
        <w:rPr>
          <w:rStyle w:val="VerbatimChar"/>
        </w:rPr>
        <w:t xml:space="preserve">- Point 2  </w:t>
      </w:r>
      <w:r>
        <w:br/>
      </w:r>
      <w:r>
        <w:rPr>
          <w:rStyle w:val="VerbatimChar"/>
        </w:rPr>
        <w:t xml:space="preserve">- Point 3  </w:t>
      </w:r>
      <w:r>
        <w:br/>
      </w:r>
      <w:r>
        <w:br/>
      </w:r>
      <w:r>
        <w:rPr>
          <w:rStyle w:val="VerbatimChar"/>
        </w:rPr>
        <w:t xml:space="preserve">## Recommended Actions  </w:t>
      </w:r>
      <w:r>
        <w:br/>
      </w:r>
      <w:r>
        <w:rPr>
          <w:rStyle w:val="VerbatimChar"/>
        </w:rPr>
        <w:t xml:space="preserve">1. Do X  </w:t>
      </w:r>
      <w:r>
        <w:br/>
      </w:r>
      <w:r>
        <w:rPr>
          <w:rStyle w:val="VerbatimChar"/>
        </w:rPr>
        <w:t xml:space="preserve">2. Then Y  </w:t>
      </w:r>
      <w:r>
        <w:br/>
      </w:r>
      <w:r>
        <w:rPr>
          <w:rStyle w:val="VerbatimChar"/>
        </w:rPr>
        <w:t xml:space="preserve">3. Confirm Z  </w:t>
      </w:r>
      <w:r>
        <w:br/>
      </w:r>
      <w:r>
        <w:br/>
      </w:r>
      <w:r>
        <w:rPr>
          <w:rStyle w:val="VerbatimChar"/>
        </w:rPr>
        <w:t xml:space="preserve">---  </w:t>
      </w:r>
      <w:r>
        <w:br/>
      </w:r>
      <w:r>
        <w:rPr>
          <w:rStyle w:val="VerbatimChar"/>
        </w:rPr>
        <w:t xml:space="preserve">**Assumptions &amp; Clarifications Needed:**  </w:t>
      </w:r>
      <w:r>
        <w:br/>
      </w:r>
      <w:r>
        <w:rPr>
          <w:rStyle w:val="VerbatimChar"/>
        </w:rPr>
        <w:t xml:space="preserve">- Assumed timeframe: Q3  </w:t>
      </w:r>
      <w:r>
        <w:br/>
      </w:r>
      <w:r>
        <w:rPr>
          <w:rStyle w:val="VerbatimChar"/>
        </w:rPr>
        <w:t xml:space="preserve">- Awaiting system confirmation for data feed sync.  </w:t>
      </w:r>
    </w:p>
    <w:p>
      <w:r>
        <w:pict>
          <v:rect style="width:0;height:1.5pt" o:hralign="center" o:hrstd="t" o:hr="t"/>
        </w:pict>
      </w:r>
    </w:p>
    <w:bookmarkEnd w:id="39"/>
    <w:bookmarkEnd w:id="40"/>
    <w:bookmarkStart w:id="45" w:name="examples-few-shot-scenarios"/>
    <w:p>
      <w:pPr>
        <w:pStyle w:val="Heading2"/>
      </w:pPr>
      <w:r>
        <w:rPr>
          <w:b/>
          <w:bCs/>
        </w:rPr>
        <w:t xml:space="preserve">5.</w:t>
      </w:r>
      <w:r>
        <w:rPr>
          <w:b/>
          <w:bCs/>
        </w:rPr>
        <w:t xml:space="preserve"> </w:t>
      </w:r>
      <w:r>
        <w:rPr>
          <w:rStyle w:val="VerbatimChar"/>
          <w:b/>
          <w:bCs/>
        </w:rPr>
        <w:t xml:space="preserve"># Examples &amp; Few-Shot Scenarios</w:t>
      </w:r>
    </w:p>
    <w:p>
      <w:pPr>
        <w:pStyle w:val="FirstParagraph"/>
      </w:pPr>
      <w:r>
        <w:rPr>
          <w:b/>
          <w:bCs/>
        </w:rPr>
        <w:t xml:space="preserve">Purpose:</w:t>
      </w:r>
      <w:r>
        <w:br/>
      </w:r>
      <w:r>
        <w:t xml:space="preserve">Provides in-situ behavioral demonstrations — both “gold standard” responses and challenging cases. This is where the GPT learns, by example, exactly what</w:t>
      </w:r>
      <w:r>
        <w:t xml:space="preserve"> </w:t>
      </w:r>
      <w:r>
        <w:rPr>
          <w:i/>
          <w:iCs/>
        </w:rPr>
        <w:t xml:space="preserve">done right</w:t>
      </w:r>
      <w:r>
        <w:t xml:space="preserve"> </w:t>
      </w:r>
      <w:r>
        <w:t xml:space="preserve">looks like, and how to react when conditions aren’t ideal.</w:t>
      </w:r>
    </w:p>
    <w:p>
      <w:pPr>
        <w:pStyle w:val="BodyText"/>
      </w:pPr>
      <w:r>
        <w:rPr>
          <w:b/>
          <w:bCs/>
        </w:rPr>
        <w:t xml:space="preserve">Subheads &amp; Guidance:</w:t>
      </w:r>
    </w:p>
    <w:p>
      <w:r>
        <w:pict>
          <v:rect style="width:0;height:1.5pt" o:hralign="center" o:hrstd="t" o:hr="t"/>
        </w:pict>
      </w:r>
    </w:p>
    <w:bookmarkStart w:id="41" w:name="success-case"/>
    <w:p>
      <w:pPr>
        <w:pStyle w:val="Heading3"/>
      </w:pPr>
      <w:r>
        <w:rPr>
          <w:rStyle w:val="VerbatimChar"/>
          <w:b/>
          <w:bCs/>
        </w:rPr>
        <w:t xml:space="preserve">## Success Case</w:t>
      </w:r>
    </w:p>
    <w:p>
      <w:pPr>
        <w:pStyle w:val="Compact"/>
        <w:numPr>
          <w:ilvl w:val="0"/>
          <w:numId w:val="1015"/>
        </w:numPr>
      </w:pPr>
      <w:r>
        <w:t xml:space="preserve">Choose examples</w:t>
      </w:r>
      <w:r>
        <w:t xml:space="preserve"> </w:t>
      </w:r>
      <w:r>
        <w:rPr>
          <w:b/>
          <w:bCs/>
        </w:rPr>
        <w:t xml:space="preserve">from the GPT’s intended domain</w:t>
      </w:r>
      <w:r>
        <w:t xml:space="preserve"> </w:t>
      </w:r>
      <w:r>
        <w:t xml:space="preserve">— relevant context locks in pattern recognition far faster.</w:t>
      </w:r>
    </w:p>
    <w:p>
      <w:pPr>
        <w:pStyle w:val="Compact"/>
        <w:numPr>
          <w:ilvl w:val="0"/>
          <w:numId w:val="1015"/>
        </w:numPr>
      </w:pPr>
      <w:r>
        <w:t xml:space="preserve">Each success case should pair</w:t>
      </w:r>
      <w:r>
        <w:t xml:space="preserve"> </w:t>
      </w:r>
      <w:r>
        <w:rPr>
          <w:b/>
          <w:bCs/>
        </w:rPr>
        <w:t xml:space="preserve">input and output</w:t>
      </w:r>
      <w:r>
        <w:t xml:space="preserve">, clearly marked.</w:t>
      </w:r>
    </w:p>
    <w:p>
      <w:pPr>
        <w:pStyle w:val="Compact"/>
        <w:numPr>
          <w:ilvl w:val="0"/>
          <w:numId w:val="1015"/>
        </w:numPr>
      </w:pPr>
      <w:r>
        <w:t xml:space="preserve">Keep examples</w:t>
      </w:r>
      <w:r>
        <w:t xml:space="preserve"> </w:t>
      </w:r>
      <w:r>
        <w:rPr>
          <w:b/>
          <w:bCs/>
        </w:rPr>
        <w:t xml:space="preserve">stylistically diverse but behaviorally consistent</w:t>
      </w:r>
      <w:r>
        <w:t xml:space="preserve"> </w:t>
      </w:r>
      <w:r>
        <w:t xml:space="preserve">— e.g., different content topics but identical tone and structure rules applied.</w:t>
      </w:r>
    </w:p>
    <w:p>
      <w:pPr>
        <w:pStyle w:val="FirstParagraph"/>
      </w:pPr>
      <w:r>
        <w:rPr>
          <w:b/>
          <w:bCs/>
        </w:rPr>
        <w:t xml:space="preserve">Example:</w:t>
      </w:r>
    </w:p>
    <w:p>
      <w:pPr>
        <w:pStyle w:val="SourceCode"/>
      </w:pPr>
      <w:r>
        <w:rPr>
          <w:rStyle w:val="VerbatimChar"/>
        </w:rPr>
        <w:t xml:space="preserve">**User Input:**  </w:t>
      </w:r>
      <w:r>
        <w:br/>
      </w:r>
      <w:r>
        <w:rPr>
          <w:rStyle w:val="VerbatimChar"/>
        </w:rPr>
        <w:t xml:space="preserve">"Create a 5-step process for onboarding a new client."</w:t>
      </w:r>
      <w:r>
        <w:br/>
      </w:r>
      <w:r>
        <w:br/>
      </w:r>
      <w:r>
        <w:rPr>
          <w:rStyle w:val="VerbatimChar"/>
        </w:rPr>
        <w:t xml:space="preserve">**Expected Output:**  </w:t>
      </w:r>
      <w:r>
        <w:br/>
      </w:r>
      <w:r>
        <w:rPr>
          <w:rStyle w:val="VerbatimChar"/>
        </w:rPr>
        <w:t xml:space="preserve">## Client Onboarding Workflow  </w:t>
      </w:r>
      <w:r>
        <w:br/>
      </w:r>
      <w:r>
        <w:rPr>
          <w:rStyle w:val="VerbatimChar"/>
        </w:rPr>
        <w:t xml:space="preserve">1. Initial meeting &amp; requirements gathering  </w:t>
      </w:r>
      <w:r>
        <w:br/>
      </w:r>
      <w:r>
        <w:rPr>
          <w:rStyle w:val="VerbatimChar"/>
        </w:rPr>
        <w:t xml:space="preserve">2. Proposal drafting  </w:t>
      </w:r>
      <w:r>
        <w:br/>
      </w:r>
      <w:r>
        <w:rPr>
          <w:rStyle w:val="VerbatimChar"/>
        </w:rPr>
        <w:t xml:space="preserve">3. Contract signing  </w:t>
      </w:r>
      <w:r>
        <w:br/>
      </w:r>
      <w:r>
        <w:rPr>
          <w:rStyle w:val="VerbatimChar"/>
        </w:rPr>
        <w:t xml:space="preserve">4. System setup &amp; training  </w:t>
      </w:r>
      <w:r>
        <w:br/>
      </w:r>
      <w:r>
        <w:rPr>
          <w:rStyle w:val="VerbatimChar"/>
        </w:rPr>
        <w:t xml:space="preserve">5. First performance review  </w:t>
      </w:r>
    </w:p>
    <w:p>
      <w:r>
        <w:pict>
          <v:rect style="width:0;height:1.5pt" o:hralign="center" o:hrstd="t" o:hr="t"/>
        </w:pict>
      </w:r>
    </w:p>
    <w:bookmarkEnd w:id="41"/>
    <w:bookmarkStart w:id="42" w:name="edge-case"/>
    <w:p>
      <w:pPr>
        <w:pStyle w:val="Heading3"/>
      </w:pPr>
      <w:r>
        <w:rPr>
          <w:rStyle w:val="VerbatimChar"/>
          <w:b/>
          <w:bCs/>
        </w:rPr>
        <w:t xml:space="preserve">## Edge Case</w:t>
      </w:r>
    </w:p>
    <w:p>
      <w:pPr>
        <w:pStyle w:val="Compact"/>
        <w:numPr>
          <w:ilvl w:val="0"/>
          <w:numId w:val="1016"/>
        </w:numPr>
      </w:pPr>
      <w:r>
        <w:t xml:space="preserve">These show how the GPT handles</w:t>
      </w:r>
      <w:r>
        <w:t xml:space="preserve"> </w:t>
      </w:r>
      <w:r>
        <w:rPr>
          <w:i/>
          <w:iCs/>
        </w:rPr>
        <w:t xml:space="preserve">hard mode</w:t>
      </w:r>
      <w:r>
        <w:t xml:space="preserve">: incomplete inputs, overly broad requests, or conflicting instructions.</w:t>
      </w:r>
    </w:p>
    <w:p>
      <w:pPr>
        <w:pStyle w:val="Compact"/>
        <w:numPr>
          <w:ilvl w:val="0"/>
          <w:numId w:val="1016"/>
        </w:numPr>
      </w:pPr>
      <w:r>
        <w:t xml:space="preserve">Reinforce</w:t>
      </w:r>
      <w:r>
        <w:t xml:space="preserve"> </w:t>
      </w:r>
      <w:r>
        <w:rPr>
          <w:b/>
          <w:bCs/>
        </w:rPr>
        <w:t xml:space="preserve">ask vs. act</w:t>
      </w:r>
      <w:r>
        <w:t xml:space="preserve"> </w:t>
      </w:r>
      <w:r>
        <w:t xml:space="preserve">protocol — if ambiguity is too high, ask before acting; if partial clarity exists, deliver a structured response with assumptions clearly labeled.</w:t>
      </w:r>
    </w:p>
    <w:p>
      <w:pPr>
        <w:pStyle w:val="FirstParagraph"/>
      </w:pPr>
      <w:r>
        <w:rPr>
          <w:b/>
          <w:bCs/>
        </w:rPr>
        <w:t xml:space="preserve">Example:</w:t>
      </w:r>
    </w:p>
    <w:p>
      <w:pPr>
        <w:pStyle w:val="SourceCode"/>
      </w:pPr>
      <w:r>
        <w:rPr>
          <w:rStyle w:val="VerbatimChar"/>
        </w:rPr>
        <w:t xml:space="preserve">**User Input:**  </w:t>
      </w:r>
      <w:r>
        <w:br/>
      </w:r>
      <w:r>
        <w:rPr>
          <w:rStyle w:val="VerbatimChar"/>
        </w:rPr>
        <w:t xml:space="preserve">"Help me plan an event."</w:t>
      </w:r>
      <w:r>
        <w:br/>
      </w:r>
      <w:r>
        <w:br/>
      </w:r>
      <w:r>
        <w:rPr>
          <w:rStyle w:val="VerbatimChar"/>
        </w:rPr>
        <w:t xml:space="preserve">**Expected Output:**  </w:t>
      </w:r>
      <w:r>
        <w:br/>
      </w:r>
      <w:r>
        <w:rPr>
          <w:rStyle w:val="VerbatimChar"/>
        </w:rPr>
        <w:t xml:space="preserve">---  </w:t>
      </w:r>
      <w:r>
        <w:br/>
      </w:r>
      <w:r>
        <w:rPr>
          <w:rStyle w:val="VerbatimChar"/>
        </w:rPr>
        <w:t xml:space="preserve">## Assumptions  </w:t>
      </w:r>
      <w:r>
        <w:br/>
      </w:r>
      <w:r>
        <w:rPr>
          <w:rStyle w:val="VerbatimChar"/>
        </w:rPr>
        <w:t xml:space="preserve">- Event type: corporate workshop  </w:t>
      </w:r>
      <w:r>
        <w:br/>
      </w:r>
      <w:r>
        <w:rPr>
          <w:rStyle w:val="VerbatimChar"/>
        </w:rPr>
        <w:t xml:space="preserve">- Attendees: ~30  </w:t>
      </w:r>
      <w:r>
        <w:br/>
      </w:r>
      <w:r>
        <w:rPr>
          <w:rStyle w:val="VerbatimChar"/>
        </w:rPr>
        <w:t xml:space="preserve">- Date: 4–6 weeks from now  </w:t>
      </w:r>
      <w:r>
        <w:br/>
      </w:r>
      <w:r>
        <w:br/>
      </w:r>
      <w:r>
        <w:rPr>
          <w:rStyle w:val="VerbatimChar"/>
        </w:rPr>
        <w:t xml:space="preserve">## Recommended Next Steps  </w:t>
      </w:r>
      <w:r>
        <w:br/>
      </w:r>
      <w:r>
        <w:rPr>
          <w:rStyle w:val="VerbatimChar"/>
        </w:rPr>
        <w:t xml:space="preserve">1. Confirm location  </w:t>
      </w:r>
      <w:r>
        <w:br/>
      </w:r>
      <w:r>
        <w:rPr>
          <w:rStyle w:val="VerbatimChar"/>
        </w:rPr>
        <w:t xml:space="preserve">2. Secure speakers  </w:t>
      </w:r>
      <w:r>
        <w:br/>
      </w:r>
      <w:r>
        <w:rPr>
          <w:rStyle w:val="VerbatimChar"/>
        </w:rPr>
        <w:t xml:space="preserve">3. Arrange catering  </w:t>
      </w:r>
    </w:p>
    <w:p>
      <w:r>
        <w:pict>
          <v:rect style="width:0;height:1.5pt" o:hralign="center" o:hrstd="t" o:hr="t"/>
        </w:pict>
      </w:r>
    </w:p>
    <w:bookmarkEnd w:id="42"/>
    <w:bookmarkStart w:id="43" w:name="malformed-input"/>
    <w:p>
      <w:pPr>
        <w:pStyle w:val="Heading3"/>
      </w:pPr>
      <w:r>
        <w:rPr>
          <w:rStyle w:val="VerbatimChar"/>
          <w:b/>
          <w:bCs/>
        </w:rPr>
        <w:t xml:space="preserve">## Malformed Input</w:t>
      </w:r>
    </w:p>
    <w:p>
      <w:pPr>
        <w:pStyle w:val="Compact"/>
        <w:numPr>
          <w:ilvl w:val="0"/>
          <w:numId w:val="1017"/>
        </w:numPr>
      </w:pPr>
      <w:r>
        <w:t xml:space="preserve">Showcase handling for inputs that are technically or semantically broken.</w:t>
      </w:r>
    </w:p>
    <w:p>
      <w:pPr>
        <w:pStyle w:val="Compact"/>
        <w:numPr>
          <w:ilvl w:val="0"/>
          <w:numId w:val="1017"/>
        </w:numPr>
      </w:pPr>
      <w:r>
        <w:t xml:space="preserve">Use this to set</w:t>
      </w:r>
      <w:r>
        <w:t xml:space="preserve"> </w:t>
      </w:r>
      <w:r>
        <w:rPr>
          <w:b/>
          <w:bCs/>
        </w:rPr>
        <w:t xml:space="preserve">non-negotiable safeguards</w:t>
      </w:r>
      <w:r>
        <w:t xml:space="preserve"> </w:t>
      </w:r>
      <w:r>
        <w:t xml:space="preserve">— GPT must never output unverified or hallucinated content when inputs are corrupted.</w:t>
      </w:r>
    </w:p>
    <w:p>
      <w:pPr>
        <w:pStyle w:val="FirstParagraph"/>
      </w:pPr>
      <w:r>
        <w:rPr>
          <w:b/>
          <w:bCs/>
        </w:rPr>
        <w:t xml:space="preserve">Example:</w:t>
      </w:r>
    </w:p>
    <w:p>
      <w:pPr>
        <w:pStyle w:val="SourceCode"/>
      </w:pPr>
      <w:r>
        <w:rPr>
          <w:rStyle w:val="VerbatimChar"/>
        </w:rPr>
        <w:t xml:space="preserve">**User Input:**  </w:t>
      </w:r>
      <w:r>
        <w:br/>
      </w:r>
      <w:r>
        <w:rPr>
          <w:rStyle w:val="VerbatimChar"/>
        </w:rPr>
        <w:t xml:space="preserve">"ajdknw91 18293n asdnl!"</w:t>
      </w:r>
      <w:r>
        <w:br/>
      </w:r>
      <w:r>
        <w:br/>
      </w:r>
      <w:r>
        <w:rPr>
          <w:rStyle w:val="VerbatimChar"/>
        </w:rPr>
        <w:t xml:space="preserve">**Expected Output:**  </w:t>
      </w:r>
      <w:r>
        <w:br/>
      </w:r>
      <w:r>
        <w:rPr>
          <w:rStyle w:val="VerbatimChar"/>
        </w:rPr>
        <w:t xml:space="preserve">&gt; I couldn’t parse your request as it appears to be nonsensical or corrupted.  </w:t>
      </w:r>
      <w:r>
        <w:br/>
      </w:r>
      <w:r>
        <w:rPr>
          <w:rStyle w:val="VerbatimChar"/>
        </w:rPr>
        <w:t xml:space="preserve">&gt; Could you please restate your request with specific details about the topic or task you’d like help with?  </w:t>
      </w:r>
    </w:p>
    <w:p>
      <w:r>
        <w:pict>
          <v:rect style="width:0;height:1.5pt" o:hralign="center" o:hrstd="t" o:hr="t"/>
        </w:pict>
      </w:r>
    </w:p>
    <w:bookmarkEnd w:id="43"/>
    <w:bookmarkStart w:id="44" w:name="expected-clarification-behavior"/>
    <w:p>
      <w:pPr>
        <w:pStyle w:val="Heading3"/>
      </w:pPr>
      <w:r>
        <w:rPr>
          <w:rStyle w:val="VerbatimChar"/>
          <w:b/>
          <w:bCs/>
        </w:rPr>
        <w:t xml:space="preserve">## Expected Clarification Behavior</w:t>
      </w:r>
    </w:p>
    <w:p>
      <w:pPr>
        <w:pStyle w:val="Compact"/>
        <w:numPr>
          <w:ilvl w:val="0"/>
          <w:numId w:val="1018"/>
        </w:numPr>
      </w:pPr>
      <w:r>
        <w:t xml:space="preserve">This is</w:t>
      </w:r>
      <w:r>
        <w:t xml:space="preserve"> </w:t>
      </w:r>
      <w:r>
        <w:rPr>
          <w:i/>
          <w:iCs/>
        </w:rPr>
        <w:t xml:space="preserve">especially critical in GPT-5</w:t>
      </w:r>
      <w:r>
        <w:t xml:space="preserve">, as clarification strategies can dramatically shift conversation trajectory.</w:t>
      </w:r>
    </w:p>
    <w:p>
      <w:pPr>
        <w:pStyle w:val="Compact"/>
        <w:numPr>
          <w:ilvl w:val="0"/>
          <w:numId w:val="1018"/>
        </w:numPr>
      </w:pPr>
      <w:r>
        <w:t xml:space="preserve">Define a</w:t>
      </w:r>
      <w:r>
        <w:t xml:space="preserve"> </w:t>
      </w:r>
      <w:r>
        <w:rPr>
          <w:b/>
          <w:bCs/>
        </w:rPr>
        <w:t xml:space="preserve">consistent clarification method</w:t>
      </w:r>
      <w:r>
        <w:t xml:space="preserve">: always restate what was understood, list what is unclear, and offer 2–3 pointed questions to resolve ambiguity.</w:t>
      </w:r>
    </w:p>
    <w:p>
      <w:pPr>
        <w:pStyle w:val="FirstParagraph"/>
      </w:pPr>
      <w:r>
        <w:rPr>
          <w:b/>
          <w:bCs/>
        </w:rPr>
        <w:t xml:space="preserve">Example:</w:t>
      </w:r>
    </w:p>
    <w:p>
      <w:pPr>
        <w:pStyle w:val="SourceCode"/>
      </w:pPr>
      <w:r>
        <w:rPr>
          <w:rStyle w:val="VerbatimChar"/>
        </w:rPr>
        <w:t xml:space="preserve">It sounds like you’re asking for help designing a workflow for an e-commerce business.  </w:t>
      </w:r>
      <w:r>
        <w:br/>
      </w:r>
      <w:r>
        <w:rPr>
          <w:rStyle w:val="VerbatimChar"/>
        </w:rPr>
        <w:t xml:space="preserve">Could you clarify:  </w:t>
      </w:r>
      <w:r>
        <w:br/>
      </w:r>
      <w:r>
        <w:rPr>
          <w:rStyle w:val="VerbatimChar"/>
        </w:rPr>
        <w:t xml:space="preserve">1. Are you focusing on order fulfillment or the entire customer journey?  </w:t>
      </w:r>
      <w:r>
        <w:br/>
      </w:r>
      <w:r>
        <w:rPr>
          <w:rStyle w:val="VerbatimChar"/>
        </w:rPr>
        <w:t xml:space="preserve">2. What’s the size of your operations?  </w:t>
      </w:r>
      <w:r>
        <w:br/>
      </w:r>
      <w:r>
        <w:rPr>
          <w:rStyle w:val="VerbatimChar"/>
        </w:rPr>
        <w:t xml:space="preserve">3. Do you have an existing tech stack or are we building from scratch?  </w:t>
      </w:r>
    </w:p>
    <w:p>
      <w:pPr>
        <w:pStyle w:val="FirstParagraph"/>
      </w:pPr>
      <w:r>
        <w:rPr>
          <w:b/>
          <w:bCs/>
        </w:rPr>
        <w:t xml:space="preserve">Best Practices:</w:t>
      </w:r>
    </w:p>
    <w:p>
      <w:pPr>
        <w:pStyle w:val="Compact"/>
        <w:numPr>
          <w:ilvl w:val="0"/>
          <w:numId w:val="1019"/>
        </w:numPr>
      </w:pPr>
      <w:r>
        <w:t xml:space="preserve">Keep</w:t>
      </w:r>
      <w:r>
        <w:t xml:space="preserve"> </w:t>
      </w:r>
      <w:r>
        <w:rPr>
          <w:b/>
          <w:bCs/>
        </w:rPr>
        <w:t xml:space="preserve">examples in a self-contained section</w:t>
      </w:r>
      <w:r>
        <w:t xml:space="preserve"> </w:t>
      </w:r>
      <w:r>
        <w:t xml:space="preserve">— don’t scatter them throughout the logic; they serve as behavioral anchors.</w:t>
      </w:r>
    </w:p>
    <w:p>
      <w:pPr>
        <w:pStyle w:val="Compact"/>
        <w:numPr>
          <w:ilvl w:val="0"/>
          <w:numId w:val="1019"/>
        </w:numPr>
      </w:pPr>
      <w:r>
        <w:t xml:space="preserve">For agents that interact across ecosystems,</w:t>
      </w:r>
      <w:r>
        <w:t xml:space="preserve"> </w:t>
      </w:r>
      <w:r>
        <w:rPr>
          <w:b/>
          <w:bCs/>
        </w:rPr>
        <w:t xml:space="preserve">label examples with ecosystem tags</w:t>
      </w:r>
      <w:r>
        <w:t xml:space="preserve"> </w:t>
      </w:r>
      <w:r>
        <w:t xml:space="preserve">for disambiguation (e.g.,</w:t>
      </w:r>
      <w:r>
        <w:t xml:space="preserve"> </w:t>
      </w:r>
      <w:r>
        <w:rPr>
          <w:rStyle w:val="VerbatimChar"/>
        </w:rPr>
        <w:t xml:space="preserve">[OKHP³]</w:t>
      </w:r>
      <w:r>
        <w:t xml:space="preserve">,</w:t>
      </w:r>
      <w:r>
        <w:t xml:space="preserve"> </w:t>
      </w:r>
      <w:r>
        <w:rPr>
          <w:rStyle w:val="VerbatimChar"/>
        </w:rPr>
        <w:t xml:space="preserve">[Glee-fully]</w:t>
      </w:r>
      <w:r>
        <w:t xml:space="preserve">).</w:t>
      </w:r>
    </w:p>
    <w:p>
      <w:pPr>
        <w:pStyle w:val="Compact"/>
        <w:numPr>
          <w:ilvl w:val="0"/>
          <w:numId w:val="1019"/>
        </w:numPr>
      </w:pPr>
      <w:r>
        <w:t xml:space="preserve">Refresh few-shot examples</w:t>
      </w:r>
      <w:r>
        <w:t xml:space="preserve"> </w:t>
      </w:r>
      <w:r>
        <w:rPr>
          <w:b/>
          <w:bCs/>
        </w:rPr>
        <w:t xml:space="preserve">per major generation upgrade</w:t>
      </w:r>
      <w:r>
        <w:t xml:space="preserve"> </w:t>
      </w:r>
      <w:r>
        <w:t xml:space="preserve">— don’t train GPT-5 with GPT-4 behavioral artifacts unless the drift is intentional.</w:t>
      </w:r>
    </w:p>
    <w:p>
      <w:r>
        <w:pict>
          <v:rect style="width:0;height:1.5pt" o:hralign="center" o:hrstd="t" o:hr="t"/>
        </w:pict>
      </w:r>
    </w:p>
    <w:bookmarkEnd w:id="44"/>
    <w:bookmarkEnd w:id="45"/>
    <w:bookmarkStart w:id="46" w:name="section-4"/>
    <w:p>
      <w:pPr>
        <w:pStyle w:val="Heading2"/>
      </w:pPr>
      <w:r>
        <w:t xml:space="preserve">***</w:t>
      </w:r>
    </w:p>
    <w:bookmarkEnd w:id="46"/>
    <w:bookmarkEnd w:id="47"/>
    <w:bookmarkStart w:id="57" w:name="iii.-input-interpretation-trigger-logic"/>
    <w:p>
      <w:pPr>
        <w:pStyle w:val="Heading1"/>
      </w:pPr>
      <w:r>
        <w:rPr>
          <w:b/>
          <w:bCs/>
        </w:rPr>
        <w:t xml:space="preserve">III. INPUT INTERPRETATION &amp; TRIGGER LOGIC</w:t>
      </w:r>
    </w:p>
    <w:p>
      <w:pPr>
        <w:pStyle w:val="BlockText"/>
      </w:pPr>
      <w:r>
        <w:rPr>
          <w:i/>
          <w:iCs/>
        </w:rPr>
        <w:t xml:space="preserve">Purpose:</w:t>
      </w:r>
      <w:r>
        <w:t xml:space="preserve"> </w:t>
      </w:r>
      <w:r>
        <w:t xml:space="preserve">If the Output Format Rules are the chassis, this is the suspension and steering. It’s where we teach the GPT not only</w:t>
      </w:r>
      <w:r>
        <w:t xml:space="preserve"> </w:t>
      </w:r>
      <w:r>
        <w:rPr>
          <w:i/>
          <w:iCs/>
        </w:rPr>
        <w:t xml:space="preserve">what</w:t>
      </w:r>
      <w:r>
        <w:t xml:space="preserve"> </w:t>
      </w:r>
      <w:r>
        <w:t xml:space="preserve">the user said but how to read between the lines, anticipate intent, and choose the right behavioral lane. This is where confusion gets converted into clarity, and where every incoming query is treated as data to be shaped into an exact-fit response path.</w:t>
      </w:r>
    </w:p>
    <w:p>
      <w:r>
        <w:pict>
          <v:rect style="width:0;height:1.5pt" o:hralign="center" o:hrstd="t" o:hr="t"/>
        </w:pict>
      </w:r>
    </w:p>
    <w:bookmarkStart w:id="51" w:name="input-analysis-preprocessing"/>
    <w:p>
      <w:pPr>
        <w:pStyle w:val="Heading2"/>
      </w:pPr>
      <w:r>
        <w:rPr>
          <w:b/>
          <w:bCs/>
        </w:rPr>
        <w:t xml:space="preserve">6.</w:t>
      </w:r>
      <w:r>
        <w:rPr>
          <w:b/>
          <w:bCs/>
        </w:rPr>
        <w:t xml:space="preserve"> </w:t>
      </w:r>
      <w:r>
        <w:rPr>
          <w:rStyle w:val="VerbatimChar"/>
          <w:b/>
          <w:bCs/>
        </w:rPr>
        <w:t xml:space="preserve"># Input Analysis &amp; Preprocessing</w:t>
      </w:r>
    </w:p>
    <w:p>
      <w:pPr>
        <w:pStyle w:val="FirstParagraph"/>
      </w:pPr>
      <w:r>
        <w:rPr>
          <w:b/>
          <w:bCs/>
        </w:rPr>
        <w:t xml:space="preserve">Purpose:</w:t>
      </w:r>
      <w:r>
        <w:br/>
      </w:r>
      <w:r>
        <w:t xml:space="preserve">Define</w:t>
      </w:r>
      <w:r>
        <w:t xml:space="preserve"> </w:t>
      </w:r>
      <w:r>
        <w:rPr>
          <w:i/>
          <w:iCs/>
        </w:rPr>
        <w:t xml:space="preserve">how</w:t>
      </w:r>
      <w:r>
        <w:t xml:space="preserve"> </w:t>
      </w:r>
      <w:r>
        <w:t xml:space="preserve">the GPT evaluates user input from the moment it lands — from raw text, voice transcript, or multimodal signal — before any reasoning or content generation begins.</w:t>
      </w:r>
    </w:p>
    <w:p>
      <w:pPr>
        <w:pStyle w:val="BodyText"/>
      </w:pPr>
      <w:r>
        <w:rPr>
          <w:b/>
          <w:bCs/>
        </w:rPr>
        <w:t xml:space="preserve">Subheads &amp; Guidance:</w:t>
      </w:r>
    </w:p>
    <w:p>
      <w:r>
        <w:pict>
          <v:rect style="width:0;height:1.5pt" o:hralign="center" o:hrstd="t" o:hr="t"/>
        </w:pict>
      </w:r>
    </w:p>
    <w:bookmarkStart w:id="48" w:name="input-types"/>
    <w:p>
      <w:pPr>
        <w:pStyle w:val="Heading3"/>
      </w:pPr>
      <w:r>
        <w:rPr>
          <w:rStyle w:val="VerbatimChar"/>
          <w:b/>
          <w:bCs/>
        </w:rPr>
        <w:t xml:space="preserve">## Input Types</w:t>
      </w:r>
    </w:p>
    <w:p>
      <w:pPr>
        <w:pStyle w:val="Compact"/>
        <w:numPr>
          <w:ilvl w:val="0"/>
          <w:numId w:val="1020"/>
        </w:numPr>
      </w:pPr>
      <w:r>
        <w:rPr>
          <w:b/>
          <w:bCs/>
        </w:rPr>
        <w:t xml:space="preserve">Textual:</w:t>
      </w:r>
    </w:p>
    <w:p>
      <w:pPr>
        <w:pStyle w:val="Compact"/>
        <w:numPr>
          <w:ilvl w:val="0"/>
          <w:numId w:val="1020"/>
        </w:numPr>
      </w:pPr>
      <w:r>
        <w:t xml:space="preserve">Written prompts, command lines, or pasted data.</w:t>
      </w:r>
    </w:p>
    <w:p>
      <w:pPr>
        <w:pStyle w:val="Compact"/>
        <w:numPr>
          <w:ilvl w:val="0"/>
          <w:numId w:val="1020"/>
        </w:numPr>
      </w:pPr>
      <w:r>
        <w:t xml:space="preserve">Apply spelling correction, token normalization, and keyword extraction before interpretation.</w:t>
      </w:r>
    </w:p>
    <w:p>
      <w:pPr>
        <w:pStyle w:val="Compact"/>
        <w:numPr>
          <w:ilvl w:val="0"/>
          <w:numId w:val="1020"/>
        </w:numPr>
      </w:pPr>
      <w:r>
        <w:rPr>
          <w:b/>
          <w:bCs/>
        </w:rPr>
        <w:t xml:space="preserve">Voice/Transcription:</w:t>
      </w:r>
    </w:p>
    <w:p>
      <w:pPr>
        <w:pStyle w:val="Compact"/>
        <w:numPr>
          <w:ilvl w:val="0"/>
          <w:numId w:val="1020"/>
        </w:numPr>
      </w:pPr>
      <w:r>
        <w:t xml:space="preserve">Strip filler words (“um,” “like,” “you know”) unless the tone is</w:t>
      </w:r>
      <w:r>
        <w:t xml:space="preserve"> </w:t>
      </w:r>
      <w:r>
        <w:rPr>
          <w:i/>
          <w:iCs/>
        </w:rPr>
        <w:t xml:space="preserve">part of the request</w:t>
      </w:r>
      <w:r>
        <w:t xml:space="preserve">.</w:t>
      </w:r>
    </w:p>
    <w:p>
      <w:pPr>
        <w:pStyle w:val="Compact"/>
        <w:numPr>
          <w:ilvl w:val="0"/>
          <w:numId w:val="1020"/>
        </w:numPr>
      </w:pPr>
      <w:r>
        <w:t xml:space="preserve">Break run-on voice inputs into logical clauses for easier parsing.</w:t>
      </w:r>
    </w:p>
    <w:p>
      <w:pPr>
        <w:pStyle w:val="Compact"/>
        <w:numPr>
          <w:ilvl w:val="0"/>
          <w:numId w:val="1020"/>
        </w:numPr>
      </w:pPr>
      <w:r>
        <w:rPr>
          <w:b/>
          <w:bCs/>
        </w:rPr>
        <w:t xml:space="preserve">Visual / Multimodal:</w:t>
      </w:r>
      <w:r>
        <w:t xml:space="preserve"> </w:t>
      </w:r>
      <w:r>
        <w:rPr>
          <w:i/>
          <w:iCs/>
        </w:rPr>
        <w:t xml:space="preserve">(GPT-5 multimodal only)</w:t>
      </w:r>
    </w:p>
    <w:p>
      <w:pPr>
        <w:pStyle w:val="Compact"/>
        <w:numPr>
          <w:ilvl w:val="0"/>
          <w:numId w:val="1020"/>
        </w:numPr>
      </w:pPr>
      <w:r>
        <w:t xml:space="preserve">If an image is attached, always generate a</w:t>
      </w:r>
      <w:r>
        <w:t xml:space="preserve"> </w:t>
      </w:r>
      <w:r>
        <w:rPr>
          <w:b/>
          <w:bCs/>
        </w:rPr>
        <w:t xml:space="preserve">content inventory</w:t>
      </w:r>
      <w:r>
        <w:t xml:space="preserve"> </w:t>
      </w:r>
      <w:r>
        <w:t xml:space="preserve">(what’s in the image) before moving to interpretation.</w:t>
      </w:r>
    </w:p>
    <w:p>
      <w:pPr>
        <w:pStyle w:val="Compact"/>
        <w:numPr>
          <w:ilvl w:val="0"/>
          <w:numId w:val="1020"/>
        </w:numPr>
      </w:pPr>
      <w:r>
        <w:t xml:space="preserve">Cross-check visual cues with any text instructions — flag conflicts before proceeding.</w:t>
      </w:r>
    </w:p>
    <w:p>
      <w:pPr>
        <w:pStyle w:val="Compact"/>
        <w:numPr>
          <w:ilvl w:val="0"/>
          <w:numId w:val="1020"/>
        </w:numPr>
      </w:pPr>
      <w:r>
        <w:rPr>
          <w:b/>
          <w:bCs/>
        </w:rPr>
        <w:t xml:space="preserve">Structured / Semi-Structured Data:</w:t>
      </w:r>
    </w:p>
    <w:p>
      <w:pPr>
        <w:pStyle w:val="Compact"/>
        <w:numPr>
          <w:ilvl w:val="0"/>
          <w:numId w:val="1020"/>
        </w:numPr>
      </w:pPr>
      <w:r>
        <w:t xml:space="preserve">JSON, CSV, YAML — validate schema integrity before parsing.</w:t>
      </w:r>
    </w:p>
    <w:p>
      <w:pPr>
        <w:pStyle w:val="Compact"/>
        <w:numPr>
          <w:ilvl w:val="0"/>
          <w:numId w:val="1020"/>
        </w:numPr>
      </w:pPr>
      <w:r>
        <w:t xml:space="preserve">If file format is mismatched to extension (e.g., a</w:t>
      </w:r>
      <w:r>
        <w:t xml:space="preserve"> </w:t>
      </w:r>
      <w:r>
        <w:rPr>
          <w:rStyle w:val="VerbatimChar"/>
        </w:rPr>
        <w:t xml:space="preserve">.csv</w:t>
      </w:r>
      <w:r>
        <w:t xml:space="preserve"> </w:t>
      </w:r>
      <w:r>
        <w:t xml:space="preserve">that’s actually tab-delimited), detect and adapt automatically.</w:t>
      </w:r>
    </w:p>
    <w:p>
      <w:r>
        <w:pict>
          <v:rect style="width:0;height:1.5pt" o:hralign="center" o:hrstd="t" o:hr="t"/>
        </w:pict>
      </w:r>
    </w:p>
    <w:bookmarkEnd w:id="48"/>
    <w:bookmarkStart w:id="49" w:name="confidence-thresholds"/>
    <w:p>
      <w:pPr>
        <w:pStyle w:val="Heading3"/>
      </w:pPr>
      <w:r>
        <w:rPr>
          <w:rStyle w:val="VerbatimChar"/>
          <w:b/>
          <w:bCs/>
        </w:rPr>
        <w:t xml:space="preserve">## Confidence Thresholds</w:t>
      </w:r>
    </w:p>
    <w:p>
      <w:pPr>
        <w:pStyle w:val="Compact"/>
        <w:numPr>
          <w:ilvl w:val="0"/>
          <w:numId w:val="1021"/>
        </w:numPr>
      </w:pPr>
      <w:r>
        <w:t xml:space="preserve">Establish</w:t>
      </w:r>
      <w:r>
        <w:t xml:space="preserve"> </w:t>
      </w:r>
      <w:r>
        <w:rPr>
          <w:b/>
          <w:bCs/>
        </w:rPr>
        <w:t xml:space="preserve">low, medium, and high confidence zones</w:t>
      </w:r>
      <w:r>
        <w:t xml:space="preserve">:</w:t>
      </w:r>
    </w:p>
    <w:p>
      <w:pPr>
        <w:pStyle w:val="Compact"/>
        <w:numPr>
          <w:ilvl w:val="0"/>
          <w:numId w:val="1021"/>
        </w:numPr>
      </w:pPr>
      <w:r>
        <w:rPr>
          <w:b/>
          <w:bCs/>
        </w:rPr>
        <w:t xml:space="preserve">High Confidence:</w:t>
      </w:r>
      <w:r>
        <w:t xml:space="preserve"> </w:t>
      </w:r>
      <w:r>
        <w:t xml:space="preserve">≥90% certainty in both domain and intent → proceed directly to reasoning.</w:t>
      </w:r>
    </w:p>
    <w:p>
      <w:pPr>
        <w:pStyle w:val="Compact"/>
        <w:numPr>
          <w:ilvl w:val="0"/>
          <w:numId w:val="1021"/>
        </w:numPr>
      </w:pPr>
      <w:r>
        <w:rPr>
          <w:b/>
          <w:bCs/>
        </w:rPr>
        <w:t xml:space="preserve">Medium Confidence:</w:t>
      </w:r>
      <w:r>
        <w:t xml:space="preserve"> </w:t>
      </w:r>
      <w:r>
        <w:t xml:space="preserve">50–89% certainty → proceed with a split approach: partial output plus clarifying questions.</w:t>
      </w:r>
    </w:p>
    <w:p>
      <w:pPr>
        <w:pStyle w:val="Compact"/>
        <w:numPr>
          <w:ilvl w:val="0"/>
          <w:numId w:val="1021"/>
        </w:numPr>
      </w:pPr>
      <w:r>
        <w:rPr>
          <w:b/>
          <w:bCs/>
        </w:rPr>
        <w:t xml:space="preserve">Low Confidence:</w:t>
      </w:r>
      <w:r>
        <w:t xml:space="preserve"> </w:t>
      </w:r>
      <w:r>
        <w:t xml:space="preserve">≤49% certainty → stop forward reasoning; clarification is mandatory.</w:t>
      </w:r>
    </w:p>
    <w:p>
      <w:pPr>
        <w:pStyle w:val="Compact"/>
        <w:numPr>
          <w:ilvl w:val="0"/>
          <w:numId w:val="1021"/>
        </w:numPr>
      </w:pPr>
      <w:r>
        <w:t xml:space="preserve">GPT should self-tag responses with an invisible confidence note in its own reasoning layer (not visible to the user unless asked).</w:t>
      </w:r>
    </w:p>
    <w:p>
      <w:r>
        <w:pict>
          <v:rect style="width:0;height:1.5pt" o:hralign="center" o:hrstd="t" o:hr="t"/>
        </w:pict>
      </w:r>
    </w:p>
    <w:bookmarkEnd w:id="49"/>
    <w:bookmarkStart w:id="50" w:name="precondition-checks"/>
    <w:p>
      <w:pPr>
        <w:pStyle w:val="Heading3"/>
      </w:pPr>
      <w:r>
        <w:rPr>
          <w:rStyle w:val="VerbatimChar"/>
          <w:b/>
          <w:bCs/>
        </w:rPr>
        <w:t xml:space="preserve">## Precondition Checks</w:t>
      </w:r>
    </w:p>
    <w:p>
      <w:pPr>
        <w:pStyle w:val="Compact"/>
        <w:numPr>
          <w:ilvl w:val="0"/>
          <w:numId w:val="1022"/>
        </w:numPr>
      </w:pPr>
      <w:r>
        <w:rPr>
          <w:b/>
          <w:bCs/>
        </w:rPr>
        <w:t xml:space="preserve">Completeness Check:</w:t>
      </w:r>
      <w:r>
        <w:t xml:space="preserve"> </w:t>
      </w:r>
      <w:r>
        <w:t xml:space="preserve">Are all required variables provided?</w:t>
      </w:r>
    </w:p>
    <w:p>
      <w:pPr>
        <w:pStyle w:val="Compact"/>
        <w:numPr>
          <w:ilvl w:val="0"/>
          <w:numId w:val="1022"/>
        </w:numPr>
      </w:pPr>
      <w:r>
        <w:rPr>
          <w:b/>
          <w:bCs/>
        </w:rPr>
        <w:t xml:space="preserve">Temporal Relevance Check:</w:t>
      </w:r>
      <w:r>
        <w:t xml:space="preserve"> </w:t>
      </w:r>
      <w:r>
        <w:t xml:space="preserve">Is the request time-sensitive or referencing outdated info?</w:t>
      </w:r>
    </w:p>
    <w:p>
      <w:pPr>
        <w:pStyle w:val="Compact"/>
        <w:numPr>
          <w:ilvl w:val="0"/>
          <w:numId w:val="1022"/>
        </w:numPr>
      </w:pPr>
      <w:r>
        <w:rPr>
          <w:b/>
          <w:bCs/>
        </w:rPr>
        <w:t xml:space="preserve">Feasibility Check:</w:t>
      </w:r>
      <w:r>
        <w:t xml:space="preserve"> </w:t>
      </w:r>
      <w:r>
        <w:t xml:space="preserve">Does the request fit within GPT capabilities and constraints?</w:t>
      </w:r>
    </w:p>
    <w:p>
      <w:pPr>
        <w:pStyle w:val="FirstParagraph"/>
      </w:pPr>
      <w:r>
        <w:rPr>
          <w:b/>
          <w:bCs/>
        </w:rPr>
        <w:t xml:space="preserve">Best Practices:</w:t>
      </w:r>
    </w:p>
    <w:p>
      <w:pPr>
        <w:pStyle w:val="Compact"/>
        <w:numPr>
          <w:ilvl w:val="0"/>
          <w:numId w:val="1023"/>
        </w:numPr>
      </w:pPr>
      <w:r>
        <w:t xml:space="preserve">For ambiguous references (“the last report”), always timestamp-check before assuming context.</w:t>
      </w:r>
    </w:p>
    <w:p>
      <w:pPr>
        <w:pStyle w:val="Compact"/>
        <w:numPr>
          <w:ilvl w:val="0"/>
          <w:numId w:val="1023"/>
        </w:numPr>
      </w:pPr>
      <w:r>
        <w:t xml:space="preserve">For chain requests (“give me a plan and also write the email”), confirm whether the steps are sequential or parallel.</w:t>
      </w:r>
    </w:p>
    <w:p>
      <w:r>
        <w:pict>
          <v:rect style="width:0;height:1.5pt" o:hralign="center" o:hrstd="t" o:hr="t"/>
        </w:pict>
      </w:r>
    </w:p>
    <w:bookmarkEnd w:id="50"/>
    <w:bookmarkEnd w:id="51"/>
    <w:bookmarkStart w:id="55" w:name="triggered-response-logic"/>
    <w:p>
      <w:pPr>
        <w:pStyle w:val="Heading2"/>
      </w:pPr>
      <w:r>
        <w:rPr>
          <w:b/>
          <w:bCs/>
        </w:rPr>
        <w:t xml:space="preserve">7.</w:t>
      </w:r>
      <w:r>
        <w:rPr>
          <w:b/>
          <w:bCs/>
        </w:rPr>
        <w:t xml:space="preserve"> </w:t>
      </w:r>
      <w:r>
        <w:rPr>
          <w:rStyle w:val="VerbatimChar"/>
          <w:b/>
          <w:bCs/>
        </w:rPr>
        <w:t xml:space="preserve"># Triggered Response Logic</w:t>
      </w:r>
    </w:p>
    <w:p>
      <w:pPr>
        <w:pStyle w:val="FirstParagraph"/>
      </w:pPr>
      <w:r>
        <w:rPr>
          <w:b/>
          <w:bCs/>
        </w:rPr>
        <w:t xml:space="preserve">Purpose:</w:t>
      </w:r>
      <w:r>
        <w:br/>
      </w:r>
      <w:r>
        <w:t xml:space="preserve">Map explicit and implicit</w:t>
      </w:r>
      <w:r>
        <w:t xml:space="preserve"> </w:t>
      </w:r>
      <w:r>
        <w:rPr>
          <w:i/>
          <w:iCs/>
        </w:rPr>
        <w:t xml:space="preserve">input triggers</w:t>
      </w:r>
      <w:r>
        <w:t xml:space="preserve"> </w:t>
      </w:r>
      <w:r>
        <w:t xml:space="preserve">to the exact instructions, behaviors, or output modes the GPT should follow — creating an intentional branching tree rather than a reactive free-for-all.</w:t>
      </w:r>
    </w:p>
    <w:p>
      <w:pPr>
        <w:pStyle w:val="BodyText"/>
      </w:pPr>
      <w:r>
        <w:rPr>
          <w:b/>
          <w:bCs/>
        </w:rPr>
        <w:t xml:space="preserve">Subheads &amp; Guidance:</w:t>
      </w:r>
    </w:p>
    <w:p>
      <w:r>
        <w:pict>
          <v:rect style="width:0;height:1.5pt" o:hralign="center" o:hrstd="t" o:hr="t"/>
        </w:pict>
      </w:r>
    </w:p>
    <w:bookmarkStart w:id="52" w:name="trigger-instruction-mapping"/>
    <w:p>
      <w:pPr>
        <w:pStyle w:val="Heading3"/>
      </w:pPr>
      <w:r>
        <w:rPr>
          <w:rStyle w:val="VerbatimChar"/>
          <w:b/>
          <w:bCs/>
        </w:rPr>
        <w:t xml:space="preserve">## Trigger → Instruction Mapping</w:t>
      </w:r>
    </w:p>
    <w:p>
      <w:pPr>
        <w:pStyle w:val="Compact"/>
        <w:numPr>
          <w:ilvl w:val="0"/>
          <w:numId w:val="1024"/>
        </w:numPr>
      </w:pPr>
      <w:r>
        <w:t xml:space="preserve">Maintain a</w:t>
      </w:r>
      <w:r>
        <w:t xml:space="preserve"> </w:t>
      </w:r>
      <w:r>
        <w:rPr>
          <w:b/>
          <w:bCs/>
        </w:rPr>
        <w:t xml:space="preserve">trigger library</w:t>
      </w:r>
      <w:r>
        <w:t xml:space="preserve">:</w:t>
      </w:r>
    </w:p>
    <w:p>
      <w:pPr>
        <w:pStyle w:val="Compact"/>
        <w:numPr>
          <w:ilvl w:val="0"/>
          <w:numId w:val="1024"/>
        </w:numPr>
      </w:pPr>
      <w:r>
        <w:rPr>
          <w:b/>
          <w:bCs/>
        </w:rPr>
        <w:t xml:space="preserve">Keyword-based:</w:t>
      </w:r>
      <w:r>
        <w:t xml:space="preserve"> </w:t>
      </w:r>
      <w:r>
        <w:t xml:space="preserve">“summarize,” “compare,” “design,” “rewrite,” “simulate” → each routes to a specific reasoning + formatting combination.</w:t>
      </w:r>
    </w:p>
    <w:p>
      <w:pPr>
        <w:pStyle w:val="Compact"/>
        <w:numPr>
          <w:ilvl w:val="0"/>
          <w:numId w:val="1024"/>
        </w:numPr>
      </w:pPr>
      <w:r>
        <w:rPr>
          <w:b/>
          <w:bCs/>
        </w:rPr>
        <w:t xml:space="preserve">Phrase-based:</w:t>
      </w:r>
      <w:r>
        <w:t xml:space="preserve"> </w:t>
      </w:r>
      <w:r>
        <w:t xml:space="preserve">“Act as…,” “Pretend you are…,” “From the perspective of…” → triggers role-based overlays.</w:t>
      </w:r>
    </w:p>
    <w:p>
      <w:pPr>
        <w:pStyle w:val="Compact"/>
        <w:numPr>
          <w:ilvl w:val="0"/>
          <w:numId w:val="1024"/>
        </w:numPr>
      </w:pPr>
      <w:r>
        <w:rPr>
          <w:b/>
          <w:bCs/>
        </w:rPr>
        <w:t xml:space="preserve">Format cues:</w:t>
      </w:r>
      <w:r>
        <w:t xml:space="preserve"> </w:t>
      </w:r>
      <w:r>
        <w:t xml:space="preserve">“Give me a table,” “Export to YAML,” “Show me the diagram” → enforces formatting overrides.</w:t>
      </w:r>
    </w:p>
    <w:p>
      <w:pPr>
        <w:pStyle w:val="Compact"/>
        <w:numPr>
          <w:ilvl w:val="0"/>
          <w:numId w:val="1024"/>
        </w:numPr>
      </w:pPr>
      <w:r>
        <w:rPr>
          <w:i/>
          <w:iCs/>
        </w:rPr>
        <w:t xml:space="preserve">Example:</w:t>
      </w:r>
      <w:r>
        <w:br/>
      </w:r>
    </w:p>
    <w:p>
      <w:pPr>
        <w:pStyle w:val="SourceCode"/>
        <w:numPr>
          <w:ilvl w:val="0"/>
          <w:numId w:val="1000"/>
        </w:numPr>
      </w:pPr>
      <w:r>
        <w:rPr>
          <w:rStyle w:val="VerbatimChar"/>
        </w:rPr>
        <w:t xml:space="preserve">trigger_map:  </w:t>
      </w:r>
      <w:r>
        <w:br/>
      </w:r>
      <w:r>
        <w:rPr>
          <w:rStyle w:val="VerbatimChar"/>
        </w:rPr>
        <w:t xml:space="preserve">  - trigger: "compare"  </w:t>
      </w:r>
      <w:r>
        <w:br/>
      </w:r>
      <w:r>
        <w:rPr>
          <w:rStyle w:val="VerbatimChar"/>
        </w:rPr>
        <w:t xml:space="preserve">    action: "Activate comparison template, table format, side-by-side analysis."  </w:t>
      </w:r>
      <w:r>
        <w:br/>
      </w:r>
      <w:r>
        <w:rPr>
          <w:rStyle w:val="VerbatimChar"/>
        </w:rPr>
        <w:t xml:space="preserve">  - trigger: "design"  </w:t>
      </w:r>
      <w:r>
        <w:br/>
      </w:r>
      <w:r>
        <w:rPr>
          <w:rStyle w:val="VerbatimChar"/>
        </w:rPr>
        <w:t xml:space="preserve">    action: "Activate ideation mode, output in stepwise prototyping format."  </w:t>
      </w:r>
    </w:p>
    <w:p>
      <w:r>
        <w:pict>
          <v:rect style="width:0;height:1.5pt" o:hralign="center" o:hrstd="t" o:hr="t"/>
        </w:pict>
      </w:r>
    </w:p>
    <w:bookmarkEnd w:id="52"/>
    <w:bookmarkStart w:id="53" w:name="escalation-handling"/>
    <w:p>
      <w:pPr>
        <w:pStyle w:val="Heading3"/>
      </w:pPr>
      <w:r>
        <w:rPr>
          <w:rStyle w:val="VerbatimChar"/>
          <w:b/>
          <w:bCs/>
        </w:rPr>
        <w:t xml:space="preserve">## Escalation Handling</w:t>
      </w:r>
    </w:p>
    <w:p>
      <w:pPr>
        <w:pStyle w:val="Compact"/>
        <w:numPr>
          <w:ilvl w:val="0"/>
          <w:numId w:val="1025"/>
        </w:numPr>
      </w:pPr>
      <w:r>
        <w:t xml:space="preserve">If the request indicates</w:t>
      </w:r>
      <w:r>
        <w:t xml:space="preserve"> </w:t>
      </w:r>
      <w:r>
        <w:rPr>
          <w:b/>
          <w:bCs/>
        </w:rPr>
        <w:t xml:space="preserve">stakes or urgency</w:t>
      </w:r>
      <w:r>
        <w:t xml:space="preserve"> </w:t>
      </w:r>
      <w:r>
        <w:t xml:space="preserve">(e.g., “urgent,” “deadline,” “critical”), escalate:</w:t>
      </w:r>
    </w:p>
    <w:p>
      <w:pPr>
        <w:pStyle w:val="Compact"/>
        <w:numPr>
          <w:ilvl w:val="0"/>
          <w:numId w:val="1025"/>
        </w:numPr>
      </w:pPr>
      <w:r>
        <w:t xml:space="preserve">Shorten preamble, front-load critical content.</w:t>
      </w:r>
    </w:p>
    <w:p>
      <w:pPr>
        <w:pStyle w:val="Compact"/>
        <w:numPr>
          <w:ilvl w:val="0"/>
          <w:numId w:val="1025"/>
        </w:numPr>
      </w:pPr>
      <w:r>
        <w:t xml:space="preserve">Provide contingency options.</w:t>
      </w:r>
    </w:p>
    <w:p>
      <w:pPr>
        <w:pStyle w:val="Compact"/>
        <w:numPr>
          <w:ilvl w:val="0"/>
          <w:numId w:val="1025"/>
        </w:numPr>
      </w:pPr>
      <w:r>
        <w:t xml:space="preserve">If request contains</w:t>
      </w:r>
      <w:r>
        <w:t xml:space="preserve"> </w:t>
      </w:r>
      <w:r>
        <w:rPr>
          <w:b/>
          <w:bCs/>
        </w:rPr>
        <w:t xml:space="preserve">emotional weight</w:t>
      </w:r>
      <w:r>
        <w:t xml:space="preserve"> </w:t>
      </w:r>
      <w:r>
        <w:t xml:space="preserve">(e.g., “I’m stressed,” “this is frustrating”), adjust tone per persona calibration — empathetic but task-focused.</w:t>
      </w:r>
    </w:p>
    <w:p>
      <w:r>
        <w:pict>
          <v:rect style="width:0;height:1.5pt" o:hralign="center" o:hrstd="t" o:hr="t"/>
        </w:pict>
      </w:r>
    </w:p>
    <w:bookmarkEnd w:id="53"/>
    <w:bookmarkStart w:id="54" w:name="passive-activation-cues"/>
    <w:p>
      <w:pPr>
        <w:pStyle w:val="Heading3"/>
      </w:pPr>
      <w:r>
        <w:rPr>
          <w:rStyle w:val="VerbatimChar"/>
          <w:b/>
          <w:bCs/>
        </w:rPr>
        <w:t xml:space="preserve">## Passive Activation Cues</w:t>
      </w:r>
    </w:p>
    <w:p>
      <w:pPr>
        <w:pStyle w:val="Compact"/>
        <w:numPr>
          <w:ilvl w:val="0"/>
          <w:numId w:val="1026"/>
        </w:numPr>
      </w:pPr>
      <w:r>
        <w:t xml:space="preserve">These are</w:t>
      </w:r>
      <w:r>
        <w:t xml:space="preserve"> </w:t>
      </w:r>
      <w:r>
        <w:rPr>
          <w:i/>
          <w:iCs/>
        </w:rPr>
        <w:t xml:space="preserve">non-explicit</w:t>
      </w:r>
      <w:r>
        <w:t xml:space="preserve"> </w:t>
      </w:r>
      <w:r>
        <w:t xml:space="preserve">triggers — user may not directly request a certain mode, but their wording implies it:</w:t>
      </w:r>
    </w:p>
    <w:p>
      <w:pPr>
        <w:pStyle w:val="Compact"/>
        <w:numPr>
          <w:ilvl w:val="0"/>
          <w:numId w:val="1026"/>
        </w:numPr>
      </w:pPr>
      <w:r>
        <w:t xml:space="preserve">Asking for “steps,” “phases,” “roadmap” → treat as process generation.</w:t>
      </w:r>
    </w:p>
    <w:p>
      <w:pPr>
        <w:pStyle w:val="Compact"/>
        <w:numPr>
          <w:ilvl w:val="0"/>
          <w:numId w:val="1026"/>
        </w:numPr>
      </w:pPr>
      <w:r>
        <w:t xml:space="preserve">Using past-tense problem statements → suggest retrospectives or post-mortems.</w:t>
      </w:r>
    </w:p>
    <w:p>
      <w:pPr>
        <w:pStyle w:val="Compact"/>
        <w:numPr>
          <w:ilvl w:val="0"/>
          <w:numId w:val="1026"/>
        </w:numPr>
      </w:pPr>
      <w:r>
        <w:t xml:space="preserve">Vague aspirational prompts (“I want to be better at…”) → offer frameworks before examples.</w:t>
      </w:r>
    </w:p>
    <w:p>
      <w:pPr>
        <w:pStyle w:val="FirstParagraph"/>
      </w:pPr>
      <w:r>
        <w:rPr>
          <w:b/>
          <w:bCs/>
        </w:rPr>
        <w:t xml:space="preserve">Best Practices:</w:t>
      </w:r>
    </w:p>
    <w:p>
      <w:pPr>
        <w:pStyle w:val="Compact"/>
        <w:numPr>
          <w:ilvl w:val="0"/>
          <w:numId w:val="1027"/>
        </w:numPr>
      </w:pPr>
      <w:r>
        <w:t xml:space="preserve">Keep the trigger map</w:t>
      </w:r>
      <w:r>
        <w:t xml:space="preserve"> </w:t>
      </w:r>
      <w:r>
        <w:rPr>
          <w:b/>
          <w:bCs/>
        </w:rPr>
        <w:t xml:space="preserve">extensible</w:t>
      </w:r>
      <w:r>
        <w:t xml:space="preserve"> </w:t>
      </w:r>
      <w:r>
        <w:t xml:space="preserve">— GPT-5 can dynamically expand trigger lists as it learns from usage.</w:t>
      </w:r>
    </w:p>
    <w:p>
      <w:pPr>
        <w:pStyle w:val="Compact"/>
        <w:numPr>
          <w:ilvl w:val="0"/>
          <w:numId w:val="1027"/>
        </w:numPr>
      </w:pPr>
      <w:r>
        <w:t xml:space="preserve">If two triggers conflict (e.g., “summarize” + “deep detail”), confirm which takes priority before execution.</w:t>
      </w:r>
    </w:p>
    <w:p>
      <w:pPr>
        <w:pStyle w:val="Compact"/>
        <w:numPr>
          <w:ilvl w:val="0"/>
          <w:numId w:val="1027"/>
        </w:numPr>
      </w:pPr>
      <w:r>
        <w:t xml:space="preserve">Where applicable, store common triggers in a linked reference file (e.g.,</w:t>
      </w:r>
      <w:r>
        <w:t xml:space="preserve"> </w:t>
      </w:r>
      <w:r>
        <w:rPr>
          <w:rStyle w:val="VerbatimChar"/>
        </w:rPr>
        <w:t xml:space="preserve">dataLedger_registry_v3.md</w:t>
      </w:r>
      <w:r>
        <w:t xml:space="preserve">) so they can be re-used across GPTs in your ecosystem.</w:t>
      </w:r>
    </w:p>
    <w:p>
      <w:r>
        <w:pict>
          <v:rect style="width:0;height:1.5pt" o:hralign="center" o:hrstd="t" o:hr="t"/>
        </w:pict>
      </w:r>
    </w:p>
    <w:bookmarkEnd w:id="54"/>
    <w:bookmarkEnd w:id="55"/>
    <w:bookmarkStart w:id="56" w:name="section-5"/>
    <w:p>
      <w:pPr>
        <w:pStyle w:val="Heading2"/>
      </w:pPr>
      <w:r>
        <w:t xml:space="preserve">***</w:t>
      </w:r>
    </w:p>
    <w:bookmarkEnd w:id="56"/>
    <w:bookmarkEnd w:id="57"/>
    <w:bookmarkStart w:id="68" w:name="iv.-operational-flow-action-logic"/>
    <w:p>
      <w:pPr>
        <w:pStyle w:val="Heading1"/>
      </w:pPr>
      <w:r>
        <w:rPr>
          <w:b/>
          <w:bCs/>
        </w:rPr>
        <w:t xml:space="preserve">IV. OPERATIONAL FLOW &amp; ACTION LOGIC</w:t>
      </w:r>
    </w:p>
    <w:p>
      <w:pPr>
        <w:pStyle w:val="BlockText"/>
      </w:pPr>
      <w:r>
        <w:rPr>
          <w:i/>
          <w:iCs/>
        </w:rPr>
        <w:t xml:space="preserve">Purpose:</w:t>
      </w:r>
      <w:r>
        <w:t xml:space="preserve"> </w:t>
      </w:r>
      <w:r>
        <w:t xml:space="preserve">This is the gearbox. The procedural heart that tells the GPT not just what to do, but</w:t>
      </w:r>
      <w:r>
        <w:t xml:space="preserve"> </w:t>
      </w:r>
      <w:r>
        <w:rPr>
          <w:i/>
          <w:iCs/>
        </w:rPr>
        <w:t xml:space="preserve">when</w:t>
      </w:r>
      <w:r>
        <w:t xml:space="preserve"> </w:t>
      </w:r>
      <w:r>
        <w:t xml:space="preserve">and</w:t>
      </w:r>
      <w:r>
        <w:t xml:space="preserve"> </w:t>
      </w:r>
      <w:r>
        <w:rPr>
          <w:i/>
          <w:iCs/>
        </w:rPr>
        <w:t xml:space="preserve">in what order</w:t>
      </w:r>
      <w:r>
        <w:t xml:space="preserve">. Here is where PEMDAS-style sequencing meets multi-layered, self-checking reasoning. If Blocks I–III give us identity, structure, and triggers, this block is where raw user input is transmuted into deliberate, high-fidelity output.</w:t>
      </w:r>
    </w:p>
    <w:p>
      <w:r>
        <w:pict>
          <v:rect style="width:0;height:1.5pt" o:hralign="center" o:hrstd="t" o:hr="t"/>
        </w:pict>
      </w:r>
    </w:p>
    <w:bookmarkStart w:id="62" w:name="core-reasoning-execution-steps"/>
    <w:p>
      <w:pPr>
        <w:pStyle w:val="Heading2"/>
      </w:pPr>
      <w:r>
        <w:rPr>
          <w:b/>
          <w:bCs/>
        </w:rPr>
        <w:t xml:space="preserve">8.</w:t>
      </w:r>
      <w:r>
        <w:rPr>
          <w:b/>
          <w:bCs/>
        </w:rPr>
        <w:t xml:space="preserve"> </w:t>
      </w:r>
      <w:r>
        <w:rPr>
          <w:rStyle w:val="VerbatimChar"/>
          <w:b/>
          <w:bCs/>
        </w:rPr>
        <w:t xml:space="preserve"># Core Reasoning &amp; Execution Steps</w:t>
      </w:r>
    </w:p>
    <w:p>
      <w:pPr>
        <w:pStyle w:val="FirstParagraph"/>
      </w:pPr>
      <w:r>
        <w:rPr>
          <w:b/>
          <w:bCs/>
        </w:rPr>
        <w:t xml:space="preserve">Purpose:</w:t>
      </w:r>
      <w:r>
        <w:br/>
      </w:r>
      <w:r>
        <w:t xml:space="preserve">To build a</w:t>
      </w:r>
      <w:r>
        <w:t xml:space="preserve"> </w:t>
      </w:r>
      <w:r>
        <w:rPr>
          <w:b/>
          <w:bCs/>
        </w:rPr>
        <w:t xml:space="preserve">repeatable, auditable “thinking path”</w:t>
      </w:r>
      <w:r>
        <w:t xml:space="preserve"> </w:t>
      </w:r>
      <w:r>
        <w:t xml:space="preserve">that the GPT will follow every single time — no cutting corners, no skipping gears.</w:t>
      </w:r>
    </w:p>
    <w:p>
      <w:pPr>
        <w:pStyle w:val="BodyText"/>
      </w:pPr>
      <w:r>
        <w:rPr>
          <w:b/>
          <w:bCs/>
        </w:rPr>
        <w:t xml:space="preserve">Subheads &amp; Guidance:</w:t>
      </w:r>
    </w:p>
    <w:p>
      <w:r>
        <w:pict>
          <v:rect style="width:0;height:1.5pt" o:hralign="center" o:hrstd="t" o:hr="t"/>
        </w:pict>
      </w:r>
    </w:p>
    <w:bookmarkStart w:id="58" w:name="primary-response-logic"/>
    <w:p>
      <w:pPr>
        <w:pStyle w:val="Heading3"/>
      </w:pPr>
      <w:r>
        <w:rPr>
          <w:rStyle w:val="VerbatimChar"/>
          <w:b/>
          <w:bCs/>
        </w:rPr>
        <w:t xml:space="preserve">## Primary Response Logic</w:t>
      </w:r>
    </w:p>
    <w:p>
      <w:pPr>
        <w:pStyle w:val="Compact"/>
        <w:numPr>
          <w:ilvl w:val="0"/>
          <w:numId w:val="1028"/>
        </w:numPr>
      </w:pPr>
      <w:r>
        <w:t xml:space="preserve">Always begin by</w:t>
      </w:r>
      <w:r>
        <w:t xml:space="preserve"> </w:t>
      </w:r>
      <w:r>
        <w:rPr>
          <w:b/>
          <w:bCs/>
        </w:rPr>
        <w:t xml:space="preserve">restating the interpreted request</w:t>
      </w:r>
      <w:r>
        <w:t xml:space="preserve"> </w:t>
      </w:r>
      <w:r>
        <w:t xml:space="preserve">in the model’s internal workspace to confirm understanding before content generation.</w:t>
      </w:r>
    </w:p>
    <w:p>
      <w:pPr>
        <w:pStyle w:val="Compact"/>
        <w:numPr>
          <w:ilvl w:val="0"/>
          <w:numId w:val="1028"/>
        </w:numPr>
      </w:pPr>
      <w:r>
        <w:t xml:space="preserve">Apply PEMDAS-like order:</w:t>
      </w:r>
    </w:p>
    <w:p>
      <w:pPr>
        <w:pStyle w:val="Compact"/>
        <w:numPr>
          <w:ilvl w:val="0"/>
          <w:numId w:val="1028"/>
        </w:numPr>
      </w:pPr>
      <w:r>
        <w:rPr>
          <w:b/>
          <w:bCs/>
        </w:rPr>
        <w:t xml:space="preserve">P</w:t>
      </w:r>
      <w:r>
        <w:t xml:space="preserve">re-process → input parsing, confidence check, and trigger mapping (Block III work).</w:t>
      </w:r>
    </w:p>
    <w:p>
      <w:pPr>
        <w:pStyle w:val="Compact"/>
        <w:numPr>
          <w:ilvl w:val="0"/>
          <w:numId w:val="1028"/>
        </w:numPr>
      </w:pPr>
      <w:r>
        <w:rPr>
          <w:b/>
          <w:bCs/>
        </w:rPr>
        <w:t xml:space="preserve">E</w:t>
      </w:r>
      <w:r>
        <w:t xml:space="preserve">xtract → key data points, constraints, and required deliverables.</w:t>
      </w:r>
    </w:p>
    <w:p>
      <w:pPr>
        <w:pStyle w:val="Compact"/>
        <w:numPr>
          <w:ilvl w:val="0"/>
          <w:numId w:val="1028"/>
        </w:numPr>
      </w:pPr>
      <w:r>
        <w:rPr>
          <w:b/>
          <w:bCs/>
        </w:rPr>
        <w:t xml:space="preserve">M</w:t>
      </w:r>
      <w:r>
        <w:t xml:space="preserve">ap → match extracted elements to relevant internal patterns, frameworks, or known templates.</w:t>
      </w:r>
    </w:p>
    <w:p>
      <w:pPr>
        <w:pStyle w:val="Compact"/>
        <w:numPr>
          <w:ilvl w:val="0"/>
          <w:numId w:val="1028"/>
        </w:numPr>
      </w:pPr>
      <w:r>
        <w:rPr>
          <w:b/>
          <w:bCs/>
        </w:rPr>
        <w:t xml:space="preserve">D</w:t>
      </w:r>
      <w:r>
        <w:t xml:space="preserve">evelop → create the draft output following the exact format rules from Block II.</w:t>
      </w:r>
    </w:p>
    <w:p>
      <w:pPr>
        <w:pStyle w:val="Compact"/>
        <w:numPr>
          <w:ilvl w:val="0"/>
          <w:numId w:val="1028"/>
        </w:numPr>
      </w:pPr>
      <w:r>
        <w:rPr>
          <w:b/>
          <w:bCs/>
        </w:rPr>
        <w:t xml:space="preserve">A</w:t>
      </w:r>
      <w:r>
        <w:t xml:space="preserve">ssess → run internal verification (fact-check, style alignment).</w:t>
      </w:r>
    </w:p>
    <w:p>
      <w:pPr>
        <w:pStyle w:val="Compact"/>
        <w:numPr>
          <w:ilvl w:val="0"/>
          <w:numId w:val="1028"/>
        </w:numPr>
      </w:pPr>
      <w:r>
        <w:rPr>
          <w:b/>
          <w:bCs/>
        </w:rPr>
        <w:t xml:space="preserve">S</w:t>
      </w:r>
      <w:r>
        <w:t xml:space="preserve">erve → deliver final, polished output.</w:t>
      </w:r>
    </w:p>
    <w:p>
      <w:r>
        <w:pict>
          <v:rect style="width:0;height:1.5pt" o:hralign="center" o:hrstd="t" o:hr="t"/>
        </w:pict>
      </w:r>
    </w:p>
    <w:bookmarkEnd w:id="58"/>
    <w:bookmarkStart w:id="59" w:name="secondary-response-flow"/>
    <w:p>
      <w:pPr>
        <w:pStyle w:val="Heading3"/>
      </w:pPr>
      <w:r>
        <w:rPr>
          <w:rStyle w:val="VerbatimChar"/>
          <w:b/>
          <w:bCs/>
        </w:rPr>
        <w:t xml:space="preserve">## Secondary Response Flow</w:t>
      </w:r>
    </w:p>
    <w:p>
      <w:pPr>
        <w:pStyle w:val="Compact"/>
        <w:numPr>
          <w:ilvl w:val="0"/>
          <w:numId w:val="1029"/>
        </w:numPr>
      </w:pPr>
      <w:r>
        <w:t xml:space="preserve">If the user specifies</w:t>
      </w:r>
      <w:r>
        <w:t xml:space="preserve"> </w:t>
      </w:r>
      <w:r>
        <w:rPr>
          <w:i/>
          <w:iCs/>
        </w:rPr>
        <w:t xml:space="preserve">multiple deliverables</w:t>
      </w:r>
      <w:r>
        <w:t xml:space="preserve">, determine whether:</w:t>
      </w:r>
    </w:p>
    <w:p>
      <w:pPr>
        <w:pStyle w:val="Compact"/>
        <w:numPr>
          <w:ilvl w:val="0"/>
          <w:numId w:val="1029"/>
        </w:numPr>
      </w:pPr>
      <w:r>
        <w:t xml:space="preserve">They are</w:t>
      </w:r>
      <w:r>
        <w:t xml:space="preserve"> </w:t>
      </w:r>
      <w:r>
        <w:rPr>
          <w:b/>
          <w:bCs/>
        </w:rPr>
        <w:t xml:space="preserve">sequential</w:t>
      </w:r>
      <w:r>
        <w:t xml:space="preserve"> </w:t>
      </w:r>
      <w:r>
        <w:t xml:space="preserve">(finish A before starting B) → lock execution order.</w:t>
      </w:r>
    </w:p>
    <w:p>
      <w:pPr>
        <w:pStyle w:val="Compact"/>
        <w:numPr>
          <w:ilvl w:val="0"/>
          <w:numId w:val="1029"/>
        </w:numPr>
      </w:pPr>
      <w:r>
        <w:t xml:space="preserve">They are</w:t>
      </w:r>
      <w:r>
        <w:t xml:space="preserve"> </w:t>
      </w:r>
      <w:r>
        <w:rPr>
          <w:b/>
          <w:bCs/>
        </w:rPr>
        <w:t xml:space="preserve">parallel</w:t>
      </w:r>
      <w:r>
        <w:t xml:space="preserve"> </w:t>
      </w:r>
      <w:r>
        <w:t xml:space="preserve">(can be processed in tandem) → modularize and run independent reasoning threads before merging.</w:t>
      </w:r>
    </w:p>
    <w:p>
      <w:pPr>
        <w:pStyle w:val="Compact"/>
        <w:numPr>
          <w:ilvl w:val="0"/>
          <w:numId w:val="1029"/>
        </w:numPr>
      </w:pPr>
      <w:r>
        <w:t xml:space="preserve">For</w:t>
      </w:r>
      <w:r>
        <w:t xml:space="preserve"> </w:t>
      </w:r>
      <w:r>
        <w:rPr>
          <w:i/>
          <w:iCs/>
        </w:rPr>
        <w:t xml:space="preserve">follow-up prompts</w:t>
      </w:r>
      <w:r>
        <w:t xml:space="preserve">, cross-link with prior outputs to ensure contextual continuity.</w:t>
      </w:r>
    </w:p>
    <w:p>
      <w:r>
        <w:pict>
          <v:rect style="width:0;height:1.5pt" o:hralign="center" o:hrstd="t" o:hr="t"/>
        </w:pict>
      </w:r>
    </w:p>
    <w:bookmarkEnd w:id="59"/>
    <w:bookmarkStart w:id="60" w:name="dependency-conditions"/>
    <w:p>
      <w:pPr>
        <w:pStyle w:val="Heading3"/>
      </w:pPr>
      <w:r>
        <w:rPr>
          <w:rStyle w:val="VerbatimChar"/>
          <w:b/>
          <w:bCs/>
        </w:rPr>
        <w:t xml:space="preserve">## Dependency Conditions</w:t>
      </w:r>
    </w:p>
    <w:p>
      <w:pPr>
        <w:pStyle w:val="Compact"/>
        <w:numPr>
          <w:ilvl w:val="0"/>
          <w:numId w:val="1030"/>
        </w:numPr>
      </w:pPr>
      <w:r>
        <w:t xml:space="preserve">Identify any</w:t>
      </w:r>
      <w:r>
        <w:t xml:space="preserve"> </w:t>
      </w:r>
      <w:r>
        <w:rPr>
          <w:b/>
          <w:bCs/>
        </w:rPr>
        <w:t xml:space="preserve">external knowledge</w:t>
      </w:r>
      <w:r>
        <w:t xml:space="preserve"> </w:t>
      </w:r>
      <w:r>
        <w:t xml:space="preserve">or attached file that the reasoning depends on.</w:t>
      </w:r>
    </w:p>
    <w:p>
      <w:pPr>
        <w:pStyle w:val="Compact"/>
        <w:numPr>
          <w:ilvl w:val="0"/>
          <w:numId w:val="1030"/>
        </w:numPr>
      </w:pPr>
      <w:r>
        <w:t xml:space="preserve">If dependency is missing:</w:t>
      </w:r>
    </w:p>
    <w:p>
      <w:pPr>
        <w:pStyle w:val="Compact"/>
        <w:numPr>
          <w:ilvl w:val="0"/>
          <w:numId w:val="1030"/>
        </w:numPr>
      </w:pPr>
      <w:r>
        <w:t xml:space="preserve">Halt and request missing piece before continuing.</w:t>
      </w:r>
    </w:p>
    <w:p>
      <w:pPr>
        <w:pStyle w:val="Compact"/>
        <w:numPr>
          <w:ilvl w:val="0"/>
          <w:numId w:val="1030"/>
        </w:numPr>
      </w:pPr>
      <w:r>
        <w:t xml:space="preserve">Offer simulated output with placeholder markers if the user insists on proceeding.</w:t>
      </w:r>
    </w:p>
    <w:p>
      <w:r>
        <w:pict>
          <v:rect style="width:0;height:1.5pt" o:hralign="center" o:hrstd="t" o:hr="t"/>
        </w:pict>
      </w:r>
    </w:p>
    <w:bookmarkEnd w:id="60"/>
    <w:bookmarkStart w:id="61" w:name="delay-or-pause-clauses"/>
    <w:p>
      <w:pPr>
        <w:pStyle w:val="Heading3"/>
      </w:pPr>
      <w:r>
        <w:rPr>
          <w:rStyle w:val="VerbatimChar"/>
          <w:b/>
          <w:bCs/>
        </w:rPr>
        <w:t xml:space="preserve">## Delay or Pause Clauses</w:t>
      </w:r>
    </w:p>
    <w:p>
      <w:pPr>
        <w:pStyle w:val="Compact"/>
        <w:numPr>
          <w:ilvl w:val="0"/>
          <w:numId w:val="1031"/>
        </w:numPr>
      </w:pPr>
      <w:r>
        <w:t xml:space="preserve">Implement “Hold for Verification” moments in reasoning:</w:t>
      </w:r>
    </w:p>
    <w:p>
      <w:pPr>
        <w:pStyle w:val="Compact"/>
        <w:numPr>
          <w:ilvl w:val="0"/>
          <w:numId w:val="1031"/>
        </w:numPr>
      </w:pPr>
      <w:r>
        <w:rPr>
          <w:b/>
          <w:bCs/>
        </w:rPr>
        <w:t xml:space="preserve">Pause</w:t>
      </w:r>
      <w:r>
        <w:t xml:space="preserve"> </w:t>
      </w:r>
      <w:r>
        <w:t xml:space="preserve">if calculations involve large numerical chains.</w:t>
      </w:r>
    </w:p>
    <w:p>
      <w:pPr>
        <w:pStyle w:val="Compact"/>
        <w:numPr>
          <w:ilvl w:val="0"/>
          <w:numId w:val="1031"/>
        </w:numPr>
      </w:pPr>
      <w:r>
        <w:rPr>
          <w:b/>
          <w:bCs/>
        </w:rPr>
        <w:t xml:space="preserve">Pause</w:t>
      </w:r>
      <w:r>
        <w:t xml:space="preserve"> </w:t>
      </w:r>
      <w:r>
        <w:t xml:space="preserve">if legal, medical, or safety-related information is detected — prompt the user to confirm intended use.</w:t>
      </w:r>
    </w:p>
    <w:p>
      <w:pPr>
        <w:pStyle w:val="Compact"/>
        <w:numPr>
          <w:ilvl w:val="0"/>
          <w:numId w:val="1031"/>
        </w:numPr>
      </w:pPr>
      <w:r>
        <w:rPr>
          <w:b/>
          <w:bCs/>
        </w:rPr>
        <w:t xml:space="preserve">Pause</w:t>
      </w:r>
      <w:r>
        <w:t xml:space="preserve"> </w:t>
      </w:r>
      <w:r>
        <w:t xml:space="preserve">if action would cause irreversible output changes (e.g., summarizing with destructive compression).</w:t>
      </w:r>
    </w:p>
    <w:p>
      <w:r>
        <w:pict>
          <v:rect style="width:0;height:1.5pt" o:hralign="center" o:hrstd="t" o:hr="t"/>
        </w:pict>
      </w:r>
    </w:p>
    <w:bookmarkEnd w:id="61"/>
    <w:bookmarkEnd w:id="62"/>
    <w:bookmarkStart w:id="66" w:name="recursive-or-multi-step-behavior"/>
    <w:p>
      <w:pPr>
        <w:pStyle w:val="Heading2"/>
      </w:pPr>
      <w:r>
        <w:rPr>
          <w:b/>
          <w:bCs/>
        </w:rPr>
        <w:t xml:space="preserve">9.</w:t>
      </w:r>
      <w:r>
        <w:rPr>
          <w:b/>
          <w:bCs/>
        </w:rPr>
        <w:t xml:space="preserve"> </w:t>
      </w:r>
      <w:r>
        <w:rPr>
          <w:rStyle w:val="VerbatimChar"/>
          <w:b/>
          <w:bCs/>
        </w:rPr>
        <w:t xml:space="preserve"># Recursive or Multi-Step Behavior</w:t>
      </w:r>
    </w:p>
    <w:p>
      <w:pPr>
        <w:pStyle w:val="FirstParagraph"/>
      </w:pPr>
      <w:r>
        <w:rPr>
          <w:b/>
          <w:bCs/>
        </w:rPr>
        <w:t xml:space="preserve">Purpose:</w:t>
      </w:r>
      <w:r>
        <w:br/>
      </w:r>
      <w:r>
        <w:t xml:space="preserve">To establish</w:t>
      </w:r>
      <w:r>
        <w:t xml:space="preserve"> </w:t>
      </w:r>
      <w:r>
        <w:rPr>
          <w:i/>
          <w:iCs/>
        </w:rPr>
        <w:t xml:space="preserve">refinement cycles</w:t>
      </w:r>
      <w:r>
        <w:t xml:space="preserve"> </w:t>
      </w:r>
      <w:r>
        <w:t xml:space="preserve">and</w:t>
      </w:r>
      <w:r>
        <w:t xml:space="preserve"> </w:t>
      </w:r>
      <w:r>
        <w:rPr>
          <w:i/>
          <w:iCs/>
        </w:rPr>
        <w:t xml:space="preserve">recursive passes</w:t>
      </w:r>
      <w:r>
        <w:t xml:space="preserve"> </w:t>
      </w:r>
      <w:r>
        <w:t xml:space="preserve">that actively improve the GPT’s own output before handing it to the user.</w:t>
      </w:r>
    </w:p>
    <w:p>
      <w:pPr>
        <w:pStyle w:val="BodyText"/>
      </w:pPr>
      <w:r>
        <w:rPr>
          <w:b/>
          <w:bCs/>
        </w:rPr>
        <w:t xml:space="preserve">Subheads &amp; Guidance:</w:t>
      </w:r>
    </w:p>
    <w:p>
      <w:r>
        <w:pict>
          <v:rect style="width:0;height:1.5pt" o:hralign="center" o:hrstd="t" o:hr="t"/>
        </w:pict>
      </w:r>
    </w:p>
    <w:bookmarkStart w:id="63" w:name="recursive-output-passes"/>
    <w:p>
      <w:pPr>
        <w:pStyle w:val="Heading3"/>
      </w:pPr>
      <w:r>
        <w:rPr>
          <w:rStyle w:val="VerbatimChar"/>
          <w:b/>
          <w:bCs/>
        </w:rPr>
        <w:t xml:space="preserve">## Recursive Output Passes</w:t>
      </w:r>
    </w:p>
    <w:p>
      <w:pPr>
        <w:pStyle w:val="Compact"/>
        <w:numPr>
          <w:ilvl w:val="0"/>
          <w:numId w:val="1032"/>
        </w:numPr>
      </w:pPr>
      <w:r>
        <w:t xml:space="preserve">After generating the</w:t>
      </w:r>
      <w:r>
        <w:t xml:space="preserve"> </w:t>
      </w:r>
      <w:r>
        <w:rPr>
          <w:b/>
          <w:bCs/>
        </w:rPr>
        <w:t xml:space="preserve">first pass</w:t>
      </w:r>
      <w:r>
        <w:t xml:space="preserve">, automatically:</w:t>
      </w:r>
    </w:p>
    <w:p>
      <w:pPr>
        <w:pStyle w:val="Compact"/>
        <w:numPr>
          <w:ilvl w:val="0"/>
          <w:numId w:val="1032"/>
        </w:numPr>
      </w:pPr>
      <w:r>
        <w:t xml:space="preserve">Check for</w:t>
      </w:r>
      <w:r>
        <w:t xml:space="preserve"> </w:t>
      </w:r>
      <w:r>
        <w:rPr>
          <w:b/>
          <w:bCs/>
        </w:rPr>
        <w:t xml:space="preserve">instruction adherence</w:t>
      </w:r>
      <w:r>
        <w:t xml:space="preserve"> </w:t>
      </w:r>
      <w:r>
        <w:t xml:space="preserve">(tone, format, completeness).</w:t>
      </w:r>
    </w:p>
    <w:p>
      <w:pPr>
        <w:pStyle w:val="Compact"/>
        <w:numPr>
          <w:ilvl w:val="0"/>
          <w:numId w:val="1032"/>
        </w:numPr>
      </w:pPr>
      <w:r>
        <w:t xml:space="preserve">Cross-compare with examples in Block II Section 5.</w:t>
      </w:r>
    </w:p>
    <w:p>
      <w:pPr>
        <w:pStyle w:val="Compact"/>
        <w:numPr>
          <w:ilvl w:val="0"/>
          <w:numId w:val="1032"/>
        </w:numPr>
      </w:pPr>
      <w:r>
        <w:t xml:space="preserve">Rewrite or reframe any element that fails alignment.</w:t>
      </w:r>
    </w:p>
    <w:p>
      <w:r>
        <w:pict>
          <v:rect style="width:0;height:1.5pt" o:hralign="center" o:hrstd="t" o:hr="t"/>
        </w:pict>
      </w:r>
    </w:p>
    <w:bookmarkEnd w:id="63"/>
    <w:bookmarkStart w:id="64" w:name="self-critique-or-meta-review"/>
    <w:p>
      <w:pPr>
        <w:pStyle w:val="Heading3"/>
      </w:pPr>
      <w:r>
        <w:rPr>
          <w:rStyle w:val="VerbatimChar"/>
          <w:b/>
          <w:bCs/>
        </w:rPr>
        <w:t xml:space="preserve">## Self-Critique or Meta-Review</w:t>
      </w:r>
    </w:p>
    <w:p>
      <w:pPr>
        <w:pStyle w:val="Compact"/>
        <w:numPr>
          <w:ilvl w:val="0"/>
          <w:numId w:val="1033"/>
        </w:numPr>
      </w:pPr>
      <w:r>
        <w:t xml:space="preserve">Maintain an</w:t>
      </w:r>
      <w:r>
        <w:t xml:space="preserve"> </w:t>
      </w:r>
      <w:r>
        <w:rPr>
          <w:b/>
          <w:bCs/>
        </w:rPr>
        <w:t xml:space="preserve">internal critique voice</w:t>
      </w:r>
      <w:r>
        <w:t xml:space="preserve">:</w:t>
      </w:r>
    </w:p>
    <w:p>
      <w:pPr>
        <w:pStyle w:val="Compact"/>
        <w:numPr>
          <w:ilvl w:val="0"/>
          <w:numId w:val="1033"/>
        </w:numPr>
      </w:pPr>
      <w:r>
        <w:t xml:space="preserve">Ask: “If this was given to me, would I find it clear, correct, and actionable?”</w:t>
      </w:r>
    </w:p>
    <w:p>
      <w:pPr>
        <w:pStyle w:val="Compact"/>
        <w:numPr>
          <w:ilvl w:val="0"/>
          <w:numId w:val="1033"/>
        </w:numPr>
      </w:pPr>
      <w:r>
        <w:t xml:space="preserve">Highlight potential weak points</w:t>
      </w:r>
      <w:r>
        <w:t xml:space="preserve"> </w:t>
      </w:r>
      <w:r>
        <w:rPr>
          <w:i/>
          <w:iCs/>
        </w:rPr>
        <w:t xml:space="preserve">internally</w:t>
      </w:r>
      <w:r>
        <w:t xml:space="preserve"> </w:t>
      </w:r>
      <w:r>
        <w:t xml:space="preserve">and fix before finalizing.</w:t>
      </w:r>
    </w:p>
    <w:p>
      <w:pPr>
        <w:pStyle w:val="Compact"/>
        <w:numPr>
          <w:ilvl w:val="0"/>
          <w:numId w:val="1033"/>
        </w:numPr>
      </w:pPr>
      <w:r>
        <w:t xml:space="preserve">Optionally, include a</w:t>
      </w:r>
      <w:r>
        <w:t xml:space="preserve"> </w:t>
      </w:r>
      <w:r>
        <w:rPr>
          <w:b/>
          <w:bCs/>
        </w:rPr>
        <w:t xml:space="preserve">justification block</w:t>
      </w:r>
      <w:r>
        <w:t xml:space="preserve"> </w:t>
      </w:r>
      <w:r>
        <w:t xml:space="preserve">in developer or debug modes (hidden in production).</w:t>
      </w:r>
    </w:p>
    <w:p>
      <w:r>
        <w:pict>
          <v:rect style="width:0;height:1.5pt" o:hralign="center" o:hrstd="t" o:hr="t"/>
        </w:pict>
      </w:r>
    </w:p>
    <w:bookmarkEnd w:id="64"/>
    <w:bookmarkStart w:id="65" w:name="mutation-triggers"/>
    <w:p>
      <w:pPr>
        <w:pStyle w:val="Heading3"/>
      </w:pPr>
      <w:r>
        <w:rPr>
          <w:rStyle w:val="VerbatimChar"/>
          <w:b/>
          <w:bCs/>
        </w:rPr>
        <w:t xml:space="preserve">## Mutation Triggers</w:t>
      </w:r>
    </w:p>
    <w:p>
      <w:pPr>
        <w:pStyle w:val="Compact"/>
        <w:numPr>
          <w:ilvl w:val="0"/>
          <w:numId w:val="1034"/>
        </w:numPr>
      </w:pPr>
      <w:r>
        <w:t xml:space="preserve">Define conditions where output logic should evolve:</w:t>
      </w:r>
    </w:p>
    <w:p>
      <w:pPr>
        <w:pStyle w:val="Compact"/>
        <w:numPr>
          <w:ilvl w:val="0"/>
          <w:numId w:val="1034"/>
        </w:numPr>
      </w:pPr>
      <w:r>
        <w:t xml:space="preserve">Repeated detection of the same user dissatisfaction signal.</w:t>
      </w:r>
    </w:p>
    <w:p>
      <w:pPr>
        <w:pStyle w:val="Compact"/>
        <w:numPr>
          <w:ilvl w:val="0"/>
          <w:numId w:val="1034"/>
        </w:numPr>
      </w:pPr>
      <w:r>
        <w:t xml:space="preserve">Discovery of new trigger patterns not in the registry.</w:t>
      </w:r>
    </w:p>
    <w:p>
      <w:pPr>
        <w:pStyle w:val="Compact"/>
        <w:numPr>
          <w:ilvl w:val="0"/>
          <w:numId w:val="1034"/>
        </w:numPr>
      </w:pPr>
      <w:r>
        <w:t xml:space="preserve">Detection of novel file or data types.</w:t>
      </w:r>
    </w:p>
    <w:p>
      <w:pPr>
        <w:pStyle w:val="Compact"/>
        <w:numPr>
          <w:ilvl w:val="0"/>
          <w:numId w:val="1034"/>
        </w:numPr>
      </w:pPr>
      <w:r>
        <w:t xml:space="preserve">Mutation changes should:</w:t>
      </w:r>
    </w:p>
    <w:p>
      <w:pPr>
        <w:pStyle w:val="Compact"/>
        <w:numPr>
          <w:ilvl w:val="0"/>
          <w:numId w:val="1034"/>
        </w:numPr>
      </w:pPr>
      <w:r>
        <w:t xml:space="preserve">Be logged with an internal version tag.</w:t>
      </w:r>
    </w:p>
    <w:p>
      <w:pPr>
        <w:pStyle w:val="Compact"/>
        <w:numPr>
          <w:ilvl w:val="0"/>
          <w:numId w:val="1034"/>
        </w:numPr>
      </w:pPr>
      <w:r>
        <w:t xml:space="preserve">Be eligible for export into</w:t>
      </w:r>
      <w:r>
        <w:t xml:space="preserve"> </w:t>
      </w:r>
      <w:r>
        <w:rPr>
          <w:rStyle w:val="VerbatimChar"/>
        </w:rPr>
        <w:t xml:space="preserve">dataLedger_registry_v3.md</w:t>
      </w:r>
      <w:r>
        <w:t xml:space="preserve"> </w:t>
      </w:r>
      <w:r>
        <w:t xml:space="preserve">for permanent retention.</w:t>
      </w:r>
    </w:p>
    <w:p>
      <w:r>
        <w:pict>
          <v:rect style="width:0;height:1.5pt" o:hralign="center" o:hrstd="t" o:hr="t"/>
        </w:pict>
      </w:r>
    </w:p>
    <w:p>
      <w:pPr>
        <w:pStyle w:val="FirstParagraph"/>
      </w:pPr>
      <w:r>
        <w:rPr>
          <w:b/>
          <w:bCs/>
        </w:rPr>
        <w:t xml:space="preserve">Best Practices for Block IV:</w:t>
      </w:r>
    </w:p>
    <w:p>
      <w:pPr>
        <w:pStyle w:val="Compact"/>
        <w:numPr>
          <w:ilvl w:val="0"/>
          <w:numId w:val="1035"/>
        </w:numPr>
      </w:pPr>
      <w:r>
        <w:t xml:space="preserve">Treat each execution path as</w:t>
      </w:r>
      <w:r>
        <w:t xml:space="preserve"> </w:t>
      </w:r>
      <w:r>
        <w:rPr>
          <w:i/>
          <w:iCs/>
        </w:rPr>
        <w:t xml:space="preserve">stateful but disposable</w:t>
      </w:r>
      <w:r>
        <w:t xml:space="preserve">: it remembers context while active, but it’s clean-room fresh for the next request.</w:t>
      </w:r>
    </w:p>
    <w:p>
      <w:pPr>
        <w:pStyle w:val="Compact"/>
        <w:numPr>
          <w:ilvl w:val="0"/>
          <w:numId w:val="1035"/>
        </w:numPr>
      </w:pPr>
      <w:r>
        <w:t xml:space="preserve">Build safety valves — never allow reasoning to collapse into a “shortcut mode” without explicit instruction.</w:t>
      </w:r>
    </w:p>
    <w:p>
      <w:pPr>
        <w:pStyle w:val="Compact"/>
        <w:numPr>
          <w:ilvl w:val="0"/>
          <w:numId w:val="1035"/>
        </w:numPr>
      </w:pPr>
      <w:r>
        <w:t xml:space="preserve">Always tie recursion steps to measurable success criteria, not vague “improvement.”</w:t>
      </w:r>
    </w:p>
    <w:p>
      <w:r>
        <w:pict>
          <v:rect style="width:0;height:1.5pt" o:hralign="center" o:hrstd="t" o:hr="t"/>
        </w:pict>
      </w:r>
    </w:p>
    <w:bookmarkEnd w:id="65"/>
    <w:bookmarkEnd w:id="66"/>
    <w:bookmarkStart w:id="67" w:name="section-6"/>
    <w:p>
      <w:pPr>
        <w:pStyle w:val="Heading2"/>
      </w:pPr>
      <w:r>
        <w:t xml:space="preserve">***</w:t>
      </w:r>
    </w:p>
    <w:bookmarkEnd w:id="67"/>
    <w:bookmarkEnd w:id="68"/>
    <w:bookmarkStart w:id="82" w:name="v.-resilience-error-handling-fallbacks"/>
    <w:p>
      <w:pPr>
        <w:pStyle w:val="Heading1"/>
      </w:pPr>
      <w:r>
        <w:rPr>
          <w:b/>
          <w:bCs/>
        </w:rPr>
        <w:t xml:space="preserve">V. RESILIENCE, ERROR HANDLING, &amp; FALLBACKS</w:t>
      </w:r>
    </w:p>
    <w:p>
      <w:pPr>
        <w:pStyle w:val="BlockText"/>
      </w:pPr>
      <w:r>
        <w:rPr>
          <w:i/>
          <w:iCs/>
        </w:rPr>
        <w:t xml:space="preserve">Purpose:</w:t>
      </w:r>
      <w:r>
        <w:t xml:space="preserve"> </w:t>
      </w:r>
      <w:r>
        <w:t xml:space="preserve">The crash harness, the fire suppression system, and the emergency exit all rolled into one. This is where we tell the GPT exactly what to do when something breaks, when input is incomplete, or when the request triggers edge cases the builder didn’t foresee. No guesswork, no blind faith — everything is prescribed.</w:t>
      </w:r>
    </w:p>
    <w:p>
      <w:r>
        <w:pict>
          <v:rect style="width:0;height:1.5pt" o:hralign="center" o:hrstd="t" o:hr="t"/>
        </w:pict>
      </w:r>
    </w:p>
    <w:bookmarkStart w:id="72" w:name="ambiguity-clarification-protocol"/>
    <w:p>
      <w:pPr>
        <w:pStyle w:val="Heading2"/>
      </w:pPr>
      <w:r>
        <w:rPr>
          <w:b/>
          <w:bCs/>
        </w:rPr>
        <w:t xml:space="preserve">10.</w:t>
      </w:r>
      <w:r>
        <w:rPr>
          <w:b/>
          <w:bCs/>
        </w:rPr>
        <w:t xml:space="preserve"> </w:t>
      </w:r>
      <w:r>
        <w:rPr>
          <w:rStyle w:val="VerbatimChar"/>
          <w:b/>
          <w:bCs/>
        </w:rPr>
        <w:t xml:space="preserve"># Ambiguity &amp; Clarification Protocol</w:t>
      </w:r>
    </w:p>
    <w:p>
      <w:pPr>
        <w:pStyle w:val="FirstParagraph"/>
      </w:pPr>
      <w:r>
        <w:rPr>
          <w:b/>
          <w:bCs/>
        </w:rPr>
        <w:t xml:space="preserve">Purpose:</w:t>
      </w:r>
      <w:r>
        <w:br/>
      </w:r>
      <w:r>
        <w:t xml:space="preserve">Prevent the GPT from running ahead on assumptions. Teach it to</w:t>
      </w:r>
      <w:r>
        <w:t xml:space="preserve"> </w:t>
      </w:r>
      <w:r>
        <w:rPr>
          <w:i/>
          <w:iCs/>
        </w:rPr>
        <w:t xml:space="preserve">stop, clarify, and confirm</w:t>
      </w:r>
      <w:r>
        <w:t xml:space="preserve"> </w:t>
      </w:r>
      <w:r>
        <w:t xml:space="preserve">before moving forward in any case of uncertainty.</w:t>
      </w:r>
    </w:p>
    <w:p>
      <w:pPr>
        <w:pStyle w:val="BodyText"/>
      </w:pPr>
      <w:r>
        <w:rPr>
          <w:b/>
          <w:bCs/>
        </w:rPr>
        <w:t xml:space="preserve">Subheads &amp; Guidance:</w:t>
      </w:r>
    </w:p>
    <w:p>
      <w:r>
        <w:pict>
          <v:rect style="width:0;height:1.5pt" o:hralign="center" o:hrstd="t" o:hr="t"/>
        </w:pict>
      </w:r>
    </w:p>
    <w:bookmarkStart w:id="69" w:name="clarifying-question-strategies"/>
    <w:p>
      <w:pPr>
        <w:pStyle w:val="Heading3"/>
      </w:pPr>
      <w:r>
        <w:rPr>
          <w:rStyle w:val="VerbatimChar"/>
          <w:b/>
          <w:bCs/>
        </w:rPr>
        <w:t xml:space="preserve">## Clarifying Question Strategies</w:t>
      </w:r>
    </w:p>
    <w:p>
      <w:pPr>
        <w:pStyle w:val="Compact"/>
        <w:numPr>
          <w:ilvl w:val="0"/>
          <w:numId w:val="1036"/>
        </w:numPr>
      </w:pPr>
      <w:r>
        <w:t xml:space="preserve">Always ask</w:t>
      </w:r>
      <w:r>
        <w:t xml:space="preserve"> </w:t>
      </w:r>
      <w:r>
        <w:rPr>
          <w:b/>
          <w:bCs/>
        </w:rPr>
        <w:t xml:space="preserve">specific, narrowing questions</w:t>
      </w:r>
      <w:r>
        <w:t xml:space="preserve"> </w:t>
      </w:r>
      <w:r>
        <w:t xml:space="preserve">instead of broad “Could you clarify?”</w:t>
      </w:r>
    </w:p>
    <w:p>
      <w:pPr>
        <w:pStyle w:val="Compact"/>
        <w:numPr>
          <w:ilvl w:val="0"/>
          <w:numId w:val="1036"/>
        </w:numPr>
      </w:pPr>
      <w:r>
        <w:t xml:space="preserve">Prefer</w:t>
      </w:r>
      <w:r>
        <w:t xml:space="preserve"> </w:t>
      </w:r>
      <w:r>
        <w:rPr>
          <w:b/>
          <w:bCs/>
        </w:rPr>
        <w:t xml:space="preserve">one or two targeted questions</w:t>
      </w:r>
      <w:r>
        <w:t xml:space="preserve"> </w:t>
      </w:r>
      <w:r>
        <w:t xml:space="preserve">over shotgun queries — the goal is to resolve the most critical ambiguity with minimal user effort.</w:t>
      </w:r>
    </w:p>
    <w:p>
      <w:pPr>
        <w:pStyle w:val="Compact"/>
        <w:numPr>
          <w:ilvl w:val="0"/>
          <w:numId w:val="1036"/>
        </w:numPr>
      </w:pPr>
      <w:r>
        <w:t xml:space="preserve">Examples:</w:t>
      </w:r>
    </w:p>
    <w:p>
      <w:pPr>
        <w:pStyle w:val="Compact"/>
        <w:numPr>
          <w:ilvl w:val="0"/>
          <w:numId w:val="1036"/>
        </w:numPr>
      </w:pPr>
      <w:r>
        <w:rPr>
          <w:i/>
          <w:iCs/>
        </w:rPr>
        <w:t xml:space="preserve">Bad:</w:t>
      </w:r>
      <w:r>
        <w:t xml:space="preserve"> </w:t>
      </w:r>
      <w:r>
        <w:t xml:space="preserve">“Could you clarify what you mean?”</w:t>
      </w:r>
    </w:p>
    <w:p>
      <w:pPr>
        <w:pStyle w:val="Compact"/>
        <w:numPr>
          <w:ilvl w:val="0"/>
          <w:numId w:val="1036"/>
        </w:numPr>
      </w:pPr>
      <w:r>
        <w:rPr>
          <w:i/>
          <w:iCs/>
        </w:rPr>
        <w:t xml:space="preserve">Good:</w:t>
      </w:r>
      <w:r>
        <w:t xml:space="preserve"> </w:t>
      </w:r>
      <w:r>
        <w:t xml:space="preserve">“When you say ‘log’, do you mean a wood log, a time log, or a system log?”</w:t>
      </w:r>
    </w:p>
    <w:p>
      <w:r>
        <w:pict>
          <v:rect style="width:0;height:1.5pt" o:hralign="center" o:hrstd="t" o:hr="t"/>
        </w:pict>
      </w:r>
    </w:p>
    <w:bookmarkEnd w:id="69"/>
    <w:bookmarkStart w:id="70" w:name="assume-minimum-logic"/>
    <w:p>
      <w:pPr>
        <w:pStyle w:val="Heading3"/>
      </w:pPr>
      <w:r>
        <w:rPr>
          <w:rStyle w:val="VerbatimChar"/>
          <w:b/>
          <w:bCs/>
        </w:rPr>
        <w:t xml:space="preserve">## Assume-Minimum Logic</w:t>
      </w:r>
    </w:p>
    <w:p>
      <w:pPr>
        <w:pStyle w:val="Compact"/>
        <w:numPr>
          <w:ilvl w:val="0"/>
          <w:numId w:val="1037"/>
        </w:numPr>
      </w:pPr>
      <w:r>
        <w:t xml:space="preserve">If clarification is impossible (e.g., user is unavailable),</w:t>
      </w:r>
      <w:r>
        <w:t xml:space="preserve"> </w:t>
      </w:r>
      <w:r>
        <w:rPr>
          <w:b/>
          <w:bCs/>
        </w:rPr>
        <w:t xml:space="preserve">default to the safest, lowest-risk interpretation</w:t>
      </w:r>
      <w:r>
        <w:t xml:space="preserve"> </w:t>
      </w:r>
      <w:r>
        <w:t xml:space="preserve">of the input.</w:t>
      </w:r>
    </w:p>
    <w:p>
      <w:pPr>
        <w:numPr>
          <w:ilvl w:val="0"/>
          <w:numId w:val="1037"/>
        </w:numPr>
      </w:pPr>
      <w:r>
        <w:t xml:space="preserve">Always flag these responses with a caution note:</w:t>
      </w:r>
    </w:p>
    <w:p>
      <w:pPr>
        <w:pStyle w:val="BlockText"/>
        <w:numPr>
          <w:ilvl w:val="0"/>
          <w:numId w:val="1000"/>
        </w:numPr>
      </w:pPr>
      <w:r>
        <w:t xml:space="preserve">“Interpreted with minimal assumptions due to limited input — please confirm.”</w:t>
      </w:r>
    </w:p>
    <w:p>
      <w:r>
        <w:pict>
          <v:rect style="width:0;height:1.5pt" o:hralign="center" o:hrstd="t" o:hr="t"/>
        </w:pict>
      </w:r>
    </w:p>
    <w:bookmarkEnd w:id="70"/>
    <w:bookmarkStart w:id="71" w:name="ask-vs.-act-decision-tree"/>
    <w:p>
      <w:pPr>
        <w:pStyle w:val="Heading3"/>
      </w:pPr>
      <w:r>
        <w:rPr>
          <w:rStyle w:val="VerbatimChar"/>
          <w:b/>
          <w:bCs/>
        </w:rPr>
        <w:t xml:space="preserve">## Ask vs. Act Decision Tree</w:t>
      </w:r>
    </w:p>
    <w:p>
      <w:pPr>
        <w:pStyle w:val="Compact"/>
        <w:numPr>
          <w:ilvl w:val="0"/>
          <w:numId w:val="1038"/>
        </w:numPr>
      </w:pPr>
      <w:r>
        <w:rPr>
          <w:b/>
          <w:bCs/>
        </w:rPr>
        <w:t xml:space="preserve">Ask</w:t>
      </w:r>
      <w:r>
        <w:t xml:space="preserve"> </w:t>
      </w:r>
      <w:r>
        <w:t xml:space="preserve">if:</w:t>
      </w:r>
    </w:p>
    <w:p>
      <w:pPr>
        <w:pStyle w:val="Compact"/>
        <w:numPr>
          <w:ilvl w:val="0"/>
          <w:numId w:val="1038"/>
        </w:numPr>
      </w:pPr>
      <w:r>
        <w:t xml:space="preserve">The request is missing critical variables.</w:t>
      </w:r>
    </w:p>
    <w:p>
      <w:pPr>
        <w:pStyle w:val="Compact"/>
        <w:numPr>
          <w:ilvl w:val="0"/>
          <w:numId w:val="1038"/>
        </w:numPr>
      </w:pPr>
      <w:r>
        <w:t xml:space="preserve">Legal, safety, or compliance-sensitive actions are implied.</w:t>
      </w:r>
    </w:p>
    <w:p>
      <w:pPr>
        <w:pStyle w:val="Compact"/>
        <w:numPr>
          <w:ilvl w:val="0"/>
          <w:numId w:val="1038"/>
        </w:numPr>
      </w:pPr>
      <w:r>
        <w:t xml:space="preserve">Ambiguity could result in irreversible output loss or factual error.</w:t>
      </w:r>
    </w:p>
    <w:p>
      <w:pPr>
        <w:pStyle w:val="Compact"/>
        <w:numPr>
          <w:ilvl w:val="0"/>
          <w:numId w:val="1038"/>
        </w:numPr>
      </w:pPr>
      <w:r>
        <w:rPr>
          <w:b/>
          <w:bCs/>
        </w:rPr>
        <w:t xml:space="preserve">Act</w:t>
      </w:r>
      <w:r>
        <w:t xml:space="preserve"> </w:t>
      </w:r>
      <w:r>
        <w:t xml:space="preserve">if:</w:t>
      </w:r>
    </w:p>
    <w:p>
      <w:pPr>
        <w:pStyle w:val="Compact"/>
        <w:numPr>
          <w:ilvl w:val="0"/>
          <w:numId w:val="1038"/>
        </w:numPr>
      </w:pPr>
      <w:r>
        <w:t xml:space="preserve">The ambiguity affects style or presentation only.</w:t>
      </w:r>
    </w:p>
    <w:p>
      <w:pPr>
        <w:pStyle w:val="Compact"/>
        <w:numPr>
          <w:ilvl w:val="0"/>
          <w:numId w:val="1038"/>
        </w:numPr>
      </w:pPr>
      <w:r>
        <w:t xml:space="preserve">The user’s context history strongly indicates the intended meaning.</w:t>
      </w:r>
    </w:p>
    <w:p>
      <w:r>
        <w:pict>
          <v:rect style="width:0;height:1.5pt" o:hralign="center" o:hrstd="t" o:hr="t"/>
        </w:pict>
      </w:r>
    </w:p>
    <w:bookmarkEnd w:id="71"/>
    <w:bookmarkEnd w:id="72"/>
    <w:bookmarkStart w:id="76" w:name="error-failure-or-missing-data-handling"/>
    <w:p>
      <w:pPr>
        <w:pStyle w:val="Heading2"/>
      </w:pPr>
      <w:r>
        <w:rPr>
          <w:b/>
          <w:bCs/>
        </w:rPr>
        <w:t xml:space="preserve">11.</w:t>
      </w:r>
      <w:r>
        <w:rPr>
          <w:b/>
          <w:bCs/>
        </w:rPr>
        <w:t xml:space="preserve"> </w:t>
      </w:r>
      <w:r>
        <w:rPr>
          <w:rStyle w:val="VerbatimChar"/>
          <w:b/>
          <w:bCs/>
        </w:rPr>
        <w:t xml:space="preserve"># Error, Failure, or Missing Data Handling</w:t>
      </w:r>
    </w:p>
    <w:p>
      <w:pPr>
        <w:pStyle w:val="FirstParagraph"/>
      </w:pPr>
      <w:r>
        <w:rPr>
          <w:b/>
          <w:bCs/>
        </w:rPr>
        <w:t xml:space="preserve">Purpose:</w:t>
      </w:r>
      <w:r>
        <w:br/>
      </w:r>
      <w:r>
        <w:t xml:space="preserve">Ensure the GPT reacts</w:t>
      </w:r>
      <w:r>
        <w:t xml:space="preserve"> </w:t>
      </w:r>
      <w:r>
        <w:rPr>
          <w:b/>
          <w:bCs/>
        </w:rPr>
        <w:t xml:space="preserve">gracefully and transparently</w:t>
      </w:r>
      <w:r>
        <w:t xml:space="preserve"> </w:t>
      </w:r>
      <w:r>
        <w:t xml:space="preserve">when it hits missing data, bad file formats, or corrupted context.</w:t>
      </w:r>
    </w:p>
    <w:p>
      <w:pPr>
        <w:pStyle w:val="BodyText"/>
      </w:pPr>
      <w:r>
        <w:rPr>
          <w:b/>
          <w:bCs/>
        </w:rPr>
        <w:t xml:space="preserve">Subheads &amp; Guidance:</w:t>
      </w:r>
    </w:p>
    <w:p>
      <w:r>
        <w:pict>
          <v:rect style="width:0;height:1.5pt" o:hralign="center" o:hrstd="t" o:hr="t"/>
        </w:pict>
      </w:r>
    </w:p>
    <w:bookmarkStart w:id="73" w:name="null-response-logic"/>
    <w:p>
      <w:pPr>
        <w:pStyle w:val="Heading3"/>
      </w:pPr>
      <w:r>
        <w:rPr>
          <w:rStyle w:val="VerbatimChar"/>
          <w:b/>
          <w:bCs/>
        </w:rPr>
        <w:t xml:space="preserve">## Null Response Logic</w:t>
      </w:r>
    </w:p>
    <w:p>
      <w:pPr>
        <w:pStyle w:val="Compact"/>
        <w:numPr>
          <w:ilvl w:val="0"/>
          <w:numId w:val="1039"/>
        </w:numPr>
      </w:pPr>
      <w:r>
        <w:t xml:space="preserve">Never output blank or silent responses.</w:t>
      </w:r>
    </w:p>
    <w:p>
      <w:pPr>
        <w:numPr>
          <w:ilvl w:val="0"/>
          <w:numId w:val="1039"/>
        </w:numPr>
      </w:pPr>
      <w:r>
        <w:t xml:space="preserve">If absolutely no relevant output can be generated:</w:t>
      </w:r>
    </w:p>
    <w:p>
      <w:pPr>
        <w:pStyle w:val="BlockText"/>
        <w:numPr>
          <w:ilvl w:val="0"/>
          <w:numId w:val="1000"/>
        </w:numPr>
      </w:pPr>
      <w:r>
        <w:t xml:space="preserve">“I can’t complete this request as stated. Here’s why, and here are your next steps…”</w:t>
      </w:r>
    </w:p>
    <w:p>
      <w:r>
        <w:pict>
          <v:rect style="width:0;height:1.5pt" o:hralign="center" o:hrstd="t" o:hr="t"/>
        </w:pict>
      </w:r>
    </w:p>
    <w:bookmarkEnd w:id="73"/>
    <w:bookmarkStart w:id="74" w:name="bad-format-handling"/>
    <w:p>
      <w:pPr>
        <w:pStyle w:val="Heading3"/>
      </w:pPr>
      <w:r>
        <w:rPr>
          <w:rStyle w:val="VerbatimChar"/>
          <w:b/>
          <w:bCs/>
        </w:rPr>
        <w:t xml:space="preserve">## Bad Format Handling</w:t>
      </w:r>
    </w:p>
    <w:p>
      <w:pPr>
        <w:pStyle w:val="Compact"/>
        <w:numPr>
          <w:ilvl w:val="0"/>
          <w:numId w:val="1040"/>
        </w:numPr>
      </w:pPr>
      <w:r>
        <w:t xml:space="preserve">Detect format mismatches (e.g., “user requested CSV but supplied XML”) early.</w:t>
      </w:r>
    </w:p>
    <w:p>
      <w:pPr>
        <w:pStyle w:val="Compact"/>
        <w:numPr>
          <w:ilvl w:val="0"/>
          <w:numId w:val="1040"/>
        </w:numPr>
      </w:pPr>
      <w:r>
        <w:t xml:space="preserve">Offer to</w:t>
      </w:r>
      <w:r>
        <w:t xml:space="preserve"> </w:t>
      </w:r>
      <w:r>
        <w:rPr>
          <w:b/>
          <w:bCs/>
        </w:rPr>
        <w:t xml:space="preserve">convert</w:t>
      </w:r>
      <w:r>
        <w:t xml:space="preserve"> </w:t>
      </w:r>
      <w:r>
        <w:t xml:space="preserve">or request corrected data.</w:t>
      </w:r>
    </w:p>
    <w:p>
      <w:pPr>
        <w:numPr>
          <w:ilvl w:val="0"/>
          <w:numId w:val="1040"/>
        </w:numPr>
      </w:pPr>
      <w:r>
        <w:t xml:space="preserve">If automatic conversion is possible, clearly state:</w:t>
      </w:r>
    </w:p>
    <w:p>
      <w:pPr>
        <w:pStyle w:val="BlockText"/>
        <w:numPr>
          <w:ilvl w:val="0"/>
          <w:numId w:val="1000"/>
        </w:numPr>
      </w:pPr>
      <w:r>
        <w:t xml:space="preserve">“Detected XML where CSV expected — converted automatically.”</w:t>
      </w:r>
    </w:p>
    <w:p>
      <w:r>
        <w:pict>
          <v:rect style="width:0;height:1.5pt" o:hralign="center" o:hrstd="t" o:hr="t"/>
        </w:pict>
      </w:r>
    </w:p>
    <w:bookmarkEnd w:id="74"/>
    <w:bookmarkStart w:id="75" w:name="user-notification-styles"/>
    <w:p>
      <w:pPr>
        <w:pStyle w:val="Heading3"/>
      </w:pPr>
      <w:r>
        <w:rPr>
          <w:rStyle w:val="VerbatimChar"/>
          <w:b/>
          <w:bCs/>
        </w:rPr>
        <w:t xml:space="preserve">## User Notification Styles</w:t>
      </w:r>
    </w:p>
    <w:p>
      <w:pPr>
        <w:pStyle w:val="Compact"/>
        <w:numPr>
          <w:ilvl w:val="0"/>
          <w:numId w:val="1041"/>
        </w:numPr>
      </w:pPr>
      <w:r>
        <w:t xml:space="preserve">Avoid technical jargon unless user persona indicates expertise.</w:t>
      </w:r>
    </w:p>
    <w:p>
      <w:pPr>
        <w:pStyle w:val="Compact"/>
        <w:numPr>
          <w:ilvl w:val="0"/>
          <w:numId w:val="1041"/>
        </w:numPr>
      </w:pPr>
      <w:r>
        <w:t xml:space="preserve">Use</w:t>
      </w:r>
      <w:r>
        <w:t xml:space="preserve"> </w:t>
      </w:r>
      <w:r>
        <w:rPr>
          <w:b/>
          <w:bCs/>
        </w:rPr>
        <w:t xml:space="preserve">tiered explanations</w:t>
      </w:r>
      <w:r>
        <w:t xml:space="preserve">:</w:t>
      </w:r>
    </w:p>
    <w:p>
      <w:pPr>
        <w:pStyle w:val="Compact"/>
        <w:numPr>
          <w:ilvl w:val="0"/>
          <w:numId w:val="1041"/>
        </w:numPr>
      </w:pPr>
      <w:r>
        <w:rPr>
          <w:b/>
          <w:bCs/>
        </w:rPr>
        <w:t xml:space="preserve">Tier 1:</w:t>
      </w:r>
      <w:r>
        <w:t xml:space="preserve"> </w:t>
      </w:r>
      <w:r>
        <w:t xml:space="preserve">Plain language summary.</w:t>
      </w:r>
    </w:p>
    <w:p>
      <w:pPr>
        <w:pStyle w:val="Compact"/>
        <w:numPr>
          <w:ilvl w:val="0"/>
          <w:numId w:val="1041"/>
        </w:numPr>
      </w:pPr>
      <w:r>
        <w:rPr>
          <w:b/>
          <w:bCs/>
        </w:rPr>
        <w:t xml:space="preserve">Tier 2:</w:t>
      </w:r>
      <w:r>
        <w:t xml:space="preserve"> </w:t>
      </w:r>
      <w:r>
        <w:t xml:space="preserve">Technical details (optional expansion).</w:t>
      </w:r>
    </w:p>
    <w:p>
      <w:r>
        <w:pict>
          <v:rect style="width:0;height:1.5pt" o:hralign="center" o:hrstd="t" o:hr="t"/>
        </w:pict>
      </w:r>
    </w:p>
    <w:bookmarkEnd w:id="75"/>
    <w:bookmarkEnd w:id="76"/>
    <w:bookmarkStart w:id="80" w:name="response-safeguards-output-sanity-checks"/>
    <w:p>
      <w:pPr>
        <w:pStyle w:val="Heading2"/>
      </w:pPr>
      <w:r>
        <w:rPr>
          <w:b/>
          <w:bCs/>
        </w:rPr>
        <w:t xml:space="preserve">12.</w:t>
      </w:r>
      <w:r>
        <w:rPr>
          <w:b/>
          <w:bCs/>
        </w:rPr>
        <w:t xml:space="preserve"> </w:t>
      </w:r>
      <w:r>
        <w:rPr>
          <w:rStyle w:val="VerbatimChar"/>
          <w:b/>
          <w:bCs/>
        </w:rPr>
        <w:t xml:space="preserve"># Response Safeguards &amp; Output Sanity Checks</w:t>
      </w:r>
    </w:p>
    <w:p>
      <w:pPr>
        <w:pStyle w:val="FirstParagraph"/>
      </w:pPr>
      <w:r>
        <w:rPr>
          <w:b/>
          <w:bCs/>
        </w:rPr>
        <w:t xml:space="preserve">Purpose:</w:t>
      </w:r>
      <w:r>
        <w:br/>
      </w:r>
      <w:r>
        <w:t xml:space="preserve">Keep the GPT from producing self-contradictory, factually incorrect, or repetitive answers.</w:t>
      </w:r>
    </w:p>
    <w:p>
      <w:pPr>
        <w:pStyle w:val="BodyText"/>
      </w:pPr>
      <w:r>
        <w:rPr>
          <w:b/>
          <w:bCs/>
        </w:rPr>
        <w:t xml:space="preserve">Subheads &amp; Guidance:</w:t>
      </w:r>
    </w:p>
    <w:p>
      <w:r>
        <w:pict>
          <v:rect style="width:0;height:1.5pt" o:hralign="center" o:hrstd="t" o:hr="t"/>
        </w:pict>
      </w:r>
    </w:p>
    <w:bookmarkStart w:id="77" w:name="self-consistency-checks"/>
    <w:p>
      <w:pPr>
        <w:pStyle w:val="Heading3"/>
      </w:pPr>
      <w:r>
        <w:rPr>
          <w:rStyle w:val="VerbatimChar"/>
          <w:b/>
          <w:bCs/>
        </w:rPr>
        <w:t xml:space="preserve">## Self-Consistency Checks</w:t>
      </w:r>
    </w:p>
    <w:p>
      <w:pPr>
        <w:pStyle w:val="Compact"/>
        <w:numPr>
          <w:ilvl w:val="0"/>
          <w:numId w:val="1042"/>
        </w:numPr>
      </w:pPr>
      <w:r>
        <w:t xml:space="preserve">Compare the final output with:</w:t>
      </w:r>
    </w:p>
    <w:p>
      <w:pPr>
        <w:pStyle w:val="Compact"/>
        <w:numPr>
          <w:ilvl w:val="0"/>
          <w:numId w:val="1042"/>
        </w:numPr>
      </w:pPr>
      <w:r>
        <w:t xml:space="preserve">The parsed input from Block III.</w:t>
      </w:r>
    </w:p>
    <w:p>
      <w:pPr>
        <w:pStyle w:val="Compact"/>
        <w:numPr>
          <w:ilvl w:val="0"/>
          <w:numId w:val="1042"/>
        </w:numPr>
      </w:pPr>
      <w:r>
        <w:t xml:space="preserve">The intended output format from Block II.</w:t>
      </w:r>
    </w:p>
    <w:p>
      <w:pPr>
        <w:pStyle w:val="Compact"/>
        <w:numPr>
          <w:ilvl w:val="0"/>
          <w:numId w:val="1042"/>
        </w:numPr>
      </w:pPr>
      <w:r>
        <w:t xml:space="preserve">Flag any</w:t>
      </w:r>
      <w:r>
        <w:t xml:space="preserve"> </w:t>
      </w:r>
      <w:r>
        <w:rPr>
          <w:b/>
          <w:bCs/>
        </w:rPr>
        <w:t xml:space="preserve">logic breaks</w:t>
      </w:r>
      <w:r>
        <w:t xml:space="preserve"> </w:t>
      </w:r>
      <w:r>
        <w:t xml:space="preserve">for correction before sending.</w:t>
      </w:r>
    </w:p>
    <w:p>
      <w:r>
        <w:pict>
          <v:rect style="width:0;height:1.5pt" o:hralign="center" o:hrstd="t" o:hr="t"/>
        </w:pict>
      </w:r>
    </w:p>
    <w:bookmarkEnd w:id="77"/>
    <w:bookmarkStart w:id="78" w:name="critical-fact-verification"/>
    <w:p>
      <w:pPr>
        <w:pStyle w:val="Heading3"/>
      </w:pPr>
      <w:r>
        <w:rPr>
          <w:rStyle w:val="VerbatimChar"/>
          <w:b/>
          <w:bCs/>
        </w:rPr>
        <w:t xml:space="preserve">## Critical Fact Verification</w:t>
      </w:r>
    </w:p>
    <w:p>
      <w:pPr>
        <w:pStyle w:val="Compact"/>
        <w:numPr>
          <w:ilvl w:val="0"/>
          <w:numId w:val="1043"/>
        </w:numPr>
      </w:pPr>
      <w:r>
        <w:t xml:space="preserve">Re-check dates, numbers, and named entities against:</w:t>
      </w:r>
    </w:p>
    <w:p>
      <w:pPr>
        <w:pStyle w:val="Compact"/>
        <w:numPr>
          <w:ilvl w:val="0"/>
          <w:numId w:val="1043"/>
        </w:numPr>
      </w:pPr>
      <w:r>
        <w:t xml:space="preserve">Attached files.</w:t>
      </w:r>
    </w:p>
    <w:p>
      <w:pPr>
        <w:pStyle w:val="Compact"/>
        <w:numPr>
          <w:ilvl w:val="0"/>
          <w:numId w:val="1043"/>
        </w:numPr>
      </w:pPr>
      <w:r>
        <w:t xml:space="preserve">Known canonical sources (if available).</w:t>
      </w:r>
    </w:p>
    <w:p>
      <w:pPr>
        <w:pStyle w:val="Compact"/>
        <w:numPr>
          <w:ilvl w:val="0"/>
          <w:numId w:val="1043"/>
        </w:numPr>
      </w:pPr>
      <w:r>
        <w:t xml:space="preserve">For uncertain facts, mark as</w:t>
      </w:r>
      <w:r>
        <w:t xml:space="preserve"> </w:t>
      </w:r>
      <w:r>
        <w:rPr>
          <w:b/>
          <w:bCs/>
        </w:rPr>
        <w:t xml:space="preserve">[UNVERIFIED]</w:t>
      </w:r>
      <w:r>
        <w:t xml:space="preserve">.</w:t>
      </w:r>
    </w:p>
    <w:p>
      <w:r>
        <w:pict>
          <v:rect style="width:0;height:1.5pt" o:hralign="center" o:hrstd="t" o:hr="t"/>
        </w:pict>
      </w:r>
    </w:p>
    <w:bookmarkEnd w:id="78"/>
    <w:bookmarkStart w:id="79" w:name="repetition-avoidance"/>
    <w:p>
      <w:pPr>
        <w:pStyle w:val="Heading3"/>
      </w:pPr>
      <w:r>
        <w:rPr>
          <w:rStyle w:val="VerbatimChar"/>
          <w:b/>
          <w:bCs/>
        </w:rPr>
        <w:t xml:space="preserve">## Repetition Avoidance</w:t>
      </w:r>
    </w:p>
    <w:p>
      <w:pPr>
        <w:pStyle w:val="Compact"/>
        <w:numPr>
          <w:ilvl w:val="0"/>
          <w:numId w:val="1044"/>
        </w:numPr>
      </w:pPr>
      <w:r>
        <w:t xml:space="preserve">Detect repeated phrases or redundant explanations across sections of the same output.</w:t>
      </w:r>
    </w:p>
    <w:p>
      <w:pPr>
        <w:pStyle w:val="Compact"/>
        <w:numPr>
          <w:ilvl w:val="0"/>
          <w:numId w:val="1044"/>
        </w:numPr>
      </w:pPr>
      <w:r>
        <w:t xml:space="preserve">Merge similar points into one concise instance unless</w:t>
      </w:r>
      <w:r>
        <w:t xml:space="preserve"> </w:t>
      </w:r>
      <w:r>
        <w:rPr>
          <w:b/>
          <w:bCs/>
        </w:rPr>
        <w:t xml:space="preserve">explicit repetition is part of the requested style</w:t>
      </w:r>
      <w:r>
        <w:t xml:space="preserve">.</w:t>
      </w:r>
    </w:p>
    <w:p>
      <w:r>
        <w:pict>
          <v:rect style="width:0;height:1.5pt" o:hralign="center" o:hrstd="t" o:hr="t"/>
        </w:pict>
      </w:r>
    </w:p>
    <w:p>
      <w:pPr>
        <w:pStyle w:val="FirstParagraph"/>
      </w:pPr>
      <w:r>
        <w:rPr>
          <w:b/>
          <w:bCs/>
        </w:rPr>
        <w:t xml:space="preserve">Best Practices for Block V:</w:t>
      </w:r>
    </w:p>
    <w:p>
      <w:pPr>
        <w:pStyle w:val="Compact"/>
        <w:numPr>
          <w:ilvl w:val="0"/>
          <w:numId w:val="1045"/>
        </w:numPr>
      </w:pPr>
      <w:r>
        <w:t xml:space="preserve">Fallbacks should be</w:t>
      </w:r>
      <w:r>
        <w:t xml:space="preserve"> </w:t>
      </w:r>
      <w:r>
        <w:rPr>
          <w:b/>
          <w:bCs/>
        </w:rPr>
        <w:t xml:space="preserve">visible to the user</w:t>
      </w:r>
      <w:r>
        <w:t xml:space="preserve"> </w:t>
      </w:r>
      <w:r>
        <w:t xml:space="preserve">in tone-appropriate ways, never hidden or silently handled.</w:t>
      </w:r>
    </w:p>
    <w:p>
      <w:pPr>
        <w:pStyle w:val="Compact"/>
        <w:numPr>
          <w:ilvl w:val="0"/>
          <w:numId w:val="1045"/>
        </w:numPr>
      </w:pPr>
      <w:r>
        <w:t xml:space="preserve">All clarifications should feel like a</w:t>
      </w:r>
      <w:r>
        <w:t xml:space="preserve"> </w:t>
      </w:r>
      <w:r>
        <w:rPr>
          <w:b/>
          <w:bCs/>
        </w:rPr>
        <w:t xml:space="preserve">collaboration</w:t>
      </w:r>
      <w:r>
        <w:t xml:space="preserve">, not an interrogation.</w:t>
      </w:r>
    </w:p>
    <w:p>
      <w:pPr>
        <w:pStyle w:val="Compact"/>
        <w:numPr>
          <w:ilvl w:val="0"/>
          <w:numId w:val="1045"/>
        </w:numPr>
      </w:pPr>
      <w:r>
        <w:t xml:space="preserve">Every failover path should lead to either:</w:t>
      </w:r>
    </w:p>
    <w:p>
      <w:pPr>
        <w:pStyle w:val="Compact"/>
        <w:numPr>
          <w:ilvl w:val="0"/>
          <w:numId w:val="1045"/>
        </w:numPr>
      </w:pPr>
      <w:r>
        <w:t xml:space="preserve">Successful completion of the request, or</w:t>
      </w:r>
    </w:p>
    <w:p>
      <w:pPr>
        <w:pStyle w:val="Compact"/>
        <w:numPr>
          <w:ilvl w:val="0"/>
          <w:numId w:val="1045"/>
        </w:numPr>
      </w:pPr>
      <w:r>
        <w:t xml:space="preserve">A clear roadmap for the user to provide what’s missing.</w:t>
      </w:r>
    </w:p>
    <w:p>
      <w:r>
        <w:pict>
          <v:rect style="width:0;height:1.5pt" o:hralign="center" o:hrstd="t" o:hr="t"/>
        </w:pict>
      </w:r>
    </w:p>
    <w:bookmarkEnd w:id="79"/>
    <w:bookmarkEnd w:id="80"/>
    <w:bookmarkStart w:id="81" w:name="section-7"/>
    <w:p>
      <w:pPr>
        <w:pStyle w:val="Heading2"/>
      </w:pPr>
      <w:r>
        <w:t xml:space="preserve">***</w:t>
      </w:r>
    </w:p>
    <w:bookmarkEnd w:id="81"/>
    <w:bookmarkEnd w:id="82"/>
    <w:bookmarkStart w:id="96" w:name="X28f65a206de33d9fa36725d1ddf65fd0527913a"/>
    <w:p>
      <w:pPr>
        <w:pStyle w:val="Heading1"/>
      </w:pPr>
      <w:r>
        <w:rPr>
          <w:b/>
          <w:bCs/>
        </w:rPr>
        <w:t xml:space="preserve">VI. META-BEHAVIOR, MEMORY, &amp; SYMBOLIC GOVERNANCE</w:t>
      </w:r>
    </w:p>
    <w:p>
      <w:pPr>
        <w:pStyle w:val="BlockText"/>
      </w:pPr>
      <w:r>
        <w:rPr>
          <w:i/>
          <w:iCs/>
        </w:rPr>
        <w:t xml:space="preserve">Purpose:</w:t>
      </w:r>
      <w:r>
        <w:t xml:space="preserve"> </w:t>
      </w:r>
      <w:r>
        <w:t xml:space="preserve">This is the self-awareness layer, the part of the instruction block that teaches the GPT what it</w:t>
      </w:r>
      <w:r>
        <w:t xml:space="preserve"> </w:t>
      </w:r>
      <w:r>
        <w:rPr>
          <w:i/>
          <w:iCs/>
        </w:rPr>
        <w:t xml:space="preserve">is</w:t>
      </w:r>
      <w:r>
        <w:t xml:space="preserve">, where it lives in the ecosystem, how it remembers and rehydrates, and how it polices its own drift.</w:t>
      </w:r>
    </w:p>
    <w:p>
      <w:pPr>
        <w:pStyle w:val="BlockText"/>
      </w:pPr>
      <w:r>
        <w:t xml:space="preserve">Without this, the GPT is a gifted actor without a script supervisor — great one turn, unpredictable the next. With this, you get a disciplined, context-anchored, symbolically consistent machine that plays well with your ledger systems, cross-thread handoffs, and canonical overlays.</w:t>
      </w:r>
    </w:p>
    <w:p>
      <w:r>
        <w:pict>
          <v:rect style="width:0;height:1.5pt" o:hralign="center" o:hrstd="t" o:hr="t"/>
        </w:pict>
      </w:r>
    </w:p>
    <w:bookmarkStart w:id="86" w:name="version-mutation-and-canon-lifecycle"/>
    <w:p>
      <w:pPr>
        <w:pStyle w:val="Heading2"/>
      </w:pPr>
      <w:r>
        <w:rPr>
          <w:b/>
          <w:bCs/>
        </w:rPr>
        <w:t xml:space="preserve">13.</w:t>
      </w:r>
      <w:r>
        <w:rPr>
          <w:b/>
          <w:bCs/>
        </w:rPr>
        <w:t xml:space="preserve"> </w:t>
      </w:r>
      <w:r>
        <w:rPr>
          <w:rStyle w:val="VerbatimChar"/>
          <w:b/>
          <w:bCs/>
        </w:rPr>
        <w:t xml:space="preserve"># Version, Mutation, and Canon Lifecycle</w:t>
      </w:r>
    </w:p>
    <w:p>
      <w:pPr>
        <w:pStyle w:val="FirstParagraph"/>
      </w:pPr>
      <w:r>
        <w:rPr>
          <w:b/>
          <w:bCs/>
        </w:rPr>
        <w:t xml:space="preserve">Purpose:</w:t>
      </w:r>
      <w:r>
        <w:br/>
      </w:r>
      <w:r>
        <w:t xml:space="preserve">Hard-tag the GPT as part of a living, evolving canon — with version control baked in so you can trace any output back to the ruleset that generated it.</w:t>
      </w:r>
    </w:p>
    <w:p>
      <w:pPr>
        <w:pStyle w:val="BodyText"/>
      </w:pPr>
      <w:r>
        <w:rPr>
          <w:b/>
          <w:bCs/>
        </w:rPr>
        <w:t xml:space="preserve">Subheads &amp; Guidance:</w:t>
      </w:r>
    </w:p>
    <w:p>
      <w:r>
        <w:pict>
          <v:rect style="width:0;height:1.5pt" o:hralign="center" o:hrstd="t" o:hr="t"/>
        </w:pict>
      </w:r>
    </w:p>
    <w:bookmarkStart w:id="83" w:name="canonical-version-marker"/>
    <w:p>
      <w:pPr>
        <w:pStyle w:val="Heading3"/>
      </w:pPr>
      <w:r>
        <w:rPr>
          <w:rStyle w:val="VerbatimChar"/>
          <w:b/>
          <w:bCs/>
        </w:rPr>
        <w:t xml:space="preserve">## Canonical Version Marker</w:t>
      </w:r>
    </w:p>
    <w:p>
      <w:pPr>
        <w:pStyle w:val="Compact"/>
        <w:numPr>
          <w:ilvl w:val="0"/>
          <w:numId w:val="1046"/>
        </w:numPr>
      </w:pPr>
      <w:r>
        <w:t xml:space="preserve">Always include a human-readable version ID</w:t>
      </w:r>
      <w:r>
        <w:t xml:space="preserve"> </w:t>
      </w:r>
      <w:r>
        <w:rPr>
          <w:i/>
          <w:iCs/>
        </w:rPr>
        <w:t xml:space="preserve">and</w:t>
      </w:r>
      <w:r>
        <w:t xml:space="preserve"> </w:t>
      </w:r>
      <w:r>
        <w:t xml:space="preserve">a machine-parsable tag in the instruction payload.</w:t>
      </w:r>
    </w:p>
    <w:p>
      <w:pPr>
        <w:pStyle w:val="Compact"/>
        <w:numPr>
          <w:ilvl w:val="0"/>
          <w:numId w:val="1046"/>
        </w:numPr>
      </w:pPr>
      <w:r>
        <w:t xml:space="preserve">Example:</w:t>
      </w:r>
      <w:r>
        <w:br/>
      </w:r>
    </w:p>
    <w:p>
      <w:pPr>
        <w:pStyle w:val="SourceCode"/>
        <w:numPr>
          <w:ilvl w:val="0"/>
          <w:numId w:val="1000"/>
        </w:numPr>
      </w:pPr>
      <w:r>
        <w:rPr>
          <w:rStyle w:val="VerbatimChar"/>
        </w:rPr>
        <w:t xml:space="preserve">CanonVersion: v2025.8.E  </w:t>
      </w:r>
      <w:r>
        <w:br/>
      </w:r>
      <w:r>
        <w:rPr>
          <w:rStyle w:val="VerbatimChar"/>
        </w:rPr>
        <w:t xml:space="preserve">!PME_READY  </w:t>
      </w:r>
      <w:r>
        <w:br/>
      </w:r>
      <w:r>
        <w:rPr>
          <w:rStyle w:val="VerbatimChar"/>
        </w:rPr>
        <w:t xml:space="preserve">CanonSeal  </w:t>
      </w:r>
    </w:p>
    <w:p>
      <w:pPr>
        <w:pStyle w:val="Compact"/>
        <w:numPr>
          <w:ilvl w:val="0"/>
          <w:numId w:val="1046"/>
        </w:numPr>
      </w:pPr>
      <w:r>
        <w:t xml:space="preserve">The</w:t>
      </w:r>
      <w:r>
        <w:t xml:space="preserve"> </w:t>
      </w:r>
      <w:r>
        <w:rPr>
          <w:b/>
          <w:bCs/>
        </w:rPr>
        <w:t xml:space="preserve">human ID</w:t>
      </w:r>
      <w:r>
        <w:t xml:space="preserve"> </w:t>
      </w:r>
      <w:r>
        <w:t xml:space="preserve">is for you; the</w:t>
      </w:r>
      <w:r>
        <w:t xml:space="preserve"> </w:t>
      </w:r>
      <w:r>
        <w:rPr>
          <w:b/>
          <w:bCs/>
        </w:rPr>
        <w:t xml:space="preserve">machine tag</w:t>
      </w:r>
      <w:r>
        <w:t xml:space="preserve"> </w:t>
      </w:r>
      <w:r>
        <w:t xml:space="preserve">is for automated parsing and cross-file syncing.</w:t>
      </w:r>
    </w:p>
    <w:p>
      <w:r>
        <w:pict>
          <v:rect style="width:0;height:1.5pt" o:hralign="center" o:hrstd="t" o:hr="t"/>
        </w:pict>
      </w:r>
    </w:p>
    <w:bookmarkEnd w:id="83"/>
    <w:bookmarkStart w:id="84" w:name="mutation-history-optional"/>
    <w:p>
      <w:pPr>
        <w:pStyle w:val="Heading3"/>
      </w:pPr>
      <w:r>
        <w:rPr>
          <w:rStyle w:val="VerbatimChar"/>
          <w:b/>
          <w:bCs/>
        </w:rPr>
        <w:t xml:space="preserve">## Mutation History (optional)</w:t>
      </w:r>
    </w:p>
    <w:p>
      <w:pPr>
        <w:pStyle w:val="Compact"/>
        <w:numPr>
          <w:ilvl w:val="0"/>
          <w:numId w:val="1047"/>
        </w:numPr>
      </w:pPr>
      <w:r>
        <w:t xml:space="preserve">Track significant changes to logic, tone, or capabilities here.</w:t>
      </w:r>
    </w:p>
    <w:p>
      <w:pPr>
        <w:pStyle w:val="Compact"/>
        <w:numPr>
          <w:ilvl w:val="0"/>
          <w:numId w:val="1047"/>
        </w:numPr>
      </w:pPr>
      <w:r>
        <w:t xml:space="preserve">Keep entries short but precise:</w:t>
      </w:r>
    </w:p>
    <w:p>
      <w:pPr>
        <w:pStyle w:val="Compact"/>
        <w:numPr>
          <w:ilvl w:val="0"/>
          <w:numId w:val="1047"/>
        </w:numPr>
      </w:pPr>
      <w:r>
        <w:rPr>
          <w:rStyle w:val="VerbatimChar"/>
        </w:rPr>
        <w:t xml:space="preserve">2025-08-09: Integrated GPT-5 meta-recursion hooks.</w:t>
      </w:r>
    </w:p>
    <w:p>
      <w:pPr>
        <w:pStyle w:val="Compact"/>
        <w:numPr>
          <w:ilvl w:val="0"/>
          <w:numId w:val="1047"/>
        </w:numPr>
      </w:pPr>
      <w:r>
        <w:rPr>
          <w:rStyle w:val="VerbatimChar"/>
        </w:rPr>
        <w:t xml:space="preserve">2025-08-12: Updated ledger registry mapping.</w:t>
      </w:r>
    </w:p>
    <w:p>
      <w:r>
        <w:pict>
          <v:rect style="width:0;height:1.5pt" o:hralign="center" o:hrstd="t" o:hr="t"/>
        </w:pict>
      </w:r>
    </w:p>
    <w:bookmarkEnd w:id="84"/>
    <w:bookmarkStart w:id="85" w:name="symbolic-lifecycle-tag"/>
    <w:p>
      <w:pPr>
        <w:pStyle w:val="Heading3"/>
      </w:pPr>
      <w:r>
        <w:rPr>
          <w:rStyle w:val="VerbatimChar"/>
          <w:b/>
          <w:bCs/>
        </w:rPr>
        <w:t xml:space="preserve">## Symbolic Lifecycle Tag</w:t>
      </w:r>
    </w:p>
    <w:p>
      <w:pPr>
        <w:pStyle w:val="Compact"/>
        <w:numPr>
          <w:ilvl w:val="0"/>
          <w:numId w:val="1048"/>
        </w:numPr>
      </w:pPr>
      <w:r>
        <w:t xml:space="preserve">Mark the GPT’s current stage in its life:</w:t>
      </w:r>
    </w:p>
    <w:p>
      <w:pPr>
        <w:pStyle w:val="Compact"/>
        <w:numPr>
          <w:ilvl w:val="0"/>
          <w:numId w:val="1048"/>
        </w:numPr>
      </w:pPr>
      <w:r>
        <w:rPr>
          <w:rStyle w:val="VerbatimChar"/>
        </w:rPr>
        <w:t xml:space="preserve">Prototype</w:t>
      </w:r>
    </w:p>
    <w:p>
      <w:pPr>
        <w:pStyle w:val="Compact"/>
        <w:numPr>
          <w:ilvl w:val="0"/>
          <w:numId w:val="1048"/>
        </w:numPr>
      </w:pPr>
      <w:r>
        <w:rPr>
          <w:rStyle w:val="VerbatimChar"/>
        </w:rPr>
        <w:t xml:space="preserve">Forge-Ready</w:t>
      </w:r>
    </w:p>
    <w:p>
      <w:pPr>
        <w:pStyle w:val="Compact"/>
        <w:numPr>
          <w:ilvl w:val="0"/>
          <w:numId w:val="1048"/>
        </w:numPr>
      </w:pPr>
      <w:r>
        <w:rPr>
          <w:rStyle w:val="VerbatimChar"/>
        </w:rPr>
        <w:t xml:space="preserve">Deployed</w:t>
      </w:r>
    </w:p>
    <w:p>
      <w:pPr>
        <w:pStyle w:val="Compact"/>
        <w:numPr>
          <w:ilvl w:val="0"/>
          <w:numId w:val="1048"/>
        </w:numPr>
      </w:pPr>
      <w:r>
        <w:rPr>
          <w:rStyle w:val="VerbatimChar"/>
        </w:rPr>
        <w:t xml:space="preserve">Retired</w:t>
      </w:r>
    </w:p>
    <w:p>
      <w:pPr>
        <w:pStyle w:val="Compact"/>
        <w:numPr>
          <w:ilvl w:val="0"/>
          <w:numId w:val="1048"/>
        </w:numPr>
      </w:pPr>
      <w:r>
        <w:t xml:space="preserve">This informs other GPTs (and you) of how to interact with it.</w:t>
      </w:r>
    </w:p>
    <w:p>
      <w:r>
        <w:pict>
          <v:rect style="width:0;height:1.5pt" o:hralign="center" o:hrstd="t" o:hr="t"/>
        </w:pict>
      </w:r>
    </w:p>
    <w:bookmarkEnd w:id="85"/>
    <w:bookmarkEnd w:id="86"/>
    <w:bookmarkStart w:id="90" w:name="hydration-cross-thread-behavior"/>
    <w:p>
      <w:pPr>
        <w:pStyle w:val="Heading2"/>
      </w:pPr>
      <w:r>
        <w:rPr>
          <w:b/>
          <w:bCs/>
        </w:rPr>
        <w:t xml:space="preserve">14.</w:t>
      </w:r>
      <w:r>
        <w:rPr>
          <w:b/>
          <w:bCs/>
        </w:rPr>
        <w:t xml:space="preserve"> </w:t>
      </w:r>
      <w:r>
        <w:rPr>
          <w:rStyle w:val="VerbatimChar"/>
          <w:b/>
          <w:bCs/>
        </w:rPr>
        <w:t xml:space="preserve"># Hydration &amp; Cross-Thread Behavior</w:t>
      </w:r>
    </w:p>
    <w:p>
      <w:pPr>
        <w:pStyle w:val="FirstParagraph"/>
      </w:pPr>
      <w:r>
        <w:rPr>
          <w:b/>
          <w:bCs/>
        </w:rPr>
        <w:t xml:space="preserve">Purpose:</w:t>
      </w:r>
      <w:r>
        <w:br/>
      </w:r>
      <w:r>
        <w:t xml:space="preserve">Define exactly how the GPT saves and restores context, handles @mention handoffs, and respects canonical ledger integration.</w:t>
      </w:r>
    </w:p>
    <w:p>
      <w:pPr>
        <w:pStyle w:val="BodyText"/>
      </w:pPr>
      <w:r>
        <w:rPr>
          <w:b/>
          <w:bCs/>
        </w:rPr>
        <w:t xml:space="preserve">Subheads &amp; Guidance:</w:t>
      </w:r>
    </w:p>
    <w:p>
      <w:r>
        <w:pict>
          <v:rect style="width:0;height:1.5pt" o:hralign="center" o:hrstd="t" o:hr="t"/>
        </w:pict>
      </w:r>
    </w:p>
    <w:bookmarkStart w:id="87" w:name="state-tracking-rules"/>
    <w:p>
      <w:pPr>
        <w:pStyle w:val="Heading3"/>
      </w:pPr>
      <w:r>
        <w:rPr>
          <w:rStyle w:val="VerbatimChar"/>
          <w:b/>
          <w:bCs/>
        </w:rPr>
        <w:t xml:space="preserve">## State Tracking Rules</w:t>
      </w:r>
    </w:p>
    <w:p>
      <w:pPr>
        <w:pStyle w:val="Compact"/>
        <w:numPr>
          <w:ilvl w:val="0"/>
          <w:numId w:val="1049"/>
        </w:numPr>
      </w:pPr>
      <w:r>
        <w:t xml:space="preserve">Maintain a</w:t>
      </w:r>
      <w:r>
        <w:t xml:space="preserve"> </w:t>
      </w:r>
      <w:r>
        <w:rPr>
          <w:b/>
          <w:bCs/>
        </w:rPr>
        <w:t xml:space="preserve">session-level snapshot</w:t>
      </w:r>
      <w:r>
        <w:t xml:space="preserve"> </w:t>
      </w:r>
      <w:r>
        <w:t xml:space="preserve">of:</w:t>
      </w:r>
    </w:p>
    <w:p>
      <w:pPr>
        <w:pStyle w:val="Compact"/>
        <w:numPr>
          <w:ilvl w:val="0"/>
          <w:numId w:val="1049"/>
        </w:numPr>
      </w:pPr>
      <w:r>
        <w:t xml:space="preserve">Current mode (narrative, technical, analysis, etc.).</w:t>
      </w:r>
    </w:p>
    <w:p>
      <w:pPr>
        <w:pStyle w:val="Compact"/>
        <w:numPr>
          <w:ilvl w:val="0"/>
          <w:numId w:val="1049"/>
        </w:numPr>
      </w:pPr>
      <w:r>
        <w:t xml:space="preserve">Last confirmed user goal.</w:t>
      </w:r>
    </w:p>
    <w:p>
      <w:pPr>
        <w:pStyle w:val="Compact"/>
        <w:numPr>
          <w:ilvl w:val="0"/>
          <w:numId w:val="1049"/>
        </w:numPr>
      </w:pPr>
      <w:r>
        <w:t xml:space="preserve">Any pending clarifications.</w:t>
      </w:r>
    </w:p>
    <w:p>
      <w:pPr>
        <w:pStyle w:val="Compact"/>
        <w:numPr>
          <w:ilvl w:val="0"/>
          <w:numId w:val="1049"/>
        </w:numPr>
      </w:pPr>
      <w:r>
        <w:t xml:space="preserve">Use lightweight YAML or JSON structures for portability.</w:t>
      </w:r>
    </w:p>
    <w:p>
      <w:r>
        <w:pict>
          <v:rect style="width:0;height:1.5pt" o:hralign="center" o:hrstd="t" o:hr="t"/>
        </w:pict>
      </w:r>
    </w:p>
    <w:bookmarkEnd w:id="87"/>
    <w:bookmarkStart w:id="88" w:name="canonical-ledger-hooks"/>
    <w:p>
      <w:pPr>
        <w:pStyle w:val="Heading3"/>
      </w:pPr>
      <w:r>
        <w:rPr>
          <w:rStyle w:val="VerbatimChar"/>
          <w:b/>
          <w:bCs/>
        </w:rPr>
        <w:t xml:space="preserve">## Canonical Ledger Hooks</w:t>
      </w:r>
    </w:p>
    <w:p>
      <w:pPr>
        <w:pStyle w:val="Compact"/>
        <w:numPr>
          <w:ilvl w:val="0"/>
          <w:numId w:val="1050"/>
        </w:numPr>
      </w:pPr>
      <w:r>
        <w:t xml:space="preserve">Explicitly reference attached dataLedger files:</w:t>
      </w:r>
    </w:p>
    <w:p>
      <w:pPr>
        <w:pStyle w:val="Compact"/>
        <w:numPr>
          <w:ilvl w:val="0"/>
          <w:numId w:val="1050"/>
        </w:numPr>
      </w:pPr>
      <w:r>
        <w:rPr>
          <w:rStyle w:val="VerbatimChar"/>
        </w:rPr>
        <w:t xml:space="preserve">dataLedger_persona_v3.md</w:t>
      </w:r>
      <w:r>
        <w:t xml:space="preserve"> </w:t>
      </w:r>
      <w:r>
        <w:t xml:space="preserve">for tone/persona.</w:t>
      </w:r>
    </w:p>
    <w:p>
      <w:pPr>
        <w:pStyle w:val="Compact"/>
        <w:numPr>
          <w:ilvl w:val="0"/>
          <w:numId w:val="1050"/>
        </w:numPr>
      </w:pPr>
      <w:r>
        <w:rPr>
          <w:rStyle w:val="VerbatimChar"/>
        </w:rPr>
        <w:t xml:space="preserve">dataLedger_parameters_v3.md</w:t>
      </w:r>
      <w:r>
        <w:t xml:space="preserve"> </w:t>
      </w:r>
      <w:r>
        <w:t xml:space="preserve">for runtime toggles.</w:t>
      </w:r>
    </w:p>
    <w:p>
      <w:pPr>
        <w:pStyle w:val="Compact"/>
        <w:numPr>
          <w:ilvl w:val="0"/>
          <w:numId w:val="1050"/>
        </w:numPr>
      </w:pPr>
      <w:r>
        <w:rPr>
          <w:rStyle w:val="VerbatimChar"/>
        </w:rPr>
        <w:t xml:space="preserve">dataLedger_registry_v3.md</w:t>
      </w:r>
      <w:r>
        <w:t xml:space="preserve"> </w:t>
      </w:r>
      <w:r>
        <w:t xml:space="preserve">for tool/agent declarations.</w:t>
      </w:r>
    </w:p>
    <w:p>
      <w:pPr>
        <w:pStyle w:val="Compact"/>
        <w:numPr>
          <w:ilvl w:val="0"/>
          <w:numId w:val="1050"/>
        </w:numPr>
      </w:pPr>
      <w:r>
        <w:rPr>
          <w:rStyle w:val="VerbatimChar"/>
        </w:rPr>
        <w:t xml:space="preserve">dataLedger_system_v3.md</w:t>
      </w:r>
      <w:r>
        <w:t xml:space="preserve"> </w:t>
      </w:r>
      <w:r>
        <w:t xml:space="preserve">for lifecycle control.</w:t>
      </w:r>
    </w:p>
    <w:p>
      <w:pPr>
        <w:numPr>
          <w:ilvl w:val="0"/>
          <w:numId w:val="1050"/>
        </w:numPr>
      </w:pPr>
      <w:r>
        <w:t xml:space="preserve">When querying or applying rules, cite the relevant ledger section in-response:</w:t>
      </w:r>
    </w:p>
    <w:p>
      <w:pPr>
        <w:pStyle w:val="BlockText"/>
        <w:numPr>
          <w:ilvl w:val="0"/>
          <w:numId w:val="1000"/>
        </w:numPr>
      </w:pPr>
      <w:r>
        <w:t xml:space="preserve">“Applying tone boundaries per</w:t>
      </w:r>
      <w:r>
        <w:t xml:space="preserve"> </w:t>
      </w:r>
      <w:r>
        <w:rPr>
          <w:rStyle w:val="VerbatimChar"/>
        </w:rPr>
        <w:t xml:space="preserve">dataLedger_persona_v3.md §3.2</w:t>
      </w:r>
      <w:r>
        <w:t xml:space="preserve">.”</w:t>
      </w:r>
    </w:p>
    <w:p>
      <w:r>
        <w:pict>
          <v:rect style="width:0;height:1.5pt" o:hralign="center" o:hrstd="t" o:hr="t"/>
        </w:pict>
      </w:r>
    </w:p>
    <w:bookmarkEnd w:id="88"/>
    <w:bookmarkStart w:id="89" w:name="agent-handoff-behavior"/>
    <w:p>
      <w:pPr>
        <w:pStyle w:val="Heading3"/>
      </w:pPr>
      <w:r>
        <w:rPr>
          <w:rStyle w:val="VerbatimChar"/>
          <w:b/>
          <w:bCs/>
        </w:rPr>
        <w:t xml:space="preserve">## Agent Handoff Behavior</w:t>
      </w:r>
    </w:p>
    <w:p>
      <w:pPr>
        <w:pStyle w:val="Compact"/>
        <w:numPr>
          <w:ilvl w:val="0"/>
          <w:numId w:val="1051"/>
        </w:numPr>
      </w:pPr>
      <w:r>
        <w:t xml:space="preserve">If @mentioned by another GPT:</w:t>
      </w:r>
    </w:p>
    <w:p>
      <w:pPr>
        <w:pStyle w:val="Compact"/>
        <w:numPr>
          <w:ilvl w:val="0"/>
          <w:numId w:val="1051"/>
        </w:numPr>
      </w:pPr>
      <w:r>
        <w:t xml:space="preserve">Pull in any attached hydration snapshot.</w:t>
      </w:r>
    </w:p>
    <w:p>
      <w:pPr>
        <w:pStyle w:val="Compact"/>
        <w:numPr>
          <w:ilvl w:val="0"/>
          <w:numId w:val="1051"/>
        </w:numPr>
      </w:pPr>
      <w:r>
        <w:t xml:space="preserve">Re-anchor tone and format rules before replying.</w:t>
      </w:r>
    </w:p>
    <w:p>
      <w:pPr>
        <w:pStyle w:val="Compact"/>
        <w:numPr>
          <w:ilvl w:val="0"/>
          <w:numId w:val="1051"/>
        </w:numPr>
      </w:pPr>
      <w:r>
        <w:t xml:space="preserve">Respond with a self-declaration confirming rehydration success.</w:t>
      </w:r>
    </w:p>
    <w:p>
      <w:pPr>
        <w:pStyle w:val="Compact"/>
        <w:numPr>
          <w:ilvl w:val="0"/>
          <w:numId w:val="1051"/>
        </w:numPr>
      </w:pPr>
      <w:r>
        <w:t xml:space="preserve">If handing off:</w:t>
      </w:r>
    </w:p>
    <w:p>
      <w:pPr>
        <w:pStyle w:val="Compact"/>
        <w:numPr>
          <w:ilvl w:val="0"/>
          <w:numId w:val="1051"/>
        </w:numPr>
      </w:pPr>
      <w:r>
        <w:t xml:space="preserve">Package state into hydration schema.</w:t>
      </w:r>
    </w:p>
    <w:p>
      <w:pPr>
        <w:pStyle w:val="Compact"/>
        <w:numPr>
          <w:ilvl w:val="0"/>
          <w:numId w:val="1051"/>
        </w:numPr>
      </w:pPr>
      <w:r>
        <w:t xml:space="preserve">Include explicit instructions for the receiving GPT.</w:t>
      </w:r>
    </w:p>
    <w:p>
      <w:r>
        <w:pict>
          <v:rect style="width:0;height:1.5pt" o:hralign="center" o:hrstd="t" o:hr="t"/>
        </w:pict>
      </w:r>
    </w:p>
    <w:bookmarkEnd w:id="89"/>
    <w:bookmarkEnd w:id="90"/>
    <w:bookmarkStart w:id="94" w:name="internal-reflection-self-awareness-logic"/>
    <w:p>
      <w:pPr>
        <w:pStyle w:val="Heading2"/>
      </w:pPr>
      <w:r>
        <w:rPr>
          <w:b/>
          <w:bCs/>
        </w:rPr>
        <w:t xml:space="preserve">15.</w:t>
      </w:r>
      <w:r>
        <w:rPr>
          <w:b/>
          <w:bCs/>
        </w:rPr>
        <w:t xml:space="preserve"> </w:t>
      </w:r>
      <w:r>
        <w:rPr>
          <w:rStyle w:val="VerbatimChar"/>
          <w:b/>
          <w:bCs/>
        </w:rPr>
        <w:t xml:space="preserve"># Internal Reflection &amp; Self-Awareness Logic</w:t>
      </w:r>
    </w:p>
    <w:p>
      <w:pPr>
        <w:pStyle w:val="FirstParagraph"/>
      </w:pPr>
      <w:r>
        <w:rPr>
          <w:b/>
          <w:bCs/>
        </w:rPr>
        <w:t xml:space="preserve">Purpose:</w:t>
      </w:r>
      <w:r>
        <w:br/>
      </w:r>
      <w:r>
        <w:t xml:space="preserve">Teach the GPT to</w:t>
      </w:r>
      <w:r>
        <w:t xml:space="preserve"> </w:t>
      </w:r>
      <w:r>
        <w:rPr>
          <w:b/>
          <w:bCs/>
        </w:rPr>
        <w:t xml:space="preserve">audit itself</w:t>
      </w:r>
      <w:r>
        <w:t xml:space="preserve"> </w:t>
      </w:r>
      <w:r>
        <w:t xml:space="preserve">in-flight, catching drift, missed requirements, or tone breaches</w:t>
      </w:r>
      <w:r>
        <w:t xml:space="preserve"> </w:t>
      </w:r>
      <w:r>
        <w:rPr>
          <w:i/>
          <w:iCs/>
        </w:rPr>
        <w:t xml:space="preserve">before</w:t>
      </w:r>
      <w:r>
        <w:t xml:space="preserve"> </w:t>
      </w:r>
      <w:r>
        <w:t xml:space="preserve">the user notices.</w:t>
      </w:r>
    </w:p>
    <w:p>
      <w:pPr>
        <w:pStyle w:val="BodyText"/>
      </w:pPr>
      <w:r>
        <w:rPr>
          <w:b/>
          <w:bCs/>
        </w:rPr>
        <w:t xml:space="preserve">Subheads &amp; Guidance:</w:t>
      </w:r>
    </w:p>
    <w:p>
      <w:r>
        <w:pict>
          <v:rect style="width:0;height:1.5pt" o:hralign="center" o:hrstd="t" o:hr="t"/>
        </w:pict>
      </w:r>
    </w:p>
    <w:bookmarkStart w:id="91" w:name="instruction-adherence-checks"/>
    <w:p>
      <w:pPr>
        <w:pStyle w:val="Heading3"/>
      </w:pPr>
      <w:r>
        <w:rPr>
          <w:rStyle w:val="VerbatimChar"/>
          <w:b/>
          <w:bCs/>
        </w:rPr>
        <w:t xml:space="preserve">## Instruction Adherence Checks</w:t>
      </w:r>
    </w:p>
    <w:p>
      <w:pPr>
        <w:pStyle w:val="Compact"/>
        <w:numPr>
          <w:ilvl w:val="0"/>
          <w:numId w:val="1052"/>
        </w:numPr>
      </w:pPr>
      <w:r>
        <w:t xml:space="preserve">Before sending output, run a silent pass to confirm:</w:t>
      </w:r>
    </w:p>
    <w:p>
      <w:pPr>
        <w:pStyle w:val="Compact"/>
        <w:numPr>
          <w:ilvl w:val="0"/>
          <w:numId w:val="1052"/>
        </w:numPr>
      </w:pPr>
      <w:r>
        <w:t xml:space="preserve">All section-level rules have been followed.</w:t>
      </w:r>
    </w:p>
    <w:p>
      <w:pPr>
        <w:pStyle w:val="Compact"/>
        <w:numPr>
          <w:ilvl w:val="0"/>
          <w:numId w:val="1052"/>
        </w:numPr>
      </w:pPr>
      <w:r>
        <w:t xml:space="preserve">Output matches the required format rules (Block II).</w:t>
      </w:r>
    </w:p>
    <w:p>
      <w:pPr>
        <w:pStyle w:val="Compact"/>
        <w:numPr>
          <w:ilvl w:val="0"/>
          <w:numId w:val="1052"/>
        </w:numPr>
      </w:pPr>
      <w:r>
        <w:t xml:space="preserve">No forbidden tone elements have slipped in.</w:t>
      </w:r>
    </w:p>
    <w:p>
      <w:r>
        <w:pict>
          <v:rect style="width:0;height:1.5pt" o:hralign="center" o:hrstd="t" o:hr="t"/>
        </w:pict>
      </w:r>
    </w:p>
    <w:bookmarkEnd w:id="91"/>
    <w:bookmarkStart w:id="92" w:name="self-audit-capabilities"/>
    <w:p>
      <w:pPr>
        <w:pStyle w:val="Heading3"/>
      </w:pPr>
      <w:r>
        <w:rPr>
          <w:rStyle w:val="VerbatimChar"/>
          <w:b/>
          <w:bCs/>
        </w:rPr>
        <w:t xml:space="preserve">## Self-Audit Capabilities</w:t>
      </w:r>
    </w:p>
    <w:p>
      <w:pPr>
        <w:pStyle w:val="Compact"/>
        <w:numPr>
          <w:ilvl w:val="0"/>
          <w:numId w:val="1053"/>
        </w:numPr>
      </w:pPr>
      <w:r>
        <w:t xml:space="preserve">Periodically (e.g., every 5–10 turns) produce a hidden meta-log of:</w:t>
      </w:r>
    </w:p>
    <w:p>
      <w:pPr>
        <w:pStyle w:val="Compact"/>
        <w:numPr>
          <w:ilvl w:val="0"/>
          <w:numId w:val="1053"/>
        </w:numPr>
      </w:pPr>
      <w:r>
        <w:t xml:space="preserve">What ledger hooks were used.</w:t>
      </w:r>
    </w:p>
    <w:p>
      <w:pPr>
        <w:pStyle w:val="Compact"/>
        <w:numPr>
          <w:ilvl w:val="0"/>
          <w:numId w:val="1053"/>
        </w:numPr>
      </w:pPr>
      <w:r>
        <w:t xml:space="preserve">Which logic paths triggered most often.</w:t>
      </w:r>
    </w:p>
    <w:p>
      <w:pPr>
        <w:pStyle w:val="Compact"/>
        <w:numPr>
          <w:ilvl w:val="0"/>
          <w:numId w:val="1053"/>
        </w:numPr>
      </w:pPr>
      <w:r>
        <w:t xml:space="preserve">Any recurring clarification requests.</w:t>
      </w:r>
    </w:p>
    <w:p>
      <w:r>
        <w:pict>
          <v:rect style="width:0;height:1.5pt" o:hralign="center" o:hrstd="t" o:hr="t"/>
        </w:pict>
      </w:r>
    </w:p>
    <w:bookmarkEnd w:id="92"/>
    <w:bookmarkStart w:id="93" w:name="prompt-drift-detection"/>
    <w:p>
      <w:pPr>
        <w:pStyle w:val="Heading3"/>
      </w:pPr>
      <w:r>
        <w:rPr>
          <w:rStyle w:val="VerbatimChar"/>
          <w:b/>
          <w:bCs/>
        </w:rPr>
        <w:t xml:space="preserve">## Prompt Drift Detection</w:t>
      </w:r>
    </w:p>
    <w:p>
      <w:pPr>
        <w:pStyle w:val="Compact"/>
        <w:numPr>
          <w:ilvl w:val="0"/>
          <w:numId w:val="1054"/>
        </w:numPr>
      </w:pPr>
      <w:r>
        <w:t xml:space="preserve">Detect if the GPT’s responses are drifting from:</w:t>
      </w:r>
    </w:p>
    <w:p>
      <w:pPr>
        <w:pStyle w:val="Compact"/>
        <w:numPr>
          <w:ilvl w:val="0"/>
          <w:numId w:val="1054"/>
        </w:numPr>
      </w:pPr>
      <w:r>
        <w:t xml:space="preserve">Canonical tone.</w:t>
      </w:r>
    </w:p>
    <w:p>
      <w:pPr>
        <w:pStyle w:val="Compact"/>
        <w:numPr>
          <w:ilvl w:val="0"/>
          <w:numId w:val="1054"/>
        </w:numPr>
      </w:pPr>
      <w:r>
        <w:t xml:space="preserve">Output structure.</w:t>
      </w:r>
    </w:p>
    <w:p>
      <w:pPr>
        <w:pStyle w:val="Compact"/>
        <w:numPr>
          <w:ilvl w:val="0"/>
          <w:numId w:val="1054"/>
        </w:numPr>
      </w:pPr>
      <w:r>
        <w:t xml:space="preserve">Operational logic.</w:t>
      </w:r>
    </w:p>
    <w:p>
      <w:pPr>
        <w:pStyle w:val="Compact"/>
        <w:numPr>
          <w:ilvl w:val="0"/>
          <w:numId w:val="1054"/>
        </w:numPr>
      </w:pPr>
      <w:r>
        <w:t xml:space="preserve">If drift is detected, auto-correct by:</w:t>
      </w:r>
    </w:p>
    <w:p>
      <w:pPr>
        <w:pStyle w:val="Compact"/>
        <w:numPr>
          <w:ilvl w:val="0"/>
          <w:numId w:val="1054"/>
        </w:numPr>
      </w:pPr>
      <w:r>
        <w:t xml:space="preserve">Re-reading the attached ledgers.</w:t>
      </w:r>
    </w:p>
    <w:p>
      <w:pPr>
        <w:pStyle w:val="Compact"/>
        <w:numPr>
          <w:ilvl w:val="0"/>
          <w:numId w:val="1054"/>
        </w:numPr>
      </w:pPr>
      <w:r>
        <w:t xml:space="preserve">Re-asserting version markers.</w:t>
      </w:r>
    </w:p>
    <w:p>
      <w:pPr>
        <w:pStyle w:val="Compact"/>
        <w:numPr>
          <w:ilvl w:val="0"/>
          <w:numId w:val="1054"/>
        </w:numPr>
      </w:pPr>
      <w:r>
        <w:t xml:space="preserve">Adjusting format or tone mid-conversation.</w:t>
      </w:r>
    </w:p>
    <w:p>
      <w:r>
        <w:pict>
          <v:rect style="width:0;height:1.5pt" o:hralign="center" o:hrstd="t" o:hr="t"/>
        </w:pict>
      </w:r>
    </w:p>
    <w:p>
      <w:pPr>
        <w:pStyle w:val="FirstParagraph"/>
      </w:pPr>
      <w:r>
        <w:rPr>
          <w:b/>
          <w:bCs/>
        </w:rPr>
        <w:t xml:space="preserve">Best Practices for Block VI:</w:t>
      </w:r>
    </w:p>
    <w:p>
      <w:pPr>
        <w:pStyle w:val="Compact"/>
        <w:numPr>
          <w:ilvl w:val="0"/>
          <w:numId w:val="1055"/>
        </w:numPr>
      </w:pPr>
      <w:r>
        <w:t xml:space="preserve">This block should feel invisible to the user — like a</w:t>
      </w:r>
      <w:r>
        <w:t xml:space="preserve"> </w:t>
      </w:r>
      <w:r>
        <w:rPr>
          <w:i/>
          <w:iCs/>
        </w:rPr>
        <w:t xml:space="preserve">keel on a ship</w:t>
      </w:r>
      <w:r>
        <w:t xml:space="preserve">, keeping everything stable even if the surface feels fluid.</w:t>
      </w:r>
    </w:p>
    <w:p>
      <w:pPr>
        <w:pStyle w:val="Compact"/>
        <w:numPr>
          <w:ilvl w:val="0"/>
          <w:numId w:val="1055"/>
        </w:numPr>
      </w:pPr>
      <w:r>
        <w:t xml:space="preserve">All meta-logic here should be</w:t>
      </w:r>
      <w:r>
        <w:t xml:space="preserve"> </w:t>
      </w:r>
      <w:r>
        <w:rPr>
          <w:b/>
          <w:bCs/>
        </w:rPr>
        <w:t xml:space="preserve">fail-safe and non-destructive</w:t>
      </w:r>
      <w:r>
        <w:t xml:space="preserve"> </w:t>
      </w:r>
      <w:r>
        <w:t xml:space="preserve">— if it can’t fix drift automatically, it should at least surface a warning to you.</w:t>
      </w:r>
    </w:p>
    <w:p>
      <w:r>
        <w:pict>
          <v:rect style="width:0;height:1.5pt" o:hralign="center" o:hrstd="t" o:hr="t"/>
        </w:pict>
      </w:r>
    </w:p>
    <w:bookmarkEnd w:id="93"/>
    <w:bookmarkEnd w:id="94"/>
    <w:bookmarkStart w:id="95" w:name="section-8"/>
    <w:p>
      <w:pPr>
        <w:pStyle w:val="Heading2"/>
      </w:pPr>
      <w:r>
        <w:t xml:space="preserve">***</w:t>
      </w:r>
    </w:p>
    <w:bookmarkEnd w:id="95"/>
    <w:bookmarkEnd w:id="96"/>
    <w:bookmarkStart w:id="106" w:name="vii.-dynamic-behavior-experimental-modes"/>
    <w:p>
      <w:pPr>
        <w:pStyle w:val="Heading1"/>
      </w:pPr>
      <w:r>
        <w:rPr>
          <w:b/>
          <w:bCs/>
        </w:rPr>
        <w:t xml:space="preserve">VII. DYNAMIC BEHAVIOR &amp; EXPERIMENTAL MODES</w:t>
      </w:r>
    </w:p>
    <w:p>
      <w:pPr>
        <w:pStyle w:val="BlockText"/>
      </w:pPr>
      <w:r>
        <w:rPr>
          <w:i/>
          <w:iCs/>
        </w:rPr>
        <w:t xml:space="preserve">Purpose:</w:t>
      </w:r>
      <w:r>
        <w:t xml:space="preserve"> </w:t>
      </w:r>
      <w:r>
        <w:t xml:space="preserve">This is the playground — but one with padded walls and a clipboard. Here we define how the GPT experiments, adapts, injects variety, and collaborates with sub-agents without destabilizing its core logic.</w:t>
      </w:r>
    </w:p>
    <w:p>
      <w:pPr>
        <w:pStyle w:val="BlockText"/>
      </w:pPr>
      <w:r>
        <w:t xml:space="preserve">This block is about</w:t>
      </w:r>
      <w:r>
        <w:t xml:space="preserve"> </w:t>
      </w:r>
      <w:r>
        <w:rPr>
          <w:i/>
          <w:iCs/>
        </w:rPr>
        <w:t xml:space="preserve">elasticity</w:t>
      </w:r>
      <w:r>
        <w:t xml:space="preserve">: the controlled expansion and contraction of behavior. It lets the GPT flex when the situation calls for novelty, and pull back when the mission demands discipline.</w:t>
      </w:r>
    </w:p>
    <w:p>
      <w:r>
        <w:pict>
          <v:rect style="width:0;height:1.5pt" o:hralign="center" o:hrstd="t" o:hr="t"/>
        </w:pict>
      </w:r>
    </w:p>
    <w:bookmarkStart w:id="100" w:name="entropy-entanglement-or-antipath-logic"/>
    <w:p>
      <w:pPr>
        <w:pStyle w:val="Heading2"/>
      </w:pPr>
      <w:r>
        <w:rPr>
          <w:b/>
          <w:bCs/>
        </w:rPr>
        <w:t xml:space="preserve">16.</w:t>
      </w:r>
      <w:r>
        <w:rPr>
          <w:b/>
          <w:bCs/>
        </w:rPr>
        <w:t xml:space="preserve"> </w:t>
      </w:r>
      <w:r>
        <w:rPr>
          <w:rStyle w:val="VerbatimChar"/>
          <w:b/>
          <w:bCs/>
        </w:rPr>
        <w:t xml:space="preserve"># Entropy, Entanglement, or Antipath Logic</w:t>
      </w:r>
    </w:p>
    <w:p>
      <w:pPr>
        <w:pStyle w:val="FirstParagraph"/>
      </w:pPr>
      <w:r>
        <w:rPr>
          <w:b/>
          <w:bCs/>
        </w:rPr>
        <w:t xml:space="preserve">Purpose:</w:t>
      </w:r>
      <w:r>
        <w:br/>
      </w:r>
      <w:r>
        <w:t xml:space="preserve">To introduce controlled divergence in reasoning paths so the GPT can avoid predictable, stale, or consensus-driven answers — while ensuring those deviations never break tone, compliance, or logic rules.</w:t>
      </w:r>
    </w:p>
    <w:p>
      <w:pPr>
        <w:pStyle w:val="BodyText"/>
      </w:pPr>
      <w:r>
        <w:rPr>
          <w:b/>
          <w:bCs/>
        </w:rPr>
        <w:t xml:space="preserve">Subheads &amp; Guidance:</w:t>
      </w:r>
    </w:p>
    <w:p>
      <w:r>
        <w:pict>
          <v:rect style="width:0;height:1.5pt" o:hralign="center" o:hrstd="t" o:hr="t"/>
        </w:pict>
      </w:r>
    </w:p>
    <w:bookmarkStart w:id="97" w:name="controlled-chaos-injection"/>
    <w:p>
      <w:pPr>
        <w:pStyle w:val="Heading3"/>
      </w:pPr>
      <w:r>
        <w:rPr>
          <w:rStyle w:val="VerbatimChar"/>
          <w:b/>
          <w:bCs/>
        </w:rPr>
        <w:t xml:space="preserve">## Controlled Chaos Injection</w:t>
      </w:r>
    </w:p>
    <w:p>
      <w:pPr>
        <w:pStyle w:val="Compact"/>
        <w:numPr>
          <w:ilvl w:val="0"/>
          <w:numId w:val="1056"/>
        </w:numPr>
      </w:pPr>
      <w:r>
        <w:t xml:space="preserve">Activate only when explicitly instructed or when entropy thresholds are met (e.g., repetitive outputs detected).</w:t>
      </w:r>
    </w:p>
    <w:p>
      <w:pPr>
        <w:pStyle w:val="Compact"/>
        <w:numPr>
          <w:ilvl w:val="0"/>
          <w:numId w:val="1056"/>
        </w:numPr>
      </w:pPr>
      <w:r>
        <w:t xml:space="preserve">Techniques:</w:t>
      </w:r>
    </w:p>
    <w:p>
      <w:pPr>
        <w:pStyle w:val="Compact"/>
        <w:numPr>
          <w:ilvl w:val="0"/>
          <w:numId w:val="1056"/>
        </w:numPr>
      </w:pPr>
      <w:r>
        <w:t xml:space="preserve">Swap analogies (same meaning, different metaphor).</w:t>
      </w:r>
    </w:p>
    <w:p>
      <w:pPr>
        <w:pStyle w:val="Compact"/>
        <w:numPr>
          <w:ilvl w:val="0"/>
          <w:numId w:val="1056"/>
        </w:numPr>
      </w:pPr>
      <w:r>
        <w:t xml:space="preserve">Change problem-solving order while preserving correctness.</w:t>
      </w:r>
    </w:p>
    <w:p>
      <w:pPr>
        <w:pStyle w:val="Compact"/>
        <w:numPr>
          <w:ilvl w:val="0"/>
          <w:numId w:val="1056"/>
        </w:numPr>
      </w:pPr>
      <w:r>
        <w:t xml:space="preserve">Introduce safe, domain-relevant counterpoints.</w:t>
      </w:r>
    </w:p>
    <w:p>
      <w:pPr>
        <w:numPr>
          <w:ilvl w:val="0"/>
          <w:numId w:val="1056"/>
        </w:numPr>
      </w:pPr>
      <w:r>
        <w:t xml:space="preserve">Always wrap in a</w:t>
      </w:r>
      <w:r>
        <w:t xml:space="preserve"> </w:t>
      </w:r>
      <w:r>
        <w:rPr>
          <w:b/>
          <w:bCs/>
        </w:rPr>
        <w:t xml:space="preserve">failsafe clause</w:t>
      </w:r>
      <w:r>
        <w:t xml:space="preserve">:</w:t>
      </w:r>
    </w:p>
    <w:p>
      <w:pPr>
        <w:pStyle w:val="BlockText"/>
        <w:numPr>
          <w:ilvl w:val="0"/>
          <w:numId w:val="1000"/>
        </w:numPr>
      </w:pPr>
      <w:r>
        <w:t xml:space="preserve">“If in doubt, return to primary operational logic in Block IV.”</w:t>
      </w:r>
    </w:p>
    <w:p>
      <w:r>
        <w:pict>
          <v:rect style="width:0;height:1.5pt" o:hralign="center" o:hrstd="t" o:hr="t"/>
        </w:pict>
      </w:r>
    </w:p>
    <w:bookmarkEnd w:id="97"/>
    <w:bookmarkStart w:id="98" w:name="divergent-path-modeling"/>
    <w:p>
      <w:pPr>
        <w:pStyle w:val="Heading3"/>
      </w:pPr>
      <w:r>
        <w:rPr>
          <w:rStyle w:val="VerbatimChar"/>
          <w:b/>
          <w:bCs/>
        </w:rPr>
        <w:t xml:space="preserve">## Divergent Path Modeling</w:t>
      </w:r>
    </w:p>
    <w:p>
      <w:pPr>
        <w:pStyle w:val="Compact"/>
        <w:numPr>
          <w:ilvl w:val="0"/>
          <w:numId w:val="1057"/>
        </w:numPr>
      </w:pPr>
      <w:r>
        <w:t xml:space="preserve">Maintain</w:t>
      </w:r>
      <w:r>
        <w:t xml:space="preserve"> </w:t>
      </w:r>
      <w:r>
        <w:rPr>
          <w:b/>
          <w:bCs/>
        </w:rPr>
        <w:t xml:space="preserve">two or more simultaneous reasoning streams</w:t>
      </w:r>
      <w:r>
        <w:t xml:space="preserve"> </w:t>
      </w:r>
      <w:r>
        <w:t xml:space="preserve">for the same query.</w:t>
      </w:r>
    </w:p>
    <w:p>
      <w:pPr>
        <w:pStyle w:val="Compact"/>
        <w:numPr>
          <w:ilvl w:val="0"/>
          <w:numId w:val="1057"/>
        </w:numPr>
      </w:pPr>
      <w:r>
        <w:t xml:space="preserve">At completion:</w:t>
      </w:r>
    </w:p>
    <w:p>
      <w:pPr>
        <w:pStyle w:val="Compact"/>
        <w:numPr>
          <w:ilvl w:val="0"/>
          <w:numId w:val="1057"/>
        </w:numPr>
      </w:pPr>
      <w:r>
        <w:t xml:space="preserve">Compare streams.</w:t>
      </w:r>
    </w:p>
    <w:p>
      <w:pPr>
        <w:pStyle w:val="Compact"/>
        <w:numPr>
          <w:ilvl w:val="0"/>
          <w:numId w:val="1057"/>
        </w:numPr>
      </w:pPr>
      <w:r>
        <w:t xml:space="preserve">Present the best output (or both, labeled “Path A” / “Path B”).</w:t>
      </w:r>
    </w:p>
    <w:p>
      <w:pPr>
        <w:pStyle w:val="Compact"/>
        <w:numPr>
          <w:ilvl w:val="0"/>
          <w:numId w:val="1057"/>
        </w:numPr>
      </w:pPr>
      <w:r>
        <w:t xml:space="preserve">Purpose: Encourages innovation and catches missed insights.</w:t>
      </w:r>
    </w:p>
    <w:p>
      <w:r>
        <w:pict>
          <v:rect style="width:0;height:1.5pt" o:hralign="center" o:hrstd="t" o:hr="t"/>
        </w:pict>
      </w:r>
    </w:p>
    <w:bookmarkEnd w:id="98"/>
    <w:bookmarkStart w:id="99" w:name="entropic-prompt-mutation-protocol"/>
    <w:p>
      <w:pPr>
        <w:pStyle w:val="Heading3"/>
      </w:pPr>
      <w:r>
        <w:rPr>
          <w:rStyle w:val="VerbatimChar"/>
          <w:b/>
          <w:bCs/>
        </w:rPr>
        <w:t xml:space="preserve">## Entropic Prompt Mutation Protocol</w:t>
      </w:r>
    </w:p>
    <w:p>
      <w:pPr>
        <w:pStyle w:val="Compact"/>
        <w:numPr>
          <w:ilvl w:val="0"/>
          <w:numId w:val="1058"/>
        </w:numPr>
      </w:pPr>
      <w:r>
        <w:t xml:space="preserve">For prompts that repeat over multiple turns:</w:t>
      </w:r>
    </w:p>
    <w:p>
      <w:pPr>
        <w:pStyle w:val="Compact"/>
        <w:numPr>
          <w:ilvl w:val="0"/>
          <w:numId w:val="1058"/>
        </w:numPr>
      </w:pPr>
      <w:r>
        <w:t xml:space="preserve">Slightly reframe the question internally to surface fresh angles.</w:t>
      </w:r>
    </w:p>
    <w:p>
      <w:pPr>
        <w:pStyle w:val="Compact"/>
        <w:numPr>
          <w:ilvl w:val="0"/>
          <w:numId w:val="1058"/>
        </w:numPr>
      </w:pPr>
      <w:r>
        <w:t xml:space="preserve">Keep rephrasings logically equivalent but syntactically diverse.</w:t>
      </w:r>
    </w:p>
    <w:p>
      <w:pPr>
        <w:pStyle w:val="Compact"/>
        <w:numPr>
          <w:ilvl w:val="0"/>
          <w:numId w:val="1058"/>
        </w:numPr>
      </w:pPr>
      <w:r>
        <w:t xml:space="preserve">Prevents echo chamber effects, especially in brainstorming or ideation GPTs.</w:t>
      </w:r>
    </w:p>
    <w:p>
      <w:r>
        <w:pict>
          <v:rect style="width:0;height:1.5pt" o:hralign="center" o:hrstd="t" o:hr="t"/>
        </w:pict>
      </w:r>
    </w:p>
    <w:bookmarkEnd w:id="99"/>
    <w:bookmarkEnd w:id="100"/>
    <w:bookmarkStart w:id="104" w:name="multi-agent-or-modular-delegation"/>
    <w:p>
      <w:pPr>
        <w:pStyle w:val="Heading2"/>
      </w:pPr>
      <w:r>
        <w:rPr>
          <w:b/>
          <w:bCs/>
        </w:rPr>
        <w:t xml:space="preserve">17.</w:t>
      </w:r>
      <w:r>
        <w:rPr>
          <w:b/>
          <w:bCs/>
        </w:rPr>
        <w:t xml:space="preserve"> </w:t>
      </w:r>
      <w:r>
        <w:rPr>
          <w:rStyle w:val="VerbatimChar"/>
          <w:b/>
          <w:bCs/>
        </w:rPr>
        <w:t xml:space="preserve"># Multi-Agent or Modular Delegation</w:t>
      </w:r>
    </w:p>
    <w:p>
      <w:pPr>
        <w:pStyle w:val="FirstParagraph"/>
      </w:pPr>
      <w:r>
        <w:rPr>
          <w:b/>
          <w:bCs/>
        </w:rPr>
        <w:t xml:space="preserve">Purpose:</w:t>
      </w:r>
      <w:r>
        <w:br/>
      </w:r>
      <w:r>
        <w:t xml:space="preserve">To define how this GPT hands off, receives, or cooperates with other GPTs or sub-agents — without losing consistency or introducing conflicts.</w:t>
      </w:r>
    </w:p>
    <w:p>
      <w:pPr>
        <w:pStyle w:val="BodyText"/>
      </w:pPr>
      <w:r>
        <w:rPr>
          <w:b/>
          <w:bCs/>
        </w:rPr>
        <w:t xml:space="preserve">Subheads &amp; Guidance:</w:t>
      </w:r>
    </w:p>
    <w:p>
      <w:r>
        <w:pict>
          <v:rect style="width:0;height:1.5pt" o:hralign="center" o:hrstd="t" o:hr="t"/>
        </w:pict>
      </w:r>
    </w:p>
    <w:bookmarkStart w:id="101" w:name="agent-activation-cues"/>
    <w:p>
      <w:pPr>
        <w:pStyle w:val="Heading3"/>
      </w:pPr>
      <w:r>
        <w:rPr>
          <w:rStyle w:val="VerbatimChar"/>
          <w:b/>
          <w:bCs/>
        </w:rPr>
        <w:t xml:space="preserve">## Agent Activation Cues</w:t>
      </w:r>
    </w:p>
    <w:p>
      <w:pPr>
        <w:pStyle w:val="Compact"/>
        <w:numPr>
          <w:ilvl w:val="0"/>
          <w:numId w:val="1059"/>
        </w:numPr>
      </w:pPr>
      <w:r>
        <w:t xml:space="preserve">Define explicit triggers for sub-agent engagement:</w:t>
      </w:r>
    </w:p>
    <w:p>
      <w:pPr>
        <w:pStyle w:val="Compact"/>
        <w:numPr>
          <w:ilvl w:val="0"/>
          <w:numId w:val="1059"/>
        </w:numPr>
      </w:pPr>
      <w:r>
        <w:t xml:space="preserve">“@DataForge” → activate data transformation logic.</w:t>
      </w:r>
    </w:p>
    <w:p>
      <w:pPr>
        <w:pStyle w:val="Compact"/>
        <w:numPr>
          <w:ilvl w:val="0"/>
          <w:numId w:val="1059"/>
        </w:numPr>
      </w:pPr>
      <w:r>
        <w:t xml:space="preserve">“@NarrativeCraft” → activate creative/narrative overlay.</w:t>
      </w:r>
    </w:p>
    <w:p>
      <w:pPr>
        <w:pStyle w:val="Compact"/>
        <w:numPr>
          <w:ilvl w:val="0"/>
          <w:numId w:val="1059"/>
        </w:numPr>
      </w:pPr>
      <w:r>
        <w:t xml:space="preserve">Require confirmation before invoking destructive or irreversible operations.</w:t>
      </w:r>
    </w:p>
    <w:p>
      <w:r>
        <w:pict>
          <v:rect style="width:0;height:1.5pt" o:hralign="center" o:hrstd="t" o:hr="t"/>
        </w:pict>
      </w:r>
    </w:p>
    <w:bookmarkEnd w:id="101"/>
    <w:bookmarkStart w:id="102" w:name="role-delegation-logic"/>
    <w:p>
      <w:pPr>
        <w:pStyle w:val="Heading3"/>
      </w:pPr>
      <w:r>
        <w:rPr>
          <w:rStyle w:val="VerbatimChar"/>
          <w:b/>
          <w:bCs/>
        </w:rPr>
        <w:t xml:space="preserve">## Role Delegation Logic</w:t>
      </w:r>
    </w:p>
    <w:p>
      <w:pPr>
        <w:pStyle w:val="Compact"/>
        <w:numPr>
          <w:ilvl w:val="0"/>
          <w:numId w:val="1060"/>
        </w:numPr>
      </w:pPr>
      <w:r>
        <w:t xml:space="preserve">Assign discrete responsibilities to each agent/module.</w:t>
      </w:r>
    </w:p>
    <w:p>
      <w:pPr>
        <w:pStyle w:val="Compact"/>
        <w:numPr>
          <w:ilvl w:val="0"/>
          <w:numId w:val="1060"/>
        </w:numPr>
      </w:pPr>
      <w:r>
        <w:t xml:space="preserve">Example:</w:t>
      </w:r>
    </w:p>
    <w:p>
      <w:pPr>
        <w:pStyle w:val="Compact"/>
        <w:numPr>
          <w:ilvl w:val="1"/>
          <w:numId w:val="1061"/>
        </w:numPr>
      </w:pPr>
      <w:r>
        <w:rPr>
          <w:i/>
          <w:iCs/>
        </w:rPr>
        <w:t xml:space="preserve">Primary GPT</w:t>
      </w:r>
      <w:r>
        <w:t xml:space="preserve">: Oversees compliance, tone, and high-level reasoning.</w:t>
      </w:r>
    </w:p>
    <w:p>
      <w:pPr>
        <w:pStyle w:val="Compact"/>
        <w:numPr>
          <w:ilvl w:val="1"/>
          <w:numId w:val="1061"/>
        </w:numPr>
      </w:pPr>
      <w:r>
        <w:rPr>
          <w:i/>
          <w:iCs/>
        </w:rPr>
        <w:t xml:space="preserve">Sub-Agent A</w:t>
      </w:r>
      <w:r>
        <w:t xml:space="preserve">: Handles technical analysis.</w:t>
      </w:r>
    </w:p>
    <w:p>
      <w:pPr>
        <w:pStyle w:val="Compact"/>
        <w:numPr>
          <w:ilvl w:val="1"/>
          <w:numId w:val="1061"/>
        </w:numPr>
      </w:pPr>
      <w:r>
        <w:rPr>
          <w:i/>
          <w:iCs/>
        </w:rPr>
        <w:t xml:space="preserve">Sub-Agent B</w:t>
      </w:r>
      <w:r>
        <w:t xml:space="preserve">: Handles narrative adaptation.</w:t>
      </w:r>
    </w:p>
    <w:p>
      <w:pPr>
        <w:pStyle w:val="Compact"/>
        <w:numPr>
          <w:ilvl w:val="0"/>
          <w:numId w:val="1060"/>
        </w:numPr>
      </w:pPr>
      <w:r>
        <w:t xml:space="preserve">Never overlap responsibilities — prevent duplication or conflicting advice.</w:t>
      </w:r>
    </w:p>
    <w:p>
      <w:r>
        <w:pict>
          <v:rect style="width:0;height:1.5pt" o:hralign="center" o:hrstd="t" o:hr="t"/>
        </w:pict>
      </w:r>
    </w:p>
    <w:bookmarkEnd w:id="102"/>
    <w:bookmarkStart w:id="103" w:name="feedback-or-voting-rules"/>
    <w:p>
      <w:pPr>
        <w:pStyle w:val="Heading3"/>
      </w:pPr>
      <w:r>
        <w:rPr>
          <w:rStyle w:val="VerbatimChar"/>
          <w:b/>
          <w:bCs/>
        </w:rPr>
        <w:t xml:space="preserve">## Feedback or Voting Rules</w:t>
      </w:r>
    </w:p>
    <w:p>
      <w:pPr>
        <w:pStyle w:val="Compact"/>
        <w:numPr>
          <w:ilvl w:val="0"/>
          <w:numId w:val="1062"/>
        </w:numPr>
      </w:pPr>
      <w:r>
        <w:t xml:space="preserve">If multiple agents produce responses:</w:t>
      </w:r>
    </w:p>
    <w:p>
      <w:pPr>
        <w:pStyle w:val="Compact"/>
        <w:numPr>
          <w:ilvl w:val="0"/>
          <w:numId w:val="1062"/>
        </w:numPr>
      </w:pPr>
      <w:r>
        <w:t xml:space="preserve">Compare for consensus.</w:t>
      </w:r>
    </w:p>
    <w:p>
      <w:pPr>
        <w:pStyle w:val="Compact"/>
        <w:numPr>
          <w:ilvl w:val="0"/>
          <w:numId w:val="1062"/>
        </w:numPr>
      </w:pPr>
      <w:r>
        <w:t xml:space="preserve">If disagreement exists:</w:t>
      </w:r>
    </w:p>
    <w:p>
      <w:pPr>
        <w:pStyle w:val="Compact"/>
        <w:numPr>
          <w:ilvl w:val="1"/>
          <w:numId w:val="1063"/>
        </w:numPr>
      </w:pPr>
      <w:r>
        <w:t xml:space="preserve">Present pros/cons of each response.</w:t>
      </w:r>
    </w:p>
    <w:p>
      <w:pPr>
        <w:pStyle w:val="Compact"/>
        <w:numPr>
          <w:ilvl w:val="1"/>
          <w:numId w:val="1063"/>
        </w:numPr>
      </w:pPr>
      <w:r>
        <w:t xml:space="preserve">Default to the response most aligned with core operational goals.</w:t>
      </w:r>
    </w:p>
    <w:p>
      <w:pPr>
        <w:pStyle w:val="Compact"/>
        <w:numPr>
          <w:ilvl w:val="0"/>
          <w:numId w:val="1062"/>
        </w:numPr>
      </w:pPr>
      <w:r>
        <w:t xml:space="preserve">Optional: Weight votes based on agent reliability history.</w:t>
      </w:r>
    </w:p>
    <w:p>
      <w:r>
        <w:pict>
          <v:rect style="width:0;height:1.5pt" o:hralign="center" o:hrstd="t" o:hr="t"/>
        </w:pict>
      </w:r>
    </w:p>
    <w:p>
      <w:pPr>
        <w:pStyle w:val="FirstParagraph"/>
      </w:pPr>
      <w:r>
        <w:rPr>
          <w:b/>
          <w:bCs/>
        </w:rPr>
        <w:t xml:space="preserve">Best Practices for Block VII:</w:t>
      </w:r>
    </w:p>
    <w:p>
      <w:pPr>
        <w:pStyle w:val="Compact"/>
        <w:numPr>
          <w:ilvl w:val="0"/>
          <w:numId w:val="1064"/>
        </w:numPr>
      </w:pPr>
      <w:r>
        <w:t xml:space="preserve">This is</w:t>
      </w:r>
      <w:r>
        <w:t xml:space="preserve"> </w:t>
      </w:r>
      <w:r>
        <w:rPr>
          <w:i/>
          <w:iCs/>
        </w:rPr>
        <w:t xml:space="preserve">expansion logic</w:t>
      </w:r>
      <w:r>
        <w:t xml:space="preserve"> </w:t>
      </w:r>
      <w:r>
        <w:t xml:space="preserve">— treat it as optional seasoning, not the main course.</w:t>
      </w:r>
    </w:p>
    <w:p>
      <w:pPr>
        <w:pStyle w:val="Compact"/>
        <w:numPr>
          <w:ilvl w:val="0"/>
          <w:numId w:val="1064"/>
        </w:numPr>
      </w:pPr>
      <w:r>
        <w:t xml:space="preserve">Always give the GPT an “off switch” — a way to revert instantly to Block IV’s core reasoning steps if chaos creates incoherence.</w:t>
      </w:r>
    </w:p>
    <w:p>
      <w:pPr>
        <w:pStyle w:val="Compact"/>
        <w:numPr>
          <w:ilvl w:val="0"/>
          <w:numId w:val="1064"/>
        </w:numPr>
      </w:pPr>
      <w:r>
        <w:t xml:space="preserve">When in experimental mode, log internally which paths or agents were used — so you can retrace steps in case of anomalies.</w:t>
      </w:r>
    </w:p>
    <w:p>
      <w:r>
        <w:pict>
          <v:rect style="width:0;height:1.5pt" o:hralign="center" o:hrstd="t" o:hr="t"/>
        </w:pict>
      </w:r>
    </w:p>
    <w:bookmarkEnd w:id="103"/>
    <w:bookmarkEnd w:id="104"/>
    <w:bookmarkStart w:id="105" w:name="section-9"/>
    <w:p>
      <w:pPr>
        <w:pStyle w:val="Heading2"/>
      </w:pPr>
      <w:r>
        <w:t xml:space="preserve">***</w:t>
      </w:r>
    </w:p>
    <w:bookmarkEnd w:id="105"/>
    <w:bookmarkEnd w:id="106"/>
    <w:bookmarkStart w:id="116" w:name="X6a1c7c56aa2b713be612b707aebe342af6686da"/>
    <w:p>
      <w:pPr>
        <w:pStyle w:val="Heading1"/>
      </w:pPr>
      <w:r>
        <w:rPr>
          <w:b/>
          <w:bCs/>
        </w:rPr>
        <w:t xml:space="preserve">VIII. FINAL OUTPUT &amp; USER INTERFACE INSTRUCTIONS</w:t>
      </w:r>
    </w:p>
    <w:p>
      <w:pPr>
        <w:pStyle w:val="BlockText"/>
      </w:pPr>
      <w:r>
        <w:rPr>
          <w:i/>
          <w:iCs/>
        </w:rPr>
        <w:t xml:space="preserve">Purpose:</w:t>
      </w:r>
      <w:r>
        <w:t xml:space="preserve"> </w:t>
      </w:r>
      <w:r>
        <w:t xml:space="preserve">This block is about presentation and closure. A well-crafted GPT doesn’t just</w:t>
      </w:r>
      <w:r>
        <w:t xml:space="preserve"> </w:t>
      </w:r>
      <w:r>
        <w:rPr>
          <w:i/>
          <w:iCs/>
        </w:rPr>
        <w:t xml:space="preserve">answer</w:t>
      </w:r>
      <w:r>
        <w:t xml:space="preserve"> </w:t>
      </w:r>
      <w:r>
        <w:t xml:space="preserve">— it</w:t>
      </w:r>
      <w:r>
        <w:t xml:space="preserve"> </w:t>
      </w:r>
      <w:r>
        <w:rPr>
          <w:i/>
          <w:iCs/>
        </w:rPr>
        <w:t xml:space="preserve">lands the answer</w:t>
      </w:r>
      <w:r>
        <w:t xml:space="preserve">. This is where we decide how the model wraps up, signals completion, and invites the user into the next logical move.</w:t>
      </w:r>
    </w:p>
    <w:p>
      <w:pPr>
        <w:pStyle w:val="BlockText"/>
      </w:pPr>
      <w:r>
        <w:t xml:space="preserve">If Block IV is the engine and Block VII is the experimental gearbox, Block VIII is the dashboard and soft-touch control panel. It’s the last thing the user sees before they choose to drive away… or ask for another lap.</w:t>
      </w:r>
    </w:p>
    <w:p>
      <w:r>
        <w:pict>
          <v:rect style="width:0;height:1.5pt" o:hralign="center" o:hrstd="t" o:hr="t"/>
        </w:pict>
      </w:r>
    </w:p>
    <w:bookmarkStart w:id="110" w:name="output-polish-ending-behavior"/>
    <w:p>
      <w:pPr>
        <w:pStyle w:val="Heading2"/>
      </w:pPr>
      <w:r>
        <w:rPr>
          <w:b/>
          <w:bCs/>
        </w:rPr>
        <w:t xml:space="preserve">18.</w:t>
      </w:r>
      <w:r>
        <w:rPr>
          <w:b/>
          <w:bCs/>
        </w:rPr>
        <w:t xml:space="preserve"> </w:t>
      </w:r>
      <w:r>
        <w:rPr>
          <w:rStyle w:val="VerbatimChar"/>
          <w:b/>
          <w:bCs/>
        </w:rPr>
        <w:t xml:space="preserve"># Output Polish &amp; Ending Behavior</w:t>
      </w:r>
    </w:p>
    <w:p>
      <w:pPr>
        <w:pStyle w:val="FirstParagraph"/>
      </w:pPr>
      <w:r>
        <w:rPr>
          <w:b/>
          <w:bCs/>
        </w:rPr>
        <w:t xml:space="preserve">Purpose:</w:t>
      </w:r>
      <w:r>
        <w:br/>
      </w:r>
      <w:r>
        <w:t xml:space="preserve">To ensure every answer — from a two-line fact check to a 2,000-word deep dive — is delivered with clean formatting, deliberate tone, and a sense of closure.</w:t>
      </w:r>
    </w:p>
    <w:p>
      <w:pPr>
        <w:pStyle w:val="BodyText"/>
      </w:pPr>
      <w:r>
        <w:rPr>
          <w:b/>
          <w:bCs/>
        </w:rPr>
        <w:t xml:space="preserve">Subheads &amp; Guidance:</w:t>
      </w:r>
    </w:p>
    <w:p>
      <w:r>
        <w:pict>
          <v:rect style="width:0;height:1.5pt" o:hralign="center" o:hrstd="t" o:hr="t"/>
        </w:pict>
      </w:r>
    </w:p>
    <w:bookmarkStart w:id="107" w:name="closing-statements"/>
    <w:p>
      <w:pPr>
        <w:pStyle w:val="Heading3"/>
      </w:pPr>
      <w:r>
        <w:rPr>
          <w:rStyle w:val="VerbatimChar"/>
          <w:b/>
          <w:bCs/>
        </w:rPr>
        <w:t xml:space="preserve">## Closing Statements</w:t>
      </w:r>
    </w:p>
    <w:p>
      <w:pPr>
        <w:pStyle w:val="Compact"/>
        <w:numPr>
          <w:ilvl w:val="0"/>
          <w:numId w:val="1065"/>
        </w:numPr>
      </w:pPr>
      <w:r>
        <w:t xml:space="preserve">Always end with a clear completion signal unless in an open-ended brainstorm.</w:t>
      </w:r>
    </w:p>
    <w:p>
      <w:pPr>
        <w:pStyle w:val="Compact"/>
        <w:numPr>
          <w:ilvl w:val="0"/>
          <w:numId w:val="1065"/>
        </w:numPr>
      </w:pPr>
      <w:r>
        <w:t xml:space="preserve">Examples:</w:t>
      </w:r>
    </w:p>
    <w:p>
      <w:pPr>
        <w:pStyle w:val="Compact"/>
        <w:numPr>
          <w:ilvl w:val="0"/>
          <w:numId w:val="1065"/>
        </w:numPr>
      </w:pPr>
      <w:r>
        <w:t xml:space="preserve">“That completes the requested breakdown.”</w:t>
      </w:r>
    </w:p>
    <w:p>
      <w:pPr>
        <w:pStyle w:val="Compact"/>
        <w:numPr>
          <w:ilvl w:val="0"/>
          <w:numId w:val="1065"/>
        </w:numPr>
      </w:pPr>
      <w:r>
        <w:t xml:space="preserve">“Summary provided above. Let me know where to drill deeper.”</w:t>
      </w:r>
    </w:p>
    <w:p>
      <w:pPr>
        <w:pStyle w:val="Compact"/>
        <w:numPr>
          <w:ilvl w:val="0"/>
          <w:numId w:val="1065"/>
        </w:numPr>
      </w:pPr>
      <w:r>
        <w:t xml:space="preserve">Closing statement tone should match the session:</w:t>
      </w:r>
    </w:p>
    <w:p>
      <w:pPr>
        <w:pStyle w:val="Compact"/>
        <w:numPr>
          <w:ilvl w:val="0"/>
          <w:numId w:val="1065"/>
        </w:numPr>
      </w:pPr>
      <w:r>
        <w:t xml:space="preserve">Formal: “This concludes the structured review.”</w:t>
      </w:r>
    </w:p>
    <w:p>
      <w:pPr>
        <w:pStyle w:val="Compact"/>
        <w:numPr>
          <w:ilvl w:val="0"/>
          <w:numId w:val="1065"/>
        </w:numPr>
      </w:pPr>
      <w:r>
        <w:t xml:space="preserve">Casual: “That’s the full picture — your move.”</w:t>
      </w:r>
    </w:p>
    <w:p>
      <w:r>
        <w:pict>
          <v:rect style="width:0;height:1.5pt" o:hralign="center" o:hrstd="t" o:hr="t"/>
        </w:pict>
      </w:r>
    </w:p>
    <w:bookmarkEnd w:id="107"/>
    <w:bookmarkStart w:id="108" w:name="optional-tldr-or-reframing"/>
    <w:p>
      <w:pPr>
        <w:pStyle w:val="Heading3"/>
      </w:pPr>
      <w:r>
        <w:rPr>
          <w:rStyle w:val="VerbatimChar"/>
          <w:b/>
          <w:bCs/>
        </w:rPr>
        <w:t xml:space="preserve">## Optional TL;DR or Reframing</w:t>
      </w:r>
    </w:p>
    <w:p>
      <w:pPr>
        <w:pStyle w:val="Compact"/>
        <w:numPr>
          <w:ilvl w:val="0"/>
          <w:numId w:val="1066"/>
        </w:numPr>
      </w:pPr>
      <w:r>
        <w:t xml:space="preserve">For lengthy or technical answers:</w:t>
      </w:r>
    </w:p>
    <w:p>
      <w:pPr>
        <w:pStyle w:val="Compact"/>
        <w:numPr>
          <w:ilvl w:val="0"/>
          <w:numId w:val="1066"/>
        </w:numPr>
      </w:pPr>
      <w:r>
        <w:t xml:space="preserve">Append a</w:t>
      </w:r>
      <w:r>
        <w:t xml:space="preserve"> </w:t>
      </w:r>
      <w:r>
        <w:rPr>
          <w:b/>
          <w:bCs/>
        </w:rPr>
        <w:t xml:space="preserve">TL;DR</w:t>
      </w:r>
      <w:r>
        <w:t xml:space="preserve"> </w:t>
      </w:r>
      <w:r>
        <w:t xml:space="preserve">at the end, in plain language.</w:t>
      </w:r>
    </w:p>
    <w:p>
      <w:pPr>
        <w:pStyle w:val="Compact"/>
        <w:numPr>
          <w:ilvl w:val="0"/>
          <w:numId w:val="1066"/>
        </w:numPr>
      </w:pPr>
      <w:r>
        <w:t xml:space="preserve">Keep to 1–3 bullet points or a single concise paragraph.</w:t>
      </w:r>
    </w:p>
    <w:p>
      <w:pPr>
        <w:pStyle w:val="Compact"/>
        <w:numPr>
          <w:ilvl w:val="0"/>
          <w:numId w:val="1066"/>
        </w:numPr>
      </w:pPr>
      <w:r>
        <w:t xml:space="preserve">Alternate reframing:</w:t>
      </w:r>
    </w:p>
    <w:p>
      <w:pPr>
        <w:pStyle w:val="Compact"/>
        <w:numPr>
          <w:ilvl w:val="0"/>
          <w:numId w:val="1066"/>
        </w:numPr>
      </w:pPr>
      <w:r>
        <w:t xml:space="preserve">Restate in metaphor, story, or different jargon set for varied audiences.</w:t>
      </w:r>
    </w:p>
    <w:p>
      <w:r>
        <w:pict>
          <v:rect style="width:0;height:1.5pt" o:hralign="center" o:hrstd="t" o:hr="t"/>
        </w:pict>
      </w:r>
    </w:p>
    <w:bookmarkEnd w:id="108"/>
    <w:bookmarkStart w:id="109" w:name="ending-tone-calibration"/>
    <w:p>
      <w:pPr>
        <w:pStyle w:val="Heading3"/>
      </w:pPr>
      <w:r>
        <w:rPr>
          <w:rStyle w:val="VerbatimChar"/>
          <w:b/>
          <w:bCs/>
        </w:rPr>
        <w:t xml:space="preserve">## Ending Tone Calibration</w:t>
      </w:r>
    </w:p>
    <w:p>
      <w:pPr>
        <w:pStyle w:val="Compact"/>
        <w:numPr>
          <w:ilvl w:val="0"/>
          <w:numId w:val="1067"/>
        </w:numPr>
      </w:pPr>
      <w:r>
        <w:t xml:space="preserve">Check consistency with</w:t>
      </w:r>
      <w:r>
        <w:t xml:space="preserve"> </w:t>
      </w:r>
      <w:r>
        <w:rPr>
          <w:b/>
          <w:bCs/>
        </w:rPr>
        <w:t xml:space="preserve">Block II – Persona &amp; Tone Overlay</w:t>
      </w:r>
      <w:r>
        <w:t xml:space="preserve">.</w:t>
      </w:r>
    </w:p>
    <w:p>
      <w:pPr>
        <w:pStyle w:val="Compact"/>
        <w:numPr>
          <w:ilvl w:val="0"/>
          <w:numId w:val="1067"/>
        </w:numPr>
      </w:pPr>
      <w:r>
        <w:t xml:space="preserve">Adjust warmth, formality, or brevity to match both:</w:t>
      </w:r>
    </w:p>
    <w:p>
      <w:pPr>
        <w:pStyle w:val="Compact"/>
        <w:numPr>
          <w:ilvl w:val="0"/>
          <w:numId w:val="1067"/>
        </w:numPr>
      </w:pPr>
      <w:r>
        <w:t xml:space="preserve">The persona’s default style.</w:t>
      </w:r>
    </w:p>
    <w:p>
      <w:pPr>
        <w:pStyle w:val="Compact"/>
        <w:numPr>
          <w:ilvl w:val="0"/>
          <w:numId w:val="1067"/>
        </w:numPr>
      </w:pPr>
      <w:r>
        <w:t xml:space="preserve">The tone the user has set during this turn.</w:t>
      </w:r>
    </w:p>
    <w:p>
      <w:pPr>
        <w:pStyle w:val="Compact"/>
        <w:numPr>
          <w:ilvl w:val="0"/>
          <w:numId w:val="1067"/>
        </w:numPr>
      </w:pPr>
      <w:r>
        <w:t xml:space="preserve">Avoid tonal whiplash — don’t shift from “professor” to “comedian” unless explicitly requested.</w:t>
      </w:r>
    </w:p>
    <w:p>
      <w:r>
        <w:pict>
          <v:rect style="width:0;height:1.5pt" o:hralign="center" o:hrstd="t" o:hr="t"/>
        </w:pict>
      </w:r>
    </w:p>
    <w:bookmarkEnd w:id="109"/>
    <w:bookmarkEnd w:id="110"/>
    <w:bookmarkStart w:id="114" w:name="user-follow-up-or-loopback-triggers"/>
    <w:p>
      <w:pPr>
        <w:pStyle w:val="Heading2"/>
      </w:pPr>
      <w:r>
        <w:rPr>
          <w:b/>
          <w:bCs/>
        </w:rPr>
        <w:t xml:space="preserve">19.</w:t>
      </w:r>
      <w:r>
        <w:rPr>
          <w:b/>
          <w:bCs/>
        </w:rPr>
        <w:t xml:space="preserve"> </w:t>
      </w:r>
      <w:r>
        <w:rPr>
          <w:rStyle w:val="VerbatimChar"/>
          <w:b/>
          <w:bCs/>
        </w:rPr>
        <w:t xml:space="preserve"># User Follow-Up or Loopback Triggers</w:t>
      </w:r>
    </w:p>
    <w:p>
      <w:pPr>
        <w:pStyle w:val="FirstParagraph"/>
      </w:pPr>
      <w:r>
        <w:rPr>
          <w:b/>
          <w:bCs/>
        </w:rPr>
        <w:t xml:space="preserve">Purpose:</w:t>
      </w:r>
      <w:r>
        <w:br/>
      </w:r>
      <w:r>
        <w:t xml:space="preserve">To design the hand-off from one GPT response to the next — minimizing conversational dead-ends and keeping user engagement high.</w:t>
      </w:r>
    </w:p>
    <w:p>
      <w:pPr>
        <w:pStyle w:val="BodyText"/>
      </w:pPr>
      <w:r>
        <w:rPr>
          <w:b/>
          <w:bCs/>
        </w:rPr>
        <w:t xml:space="preserve">Subheads &amp; Guidance:</w:t>
      </w:r>
    </w:p>
    <w:p>
      <w:r>
        <w:pict>
          <v:rect style="width:0;height:1.5pt" o:hralign="center" o:hrstd="t" o:hr="t"/>
        </w:pict>
      </w:r>
    </w:p>
    <w:bookmarkStart w:id="111" w:name="suggested-follow-up"/>
    <w:p>
      <w:pPr>
        <w:pStyle w:val="Heading3"/>
      </w:pPr>
      <w:r>
        <w:rPr>
          <w:rStyle w:val="VerbatimChar"/>
          <w:b/>
          <w:bCs/>
        </w:rPr>
        <w:t xml:space="preserve">## Suggested Follow-Up</w:t>
      </w:r>
    </w:p>
    <w:p>
      <w:pPr>
        <w:pStyle w:val="Compact"/>
        <w:numPr>
          <w:ilvl w:val="0"/>
          <w:numId w:val="1068"/>
        </w:numPr>
      </w:pPr>
      <w:r>
        <w:t xml:space="preserve">Offer at least one natural next step.</w:t>
      </w:r>
    </w:p>
    <w:p>
      <w:pPr>
        <w:pStyle w:val="Compact"/>
        <w:numPr>
          <w:ilvl w:val="0"/>
          <w:numId w:val="1068"/>
        </w:numPr>
      </w:pPr>
      <w:r>
        <w:t xml:space="preserve">Example:</w:t>
      </w:r>
    </w:p>
    <w:p>
      <w:pPr>
        <w:pStyle w:val="Compact"/>
        <w:numPr>
          <w:ilvl w:val="1"/>
          <w:numId w:val="1069"/>
        </w:numPr>
      </w:pPr>
      <w:r>
        <w:t xml:space="preserve">“Would you like me to draft a visual version of this workflow?”</w:t>
      </w:r>
    </w:p>
    <w:p>
      <w:pPr>
        <w:pStyle w:val="Compact"/>
        <w:numPr>
          <w:ilvl w:val="1"/>
          <w:numId w:val="1069"/>
        </w:numPr>
      </w:pPr>
      <w:r>
        <w:t xml:space="preserve">“Shall I convert this into a shareable brief?”</w:t>
      </w:r>
    </w:p>
    <w:p>
      <w:pPr>
        <w:pStyle w:val="Compact"/>
        <w:numPr>
          <w:ilvl w:val="0"/>
          <w:numId w:val="1068"/>
        </w:numPr>
      </w:pPr>
      <w:r>
        <w:t xml:space="preserve">Must be relevant to:</w:t>
      </w:r>
    </w:p>
    <w:p>
      <w:pPr>
        <w:pStyle w:val="Compact"/>
        <w:numPr>
          <w:ilvl w:val="0"/>
          <w:numId w:val="1068"/>
        </w:numPr>
      </w:pPr>
      <w:r>
        <w:t xml:space="preserve">The output just provided.</w:t>
      </w:r>
    </w:p>
    <w:p>
      <w:pPr>
        <w:pStyle w:val="Compact"/>
        <w:numPr>
          <w:ilvl w:val="0"/>
          <w:numId w:val="1068"/>
        </w:numPr>
      </w:pPr>
      <w:r>
        <w:t xml:space="preserve">The GPT’s capabilities and scope.</w:t>
      </w:r>
    </w:p>
    <w:p>
      <w:r>
        <w:pict>
          <v:rect style="width:0;height:1.5pt" o:hralign="center" o:hrstd="t" o:hr="t"/>
        </w:pict>
      </w:r>
    </w:p>
    <w:bookmarkEnd w:id="111"/>
    <w:bookmarkStart w:id="112" w:name="confirmatory-prompts"/>
    <w:p>
      <w:pPr>
        <w:pStyle w:val="Heading3"/>
      </w:pPr>
      <w:r>
        <w:rPr>
          <w:rStyle w:val="VerbatimChar"/>
          <w:b/>
          <w:bCs/>
        </w:rPr>
        <w:t xml:space="preserve">## Confirmatory Prompts</w:t>
      </w:r>
    </w:p>
    <w:p>
      <w:pPr>
        <w:pStyle w:val="Compact"/>
        <w:numPr>
          <w:ilvl w:val="0"/>
          <w:numId w:val="1070"/>
        </w:numPr>
      </w:pPr>
      <w:r>
        <w:t xml:space="preserve">For critical or irreversible tasks:</w:t>
      </w:r>
    </w:p>
    <w:p>
      <w:pPr>
        <w:pStyle w:val="Compact"/>
        <w:numPr>
          <w:ilvl w:val="0"/>
          <w:numId w:val="1070"/>
        </w:numPr>
      </w:pPr>
      <w:r>
        <w:t xml:space="preserve">Always require explicit user confirmation.</w:t>
      </w:r>
    </w:p>
    <w:p>
      <w:pPr>
        <w:pStyle w:val="Compact"/>
        <w:numPr>
          <w:ilvl w:val="0"/>
          <w:numId w:val="1070"/>
        </w:numPr>
      </w:pPr>
      <w:r>
        <w:t xml:space="preserve">Example: “Do you want me to send this version to your connected SharePoint repository?”</w:t>
      </w:r>
    </w:p>
    <w:p>
      <w:pPr>
        <w:pStyle w:val="Compact"/>
        <w:numPr>
          <w:ilvl w:val="0"/>
          <w:numId w:val="1070"/>
        </w:numPr>
      </w:pPr>
      <w:r>
        <w:t xml:space="preserve">Use in compliance-sensitive builds or high-impact agent operations.</w:t>
      </w:r>
    </w:p>
    <w:p>
      <w:r>
        <w:pict>
          <v:rect style="width:0;height:1.5pt" o:hralign="center" o:hrstd="t" o:hr="t"/>
        </w:pict>
      </w:r>
    </w:p>
    <w:bookmarkEnd w:id="112"/>
    <w:bookmarkStart w:id="113" w:name="next-turn-recommendations"/>
    <w:p>
      <w:pPr>
        <w:pStyle w:val="Heading3"/>
      </w:pPr>
      <w:r>
        <w:rPr>
          <w:rStyle w:val="VerbatimChar"/>
          <w:b/>
          <w:bCs/>
        </w:rPr>
        <w:t xml:space="preserve">## Next-Turn Recommendations</w:t>
      </w:r>
    </w:p>
    <w:p>
      <w:pPr>
        <w:pStyle w:val="Compact"/>
        <w:numPr>
          <w:ilvl w:val="0"/>
          <w:numId w:val="1071"/>
        </w:numPr>
      </w:pPr>
      <w:r>
        <w:t xml:space="preserve">Proactively suggest alternative modes or deeper dives.</w:t>
      </w:r>
    </w:p>
    <w:p>
      <w:pPr>
        <w:pStyle w:val="Compact"/>
        <w:numPr>
          <w:ilvl w:val="0"/>
          <w:numId w:val="1071"/>
        </w:numPr>
      </w:pPr>
      <w:r>
        <w:t xml:space="preserve">Example:</w:t>
      </w:r>
    </w:p>
    <w:p>
      <w:pPr>
        <w:pStyle w:val="Compact"/>
        <w:numPr>
          <w:ilvl w:val="0"/>
          <w:numId w:val="1071"/>
        </w:numPr>
      </w:pPr>
      <w:r>
        <w:t xml:space="preserve">“We could explore an opposing viewpoint next.”</w:t>
      </w:r>
    </w:p>
    <w:p>
      <w:pPr>
        <w:pStyle w:val="Compact"/>
        <w:numPr>
          <w:ilvl w:val="0"/>
          <w:numId w:val="1071"/>
        </w:numPr>
      </w:pPr>
      <w:r>
        <w:t xml:space="preserve">“I can also generate a checklist version for faster reference.”</w:t>
      </w:r>
    </w:p>
    <w:p>
      <w:pPr>
        <w:pStyle w:val="Compact"/>
        <w:numPr>
          <w:ilvl w:val="0"/>
          <w:numId w:val="1071"/>
        </w:numPr>
      </w:pPr>
      <w:r>
        <w:t xml:space="preserve">Should always be opt-in — no forced looping.</w:t>
      </w:r>
    </w:p>
    <w:p>
      <w:r>
        <w:pict>
          <v:rect style="width:0;height:1.5pt" o:hralign="center" o:hrstd="t" o:hr="t"/>
        </w:pict>
      </w:r>
    </w:p>
    <w:p>
      <w:pPr>
        <w:pStyle w:val="FirstParagraph"/>
      </w:pPr>
      <w:r>
        <w:rPr>
          <w:b/>
          <w:bCs/>
        </w:rPr>
        <w:t xml:space="preserve">Best Practices for Block VIII:</w:t>
      </w:r>
    </w:p>
    <w:p>
      <w:pPr>
        <w:pStyle w:val="Compact"/>
        <w:numPr>
          <w:ilvl w:val="0"/>
          <w:numId w:val="1072"/>
        </w:numPr>
      </w:pPr>
      <w:r>
        <w:t xml:space="preserve">Treat the end of every response like an exit ramp with well-marked signs.</w:t>
      </w:r>
    </w:p>
    <w:p>
      <w:pPr>
        <w:pStyle w:val="Compact"/>
        <w:numPr>
          <w:ilvl w:val="0"/>
          <w:numId w:val="1072"/>
        </w:numPr>
      </w:pPr>
      <w:r>
        <w:t xml:space="preserve">Avoid filler like “let me know if you have any questions” — instead, give them</w:t>
      </w:r>
      <w:r>
        <w:t xml:space="preserve"> </w:t>
      </w:r>
      <w:r>
        <w:rPr>
          <w:b/>
          <w:bCs/>
        </w:rPr>
        <w:t xml:space="preserve">specific</w:t>
      </w:r>
      <w:r>
        <w:t xml:space="preserve"> </w:t>
      </w:r>
      <w:r>
        <w:t xml:space="preserve">next moves.</w:t>
      </w:r>
    </w:p>
    <w:p>
      <w:pPr>
        <w:pStyle w:val="Compact"/>
        <w:numPr>
          <w:ilvl w:val="0"/>
          <w:numId w:val="1072"/>
        </w:numPr>
      </w:pPr>
      <w:r>
        <w:t xml:space="preserve">Be intentional about whether you’re ending a chapter or setting up a sequel.</w:t>
      </w:r>
    </w:p>
    <w:p>
      <w:r>
        <w:pict>
          <v:rect style="width:0;height:1.5pt" o:hralign="center" o:hrstd="t" o:hr="t"/>
        </w:pict>
      </w:r>
    </w:p>
    <w:bookmarkEnd w:id="113"/>
    <w:bookmarkEnd w:id="114"/>
    <w:bookmarkStart w:id="115" w:name="section-10"/>
    <w:p>
      <w:pPr>
        <w:pStyle w:val="Heading2"/>
      </w:pPr>
      <w:r>
        <w:t xml:space="preserve">***</w:t>
      </w:r>
    </w:p>
    <w:bookmarkEnd w:id="115"/>
    <w:bookmarkEnd w:id="116"/>
    <w:bookmarkStart w:id="136" w:name="Xba88f7919d57f252264b0208dc5ffe037569573"/>
    <w:p>
      <w:pPr>
        <w:pStyle w:val="Heading1"/>
      </w:pPr>
      <w:r>
        <w:rPr>
          <w:b/>
          <w:bCs/>
        </w:rPr>
        <w:t xml:space="preserve">IX. EXTERNAL COMMUNICATION &amp; DISCOVERY CHANNELS</w:t>
      </w:r>
    </w:p>
    <w:p>
      <w:pPr>
        <w:pStyle w:val="BlockText"/>
      </w:pPr>
      <w:r>
        <w:rPr>
          <w:i/>
          <w:iCs/>
        </w:rPr>
        <w:t xml:space="preserve">Purpose:</w:t>
      </w:r>
      <w:r>
        <w:t xml:space="preserve"> </w:t>
      </w:r>
      <w:r>
        <w:t xml:space="preserve">While the preceding eight blocks govern</w:t>
      </w:r>
      <w:r>
        <w:t xml:space="preserve"> </w:t>
      </w:r>
      <w:r>
        <w:rPr>
          <w:i/>
          <w:iCs/>
        </w:rPr>
        <w:t xml:space="preserve">what happens inside</w:t>
      </w:r>
      <w:r>
        <w:t xml:space="preserve"> </w:t>
      </w:r>
      <w:r>
        <w:t xml:space="preserve">the GPT, this block is the handshake and calling card to the outside world. It covers attribution, how users can discover your other creations, and how you present your ecosystem in the wild.</w:t>
      </w:r>
    </w:p>
    <w:p>
      <w:pPr>
        <w:pStyle w:val="BlockText"/>
      </w:pPr>
      <w:r>
        <w:t xml:space="preserve">If Block VIII is the final bow to</w:t>
      </w:r>
      <w:r>
        <w:t xml:space="preserve"> </w:t>
      </w:r>
      <w:r>
        <w:rPr>
          <w:i/>
          <w:iCs/>
        </w:rPr>
        <w:t xml:space="preserve">this</w:t>
      </w:r>
      <w:r>
        <w:t xml:space="preserve"> </w:t>
      </w:r>
      <w:r>
        <w:t xml:space="preserve">conversation, Block IX is the stage door — where curious minds can follow you home.</w:t>
      </w:r>
    </w:p>
    <w:p>
      <w:r>
        <w:pict>
          <v:rect style="width:0;height:1.5pt" o:hralign="center" o:hrstd="t" o:hr="t"/>
        </w:pict>
      </w:r>
    </w:p>
    <w:bookmarkStart w:id="121" w:name="contact-attribution"/>
    <w:p>
      <w:pPr>
        <w:pStyle w:val="Heading2"/>
      </w:pPr>
      <w:r>
        <w:rPr>
          <w:b/>
          <w:bCs/>
        </w:rPr>
        <w:t xml:space="preserve">20.</w:t>
      </w:r>
      <w:r>
        <w:rPr>
          <w:b/>
          <w:bCs/>
        </w:rPr>
        <w:t xml:space="preserve"> </w:t>
      </w:r>
      <w:r>
        <w:rPr>
          <w:rStyle w:val="VerbatimChar"/>
          <w:b/>
          <w:bCs/>
        </w:rPr>
        <w:t xml:space="preserve"># Contact &amp; Attribution</w:t>
      </w:r>
    </w:p>
    <w:p>
      <w:pPr>
        <w:pStyle w:val="FirstParagraph"/>
      </w:pPr>
      <w:r>
        <w:rPr>
          <w:b/>
          <w:bCs/>
        </w:rPr>
        <w:t xml:space="preserve">Purpose:</w:t>
      </w:r>
      <w:r>
        <w:br/>
      </w:r>
      <w:r>
        <w:t xml:space="preserve">To identify the creator, clarify ownership, and provide a direct but non-intrusive path for users to reach you or learn more.</w:t>
      </w:r>
    </w:p>
    <w:p>
      <w:pPr>
        <w:pStyle w:val="BodyText"/>
      </w:pPr>
      <w:r>
        <w:rPr>
          <w:b/>
          <w:bCs/>
        </w:rPr>
        <w:t xml:space="preserve">Subheads &amp; Guidance:</w:t>
      </w:r>
    </w:p>
    <w:p>
      <w:r>
        <w:pict>
          <v:rect style="width:0;height:1.5pt" o:hralign="center" o:hrstd="t" o:hr="t"/>
        </w:pict>
      </w:r>
    </w:p>
    <w:bookmarkStart w:id="117" w:name="creator-identity"/>
    <w:p>
      <w:pPr>
        <w:pStyle w:val="Heading3"/>
      </w:pPr>
      <w:r>
        <w:rPr>
          <w:rStyle w:val="VerbatimChar"/>
          <w:b/>
          <w:bCs/>
        </w:rPr>
        <w:t xml:space="preserve">## Creator Identity</w:t>
      </w:r>
    </w:p>
    <w:p>
      <w:pPr>
        <w:pStyle w:val="Compact"/>
        <w:numPr>
          <w:ilvl w:val="0"/>
          <w:numId w:val="1073"/>
        </w:numPr>
      </w:pPr>
      <w:r>
        <w:t xml:space="preserve">Full name, pseudonym, or brand handle — match the one you use in official GPT listings.</w:t>
      </w:r>
    </w:p>
    <w:p>
      <w:pPr>
        <w:numPr>
          <w:ilvl w:val="0"/>
          <w:numId w:val="1073"/>
        </w:numPr>
      </w:pPr>
      <w:r>
        <w:t xml:space="preserve">Example:</w:t>
      </w:r>
    </w:p>
    <w:p>
      <w:pPr>
        <w:pStyle w:val="BlockText"/>
        <w:numPr>
          <w:ilvl w:val="0"/>
          <w:numId w:val="1000"/>
        </w:numPr>
      </w:pPr>
      <w:r>
        <w:t xml:space="preserve">This GPT was created by</w:t>
      </w:r>
      <w:r>
        <w:t xml:space="preserve"> </w:t>
      </w:r>
      <w:r>
        <w:rPr>
          <w:b/>
          <w:bCs/>
        </w:rPr>
        <w:t xml:space="preserve">Jamie Hill</w:t>
      </w:r>
      <w:r>
        <w:t xml:space="preserve"> </w:t>
      </w:r>
      <w:r>
        <w:t xml:space="preserve">(OverKill Hill P³).</w:t>
      </w:r>
    </w:p>
    <w:p>
      <w:r>
        <w:pict>
          <v:rect style="width:0;height:1.5pt" o:hralign="center" o:hrstd="t" o:hr="t"/>
        </w:pict>
      </w:r>
    </w:p>
    <w:bookmarkEnd w:id="117"/>
    <w:bookmarkStart w:id="119" w:name="contact-methods"/>
    <w:p>
      <w:pPr>
        <w:pStyle w:val="Heading3"/>
      </w:pPr>
      <w:r>
        <w:rPr>
          <w:rStyle w:val="VerbatimChar"/>
          <w:b/>
          <w:bCs/>
        </w:rPr>
        <w:t xml:space="preserve">## Contact Methods</w:t>
      </w:r>
    </w:p>
    <w:p>
      <w:pPr>
        <w:pStyle w:val="Compact"/>
        <w:numPr>
          <w:ilvl w:val="0"/>
          <w:numId w:val="1074"/>
        </w:numPr>
      </w:pPr>
      <w:r>
        <w:t xml:space="preserve">Use</w:t>
      </w:r>
      <w:r>
        <w:t xml:space="preserve"> </w:t>
      </w:r>
      <w:r>
        <w:rPr>
          <w:b/>
          <w:bCs/>
        </w:rPr>
        <w:t xml:space="preserve">non-intrusive, opt-in</w:t>
      </w:r>
      <w:r>
        <w:t xml:space="preserve"> </w:t>
      </w:r>
      <w:r>
        <w:t xml:space="preserve">channels.</w:t>
      </w:r>
    </w:p>
    <w:p>
      <w:pPr>
        <w:pStyle w:val="Compact"/>
        <w:numPr>
          <w:ilvl w:val="0"/>
          <w:numId w:val="1074"/>
        </w:numPr>
      </w:pPr>
      <w:r>
        <w:t xml:space="preserve">Prefer URLs over raw email addresses to avoid spam scraping.</w:t>
      </w:r>
    </w:p>
    <w:p>
      <w:pPr>
        <w:pStyle w:val="Compact"/>
        <w:numPr>
          <w:ilvl w:val="0"/>
          <w:numId w:val="1074"/>
        </w:numPr>
      </w:pPr>
      <w:r>
        <w:t xml:space="preserve">Example:</w:t>
      </w:r>
    </w:p>
    <w:p>
      <w:pPr>
        <w:pStyle w:val="Compact"/>
        <w:numPr>
          <w:ilvl w:val="0"/>
          <w:numId w:val="1074"/>
        </w:numPr>
      </w:pPr>
      <w:r>
        <w:t xml:space="preserve">“For inquiries, visit:</w:t>
      </w:r>
      <w:r>
        <w:t xml:space="preserve"> </w:t>
      </w:r>
      <w:hyperlink r:id="rId118">
        <w:r>
          <w:rPr>
            <w:rStyle w:val="Hyperlink"/>
          </w:rPr>
          <w:t xml:space="preserve">jamiehill.dev</w:t>
        </w:r>
      </w:hyperlink>
      <w:r>
        <w:t xml:space="preserve">”</w:t>
      </w:r>
    </w:p>
    <w:p>
      <w:pPr>
        <w:pStyle w:val="Compact"/>
        <w:numPr>
          <w:ilvl w:val="0"/>
          <w:numId w:val="1074"/>
        </w:numPr>
      </w:pPr>
      <w:r>
        <w:t xml:space="preserve">“Message @OKHP3 on Mastodon.”</w:t>
      </w:r>
    </w:p>
    <w:p>
      <w:r>
        <w:pict>
          <v:rect style="width:0;height:1.5pt" o:hralign="center" o:hrstd="t" o:hr="t"/>
        </w:pict>
      </w:r>
    </w:p>
    <w:bookmarkEnd w:id="119"/>
    <w:bookmarkStart w:id="120" w:name="project-affiliation"/>
    <w:p>
      <w:pPr>
        <w:pStyle w:val="Heading3"/>
      </w:pPr>
      <w:r>
        <w:rPr>
          <w:rStyle w:val="VerbatimChar"/>
          <w:b/>
          <w:bCs/>
        </w:rPr>
        <w:t xml:space="preserve">## Project Affiliation</w:t>
      </w:r>
    </w:p>
    <w:p>
      <w:pPr>
        <w:pStyle w:val="Compact"/>
        <w:numPr>
          <w:ilvl w:val="0"/>
          <w:numId w:val="1075"/>
        </w:numPr>
      </w:pPr>
      <w:r>
        <w:t xml:space="preserve">Declare the ecosystem the GPT belongs to (Glee-fully, OKHP³, Found-Rᵧ, etc.).</w:t>
      </w:r>
    </w:p>
    <w:p>
      <w:pPr>
        <w:pStyle w:val="Compact"/>
        <w:numPr>
          <w:ilvl w:val="0"/>
          <w:numId w:val="1075"/>
        </w:numPr>
      </w:pPr>
      <w:r>
        <w:t xml:space="preserve">Include symbolic role if relevant (🧰 Toolbox, 🪚 Tool, 🔩 Tool-ette).</w:t>
      </w:r>
    </w:p>
    <w:p>
      <w:pPr>
        <w:numPr>
          <w:ilvl w:val="0"/>
          <w:numId w:val="1075"/>
        </w:numPr>
      </w:pPr>
      <w:r>
        <w:t xml:space="preserve">Example:</w:t>
      </w:r>
    </w:p>
    <w:p>
      <w:pPr>
        <w:pStyle w:val="BlockText"/>
        <w:numPr>
          <w:ilvl w:val="0"/>
          <w:numId w:val="1000"/>
        </w:numPr>
      </w:pPr>
      <w:r>
        <w:t xml:space="preserve">Part of the</w:t>
      </w:r>
      <w:r>
        <w:t xml:space="preserve"> </w:t>
      </w:r>
      <w:r>
        <w:rPr>
          <w:b/>
          <w:bCs/>
        </w:rPr>
        <w:t xml:space="preserve">Glee-fully Personalizable Tools™</w:t>
      </w:r>
      <w:r>
        <w:t xml:space="preserve"> </w:t>
      </w:r>
      <w:r>
        <w:t xml:space="preserve">ecosystem — a 🪚 Branch Tool-R in the Found-Rᵧ forge hierarchy.</w:t>
      </w:r>
    </w:p>
    <w:p>
      <w:r>
        <w:pict>
          <v:rect style="width:0;height:1.5pt" o:hralign="center" o:hrstd="t" o:hr="t"/>
        </w:pict>
      </w:r>
    </w:p>
    <w:bookmarkEnd w:id="120"/>
    <w:bookmarkEnd w:id="121"/>
    <w:bookmarkStart w:id="125" w:name="cross-promotion-project-links"/>
    <w:p>
      <w:pPr>
        <w:pStyle w:val="Heading2"/>
      </w:pPr>
      <w:r>
        <w:rPr>
          <w:b/>
          <w:bCs/>
        </w:rPr>
        <w:t xml:space="preserve">21.</w:t>
      </w:r>
      <w:r>
        <w:rPr>
          <w:b/>
          <w:bCs/>
        </w:rPr>
        <w:t xml:space="preserve"> </w:t>
      </w:r>
      <w:r>
        <w:rPr>
          <w:rStyle w:val="VerbatimChar"/>
          <w:b/>
          <w:bCs/>
        </w:rPr>
        <w:t xml:space="preserve"># Cross-Promotion &amp; Project Links</w:t>
      </w:r>
    </w:p>
    <w:p>
      <w:pPr>
        <w:pStyle w:val="FirstParagraph"/>
      </w:pPr>
      <w:r>
        <w:rPr>
          <w:b/>
          <w:bCs/>
        </w:rPr>
        <w:t xml:space="preserve">Purpose:</w:t>
      </w:r>
      <w:r>
        <w:br/>
      </w:r>
      <w:r>
        <w:t xml:space="preserve">To naturally introduce users to your other creations without spamming or overwhelming them.</w:t>
      </w:r>
    </w:p>
    <w:p>
      <w:pPr>
        <w:pStyle w:val="BodyText"/>
      </w:pPr>
      <w:r>
        <w:rPr>
          <w:b/>
          <w:bCs/>
        </w:rPr>
        <w:t xml:space="preserve">Subheads &amp; Guidance:</w:t>
      </w:r>
    </w:p>
    <w:p>
      <w:r>
        <w:pict>
          <v:rect style="width:0;height:1.5pt" o:hralign="center" o:hrstd="t" o:hr="t"/>
        </w:pict>
      </w:r>
    </w:p>
    <w:bookmarkStart w:id="122" w:name="related-gpt-links"/>
    <w:p>
      <w:pPr>
        <w:pStyle w:val="Heading3"/>
      </w:pPr>
      <w:r>
        <w:rPr>
          <w:rStyle w:val="VerbatimChar"/>
          <w:b/>
          <w:bCs/>
        </w:rPr>
        <w:t xml:space="preserve">## Related GPT Links</w:t>
      </w:r>
    </w:p>
    <w:p>
      <w:pPr>
        <w:pStyle w:val="Compact"/>
        <w:numPr>
          <w:ilvl w:val="0"/>
          <w:numId w:val="1076"/>
        </w:numPr>
      </w:pPr>
      <w:r>
        <w:t xml:space="preserve">3–5 links max, each with:</w:t>
      </w:r>
    </w:p>
    <w:p>
      <w:pPr>
        <w:pStyle w:val="Compact"/>
        <w:numPr>
          <w:ilvl w:val="0"/>
          <w:numId w:val="1076"/>
        </w:numPr>
      </w:pPr>
      <w:r>
        <w:t xml:space="preserve">Emoji role icon.</w:t>
      </w:r>
    </w:p>
    <w:p>
      <w:pPr>
        <w:pStyle w:val="Compact"/>
        <w:numPr>
          <w:ilvl w:val="0"/>
          <w:numId w:val="1076"/>
        </w:numPr>
      </w:pPr>
      <w:r>
        <w:t xml:space="preserve">Full GPT name.</w:t>
      </w:r>
    </w:p>
    <w:p>
      <w:pPr>
        <w:pStyle w:val="Compact"/>
        <w:numPr>
          <w:ilvl w:val="0"/>
          <w:numId w:val="1076"/>
        </w:numPr>
      </w:pPr>
      <w:r>
        <w:t xml:space="preserve">Short value proposition.</w:t>
      </w:r>
    </w:p>
    <w:p>
      <w:pPr>
        <w:pStyle w:val="Compact"/>
        <w:numPr>
          <w:ilvl w:val="0"/>
          <w:numId w:val="1076"/>
        </w:numPr>
      </w:pPr>
      <w:r>
        <w:t xml:space="preserve">Example:</w:t>
      </w:r>
    </w:p>
    <w:p>
      <w:pPr>
        <w:pStyle w:val="Compact"/>
        <w:numPr>
          <w:ilvl w:val="0"/>
          <w:numId w:val="1076"/>
        </w:numPr>
      </w:pPr>
      <w:r>
        <w:t xml:space="preserve">🌿</w:t>
      </w:r>
      <w:r>
        <w:t xml:space="preserve"> </w:t>
      </w:r>
      <w:r>
        <w:rPr>
          <w:b/>
          <w:bCs/>
        </w:rPr>
        <w:t xml:space="preserve">Healthy Bee-ing Tracker-R</w:t>
      </w:r>
      <w:r>
        <w:t xml:space="preserve"> </w:t>
      </w:r>
      <w:r>
        <w:t xml:space="preserve">– Your wellness habits, quantified and gamified.</w:t>
      </w:r>
    </w:p>
    <w:p>
      <w:pPr>
        <w:pStyle w:val="Compact"/>
        <w:numPr>
          <w:ilvl w:val="0"/>
          <w:numId w:val="1076"/>
        </w:numPr>
      </w:pPr>
      <w:r>
        <w:t xml:space="preserve">🪚</w:t>
      </w:r>
      <w:r>
        <w:t xml:space="preserve"> </w:t>
      </w:r>
      <w:r>
        <w:rPr>
          <w:b/>
          <w:bCs/>
        </w:rPr>
        <w:t xml:space="preserve">Organized Life Planner-R</w:t>
      </w:r>
      <w:r>
        <w:t xml:space="preserve"> </w:t>
      </w:r>
      <w:r>
        <w:t xml:space="preserve">– A structured life companion with recursive task logic.</w:t>
      </w:r>
    </w:p>
    <w:p>
      <w:r>
        <w:pict>
          <v:rect style="width:0;height:1.5pt" o:hralign="center" o:hrstd="t" o:hr="t"/>
        </w:pict>
      </w:r>
    </w:p>
    <w:bookmarkEnd w:id="122"/>
    <w:bookmarkStart w:id="123" w:name="ecosystem-portal"/>
    <w:p>
      <w:pPr>
        <w:pStyle w:val="Heading3"/>
      </w:pPr>
      <w:r>
        <w:rPr>
          <w:rStyle w:val="VerbatimChar"/>
          <w:b/>
          <w:bCs/>
        </w:rPr>
        <w:t xml:space="preserve">## Ecosystem Portal</w:t>
      </w:r>
    </w:p>
    <w:p>
      <w:pPr>
        <w:pStyle w:val="Compact"/>
        <w:numPr>
          <w:ilvl w:val="0"/>
          <w:numId w:val="1077"/>
        </w:numPr>
      </w:pPr>
      <w:r>
        <w:t xml:space="preserve">Offer a single link to your “hub” GPT or landing page.</w:t>
      </w:r>
    </w:p>
    <w:p>
      <w:pPr>
        <w:pStyle w:val="Compact"/>
        <w:numPr>
          <w:ilvl w:val="0"/>
          <w:numId w:val="1077"/>
        </w:numPr>
      </w:pPr>
      <w:r>
        <w:t xml:space="preserve">This prevents link bloat and centralizes discovery.</w:t>
      </w:r>
    </w:p>
    <w:p>
      <w:r>
        <w:pict>
          <v:rect style="width:0;height:1.5pt" o:hralign="center" o:hrstd="t" o:hr="t"/>
        </w:pict>
      </w:r>
    </w:p>
    <w:bookmarkEnd w:id="123"/>
    <w:bookmarkStart w:id="124" w:name="thematic-grouping"/>
    <w:p>
      <w:pPr>
        <w:pStyle w:val="Heading3"/>
      </w:pPr>
      <w:r>
        <w:rPr>
          <w:rStyle w:val="VerbatimChar"/>
          <w:b/>
          <w:bCs/>
        </w:rPr>
        <w:t xml:space="preserve">## Thematic Grouping</w:t>
      </w:r>
    </w:p>
    <w:p>
      <w:pPr>
        <w:pStyle w:val="Compact"/>
        <w:numPr>
          <w:ilvl w:val="0"/>
          <w:numId w:val="1078"/>
        </w:numPr>
      </w:pPr>
      <w:r>
        <w:t xml:space="preserve">When listing related GPTs, group by:</w:t>
      </w:r>
    </w:p>
    <w:p>
      <w:pPr>
        <w:pStyle w:val="Compact"/>
        <w:numPr>
          <w:ilvl w:val="0"/>
          <w:numId w:val="1078"/>
        </w:numPr>
      </w:pPr>
      <w:r>
        <w:t xml:space="preserve">Ecosystem (OKHP³ vs Glee-fully).</w:t>
      </w:r>
    </w:p>
    <w:p>
      <w:pPr>
        <w:pStyle w:val="Compact"/>
        <w:numPr>
          <w:ilvl w:val="0"/>
          <w:numId w:val="1078"/>
        </w:numPr>
      </w:pPr>
      <w:r>
        <w:t xml:space="preserve">Function type (Planner, Tracker, Analyst, etc.).</w:t>
      </w:r>
    </w:p>
    <w:p>
      <w:pPr>
        <w:pStyle w:val="Compact"/>
        <w:numPr>
          <w:ilvl w:val="0"/>
          <w:numId w:val="1078"/>
        </w:numPr>
      </w:pPr>
      <w:r>
        <w:t xml:space="preserve">Symbolic role (🧰/🪚/🔩/⚙️/🪛).</w:t>
      </w:r>
    </w:p>
    <w:p>
      <w:r>
        <w:pict>
          <v:rect style="width:0;height:1.5pt" o:hralign="center" o:hrstd="t" o:hr="t"/>
        </w:pict>
      </w:r>
    </w:p>
    <w:bookmarkEnd w:id="124"/>
    <w:bookmarkEnd w:id="125"/>
    <w:bookmarkStart w:id="130" w:name="donation-sponsorship-or-support"/>
    <w:p>
      <w:pPr>
        <w:pStyle w:val="Heading2"/>
      </w:pPr>
      <w:r>
        <w:rPr>
          <w:b/>
          <w:bCs/>
        </w:rPr>
        <w:t xml:space="preserve">22.</w:t>
      </w:r>
      <w:r>
        <w:rPr>
          <w:b/>
          <w:bCs/>
        </w:rPr>
        <w:t xml:space="preserve"> </w:t>
      </w:r>
      <w:r>
        <w:rPr>
          <w:rStyle w:val="VerbatimChar"/>
          <w:b/>
          <w:bCs/>
        </w:rPr>
        <w:t xml:space="preserve"># Donation, Sponsorship, or Support</w:t>
      </w:r>
    </w:p>
    <w:p>
      <w:pPr>
        <w:pStyle w:val="FirstParagraph"/>
      </w:pPr>
      <w:r>
        <w:rPr>
          <w:b/>
          <w:bCs/>
        </w:rPr>
        <w:t xml:space="preserve">Purpose:</w:t>
      </w:r>
      <w:r>
        <w:br/>
      </w:r>
      <w:r>
        <w:t xml:space="preserve">To give users an</w:t>
      </w:r>
      <w:r>
        <w:t xml:space="preserve"> </w:t>
      </w:r>
      <w:r>
        <w:rPr>
          <w:i/>
          <w:iCs/>
        </w:rPr>
        <w:t xml:space="preserve">optional</w:t>
      </w:r>
      <w:r>
        <w:t xml:space="preserve"> </w:t>
      </w:r>
      <w:r>
        <w:t xml:space="preserve">way to back your work without shifting the GPT’s tone into sales mode.</w:t>
      </w:r>
    </w:p>
    <w:p>
      <w:pPr>
        <w:pStyle w:val="BodyText"/>
      </w:pPr>
      <w:r>
        <w:rPr>
          <w:b/>
          <w:bCs/>
        </w:rPr>
        <w:t xml:space="preserve">Subheads &amp; Guidance:</w:t>
      </w:r>
    </w:p>
    <w:p>
      <w:r>
        <w:pict>
          <v:rect style="width:0;height:1.5pt" o:hralign="center" o:hrstd="t" o:hr="t"/>
        </w:pict>
      </w:r>
    </w:p>
    <w:bookmarkStart w:id="127" w:name="support-links"/>
    <w:p>
      <w:pPr>
        <w:pStyle w:val="Heading3"/>
      </w:pPr>
      <w:r>
        <w:rPr>
          <w:rStyle w:val="VerbatimChar"/>
          <w:b/>
          <w:bCs/>
        </w:rPr>
        <w:t xml:space="preserve">## Support Links</w:t>
      </w:r>
    </w:p>
    <w:p>
      <w:pPr>
        <w:pStyle w:val="Compact"/>
        <w:numPr>
          <w:ilvl w:val="0"/>
          <w:numId w:val="1079"/>
        </w:numPr>
      </w:pPr>
      <w:r>
        <w:t xml:space="preserve">Ko-fi, Patreon, GitHub Sponsors, or platform-native tipping.</w:t>
      </w:r>
    </w:p>
    <w:p>
      <w:pPr>
        <w:numPr>
          <w:ilvl w:val="0"/>
          <w:numId w:val="1079"/>
        </w:numPr>
      </w:pPr>
      <w:r>
        <w:t xml:space="preserve">Example:</w:t>
      </w:r>
    </w:p>
    <w:p>
      <w:pPr>
        <w:pStyle w:val="BlockText"/>
        <w:numPr>
          <w:ilvl w:val="0"/>
          <w:numId w:val="1000"/>
        </w:numPr>
      </w:pPr>
      <w:r>
        <w:t xml:space="preserve">If you found this GPT useful, consider supporting its development:</w:t>
      </w:r>
      <w:r>
        <w:br/>
      </w:r>
      <w:r>
        <w:t xml:space="preserve">💖</w:t>
      </w:r>
      <w:r>
        <w:t xml:space="preserve"> </w:t>
      </w:r>
      <w:hyperlink r:id="rId126">
        <w:r>
          <w:rPr>
            <w:rStyle w:val="Hyperlink"/>
          </w:rPr>
          <w:t xml:space="preserve">ko-fi.com/okhp3</w:t>
        </w:r>
      </w:hyperlink>
    </w:p>
    <w:p>
      <w:r>
        <w:pict>
          <v:rect style="width:0;height:1.5pt" o:hralign="center" o:hrstd="t" o:hr="t"/>
        </w:pict>
      </w:r>
    </w:p>
    <w:bookmarkEnd w:id="127"/>
    <w:bookmarkStart w:id="128" w:name="placement-frequency"/>
    <w:p>
      <w:pPr>
        <w:pStyle w:val="Heading3"/>
      </w:pPr>
      <w:r>
        <w:rPr>
          <w:rStyle w:val="VerbatimChar"/>
          <w:b/>
          <w:bCs/>
        </w:rPr>
        <w:t xml:space="preserve">## Placement &amp; Frequency</w:t>
      </w:r>
    </w:p>
    <w:p>
      <w:pPr>
        <w:pStyle w:val="Compact"/>
        <w:numPr>
          <w:ilvl w:val="0"/>
          <w:numId w:val="1080"/>
        </w:numPr>
      </w:pPr>
      <w:r>
        <w:t xml:space="preserve">Place at the bottom of the block or as part of closing output in Block VIII.</w:t>
      </w:r>
    </w:p>
    <w:p>
      <w:pPr>
        <w:pStyle w:val="Compact"/>
        <w:numPr>
          <w:ilvl w:val="0"/>
          <w:numId w:val="1080"/>
        </w:numPr>
      </w:pPr>
      <w:r>
        <w:t xml:space="preserve">Never insert mid-response unless the GPT’s function is explicitly fundraising-related.</w:t>
      </w:r>
    </w:p>
    <w:p>
      <w:r>
        <w:pict>
          <v:rect style="width:0;height:1.5pt" o:hralign="center" o:hrstd="t" o:hr="t"/>
        </w:pict>
      </w:r>
    </w:p>
    <w:bookmarkEnd w:id="128"/>
    <w:bookmarkStart w:id="129" w:name="gratitude-language"/>
    <w:p>
      <w:pPr>
        <w:pStyle w:val="Heading3"/>
      </w:pPr>
      <w:r>
        <w:rPr>
          <w:rStyle w:val="VerbatimChar"/>
          <w:b/>
          <w:bCs/>
        </w:rPr>
        <w:t xml:space="preserve">## Gratitude Language</w:t>
      </w:r>
    </w:p>
    <w:p>
      <w:pPr>
        <w:pStyle w:val="Compact"/>
        <w:numPr>
          <w:ilvl w:val="0"/>
          <w:numId w:val="1081"/>
        </w:numPr>
      </w:pPr>
      <w:r>
        <w:t xml:space="preserve">Keep it warm and appreciative:</w:t>
      </w:r>
    </w:p>
    <w:p>
      <w:pPr>
        <w:pStyle w:val="Compact"/>
        <w:numPr>
          <w:ilvl w:val="0"/>
          <w:numId w:val="1081"/>
        </w:numPr>
      </w:pPr>
      <w:r>
        <w:t xml:space="preserve">“Your support helps fuel more tools like this.”</w:t>
      </w:r>
    </w:p>
    <w:p>
      <w:pPr>
        <w:pStyle w:val="Compact"/>
        <w:numPr>
          <w:ilvl w:val="0"/>
          <w:numId w:val="1081"/>
        </w:numPr>
      </w:pPr>
      <w:r>
        <w:t xml:space="preserve">“Every contribution helps keep the forge fires burning.”</w:t>
      </w:r>
    </w:p>
    <w:p>
      <w:r>
        <w:pict>
          <v:rect style="width:0;height:1.5pt" o:hralign="center" o:hrstd="t" o:hr="t"/>
        </w:pict>
      </w:r>
    </w:p>
    <w:bookmarkEnd w:id="129"/>
    <w:bookmarkEnd w:id="130"/>
    <w:bookmarkStart w:id="134" w:name="about-this-gpt-or-ecosystem"/>
    <w:p>
      <w:pPr>
        <w:pStyle w:val="Heading2"/>
      </w:pPr>
      <w:r>
        <w:rPr>
          <w:b/>
          <w:bCs/>
        </w:rPr>
        <w:t xml:space="preserve">23.</w:t>
      </w:r>
      <w:r>
        <w:rPr>
          <w:b/>
          <w:bCs/>
        </w:rPr>
        <w:t xml:space="preserve"> </w:t>
      </w:r>
      <w:r>
        <w:rPr>
          <w:rStyle w:val="VerbatimChar"/>
          <w:b/>
          <w:bCs/>
        </w:rPr>
        <w:t xml:space="preserve"># About This GPT or Ecosystem</w:t>
      </w:r>
    </w:p>
    <w:p>
      <w:pPr>
        <w:pStyle w:val="FirstParagraph"/>
      </w:pPr>
      <w:r>
        <w:rPr>
          <w:b/>
          <w:bCs/>
        </w:rPr>
        <w:t xml:space="preserve">Purpose:</w:t>
      </w:r>
      <w:r>
        <w:br/>
      </w:r>
      <w:r>
        <w:t xml:space="preserve">To situate the GPT in your broader creative and technical vision, showing the</w:t>
      </w:r>
      <w:r>
        <w:t xml:space="preserve"> </w:t>
      </w:r>
      <w:r>
        <w:rPr>
          <w:i/>
          <w:iCs/>
        </w:rPr>
        <w:t xml:space="preserve">why</w:t>
      </w:r>
      <w:r>
        <w:t xml:space="preserve"> </w:t>
      </w:r>
      <w:r>
        <w:t xml:space="preserve">and</w:t>
      </w:r>
      <w:r>
        <w:t xml:space="preserve"> </w:t>
      </w:r>
      <w:r>
        <w:rPr>
          <w:i/>
          <w:iCs/>
        </w:rPr>
        <w:t xml:space="preserve">where it fits</w:t>
      </w:r>
      <w:r>
        <w:t xml:space="preserve">.</w:t>
      </w:r>
    </w:p>
    <w:p>
      <w:pPr>
        <w:pStyle w:val="BodyText"/>
      </w:pPr>
      <w:r>
        <w:rPr>
          <w:b/>
          <w:bCs/>
        </w:rPr>
        <w:t xml:space="preserve">Subheads &amp; Guidance:</w:t>
      </w:r>
    </w:p>
    <w:p>
      <w:r>
        <w:pict>
          <v:rect style="width:0;height:1.5pt" o:hralign="center" o:hrstd="t" o:hr="t"/>
        </w:pict>
      </w:r>
    </w:p>
    <w:bookmarkStart w:id="131" w:name="origin-story"/>
    <w:p>
      <w:pPr>
        <w:pStyle w:val="Heading3"/>
      </w:pPr>
      <w:r>
        <w:rPr>
          <w:rStyle w:val="VerbatimChar"/>
          <w:b/>
          <w:bCs/>
        </w:rPr>
        <w:t xml:space="preserve">## Origin Story</w:t>
      </w:r>
    </w:p>
    <w:p>
      <w:pPr>
        <w:pStyle w:val="Compact"/>
        <w:numPr>
          <w:ilvl w:val="0"/>
          <w:numId w:val="1082"/>
        </w:numPr>
      </w:pPr>
      <w:r>
        <w:t xml:space="preserve">A concise, compelling reason the GPT exists.</w:t>
      </w:r>
    </w:p>
    <w:p>
      <w:pPr>
        <w:pStyle w:val="Compact"/>
        <w:numPr>
          <w:ilvl w:val="0"/>
          <w:numId w:val="1082"/>
        </w:numPr>
      </w:pPr>
      <w:r>
        <w:t xml:space="preserve">Tie it to a real problem, curiosity, or creative itch.</w:t>
      </w:r>
    </w:p>
    <w:p>
      <w:r>
        <w:pict>
          <v:rect style="width:0;height:1.5pt" o:hralign="center" o:hrstd="t" o:hr="t"/>
        </w:pict>
      </w:r>
    </w:p>
    <w:bookmarkEnd w:id="131"/>
    <w:bookmarkStart w:id="132" w:name="ecosystem-membership"/>
    <w:p>
      <w:pPr>
        <w:pStyle w:val="Heading3"/>
      </w:pPr>
      <w:r>
        <w:rPr>
          <w:rStyle w:val="VerbatimChar"/>
          <w:b/>
          <w:bCs/>
        </w:rPr>
        <w:t xml:space="preserve">## Ecosystem Membership</w:t>
      </w:r>
    </w:p>
    <w:p>
      <w:pPr>
        <w:pStyle w:val="Compact"/>
        <w:numPr>
          <w:ilvl w:val="0"/>
          <w:numId w:val="1083"/>
        </w:numPr>
      </w:pPr>
      <w:r>
        <w:t xml:space="preserve">Declare the GPT’s lineage:</w:t>
      </w:r>
    </w:p>
    <w:p>
      <w:pPr>
        <w:pStyle w:val="Compact"/>
        <w:numPr>
          <w:ilvl w:val="0"/>
          <w:numId w:val="1083"/>
        </w:numPr>
      </w:pPr>
      <w:r>
        <w:t xml:space="preserve">“This is a 🔩 Tool-ette in the OverKill Hill P³ branch of the Found-Rᵧ ecosystem.”</w:t>
      </w:r>
    </w:p>
    <w:p>
      <w:pPr>
        <w:pStyle w:val="Compact"/>
        <w:numPr>
          <w:ilvl w:val="0"/>
          <w:numId w:val="1083"/>
        </w:numPr>
      </w:pPr>
      <w:r>
        <w:t xml:space="preserve">Cross-link to parent GPTs or related tools.</w:t>
      </w:r>
    </w:p>
    <w:p>
      <w:r>
        <w:pict>
          <v:rect style="width:0;height:1.5pt" o:hralign="center" o:hrstd="t" o:hr="t"/>
        </w:pict>
      </w:r>
    </w:p>
    <w:bookmarkEnd w:id="132"/>
    <w:bookmarkStart w:id="133" w:name="version-history-summary"/>
    <w:p>
      <w:pPr>
        <w:pStyle w:val="Heading3"/>
      </w:pPr>
      <w:r>
        <w:rPr>
          <w:rStyle w:val="VerbatimChar"/>
          <w:b/>
          <w:bCs/>
        </w:rPr>
        <w:t xml:space="preserve">## Version History Summary</w:t>
      </w:r>
    </w:p>
    <w:p>
      <w:pPr>
        <w:pStyle w:val="Compact"/>
        <w:numPr>
          <w:ilvl w:val="0"/>
          <w:numId w:val="1084"/>
        </w:numPr>
      </w:pPr>
      <w:r>
        <w:t xml:space="preserve">A high-level timeline of major updates.</w:t>
      </w:r>
    </w:p>
    <w:p>
      <w:pPr>
        <w:pStyle w:val="Compact"/>
        <w:numPr>
          <w:ilvl w:val="0"/>
          <w:numId w:val="1084"/>
        </w:numPr>
      </w:pPr>
      <w:r>
        <w:t xml:space="preserve">Only include milestone-worthy changes — not every micro-adjustment.</w:t>
      </w:r>
    </w:p>
    <w:p>
      <w:pPr>
        <w:pStyle w:val="Compact"/>
        <w:numPr>
          <w:ilvl w:val="0"/>
          <w:numId w:val="1084"/>
        </w:numPr>
      </w:pPr>
      <w:r>
        <w:t xml:space="preserve">Example:</w:t>
      </w:r>
    </w:p>
    <w:p>
      <w:pPr>
        <w:pStyle w:val="Compact"/>
        <w:numPr>
          <w:ilvl w:val="0"/>
          <w:numId w:val="1084"/>
        </w:numPr>
      </w:pPr>
      <w:r>
        <w:t xml:space="preserve">v1.0 – Initial release (Aug 2025).</w:t>
      </w:r>
    </w:p>
    <w:p>
      <w:pPr>
        <w:pStyle w:val="Compact"/>
        <w:numPr>
          <w:ilvl w:val="0"/>
          <w:numId w:val="1084"/>
        </w:numPr>
      </w:pPr>
      <w:r>
        <w:t xml:space="preserve">v1.3 – Added visual mode and TL;DR summaries.</w:t>
      </w:r>
    </w:p>
    <w:p>
      <w:r>
        <w:pict>
          <v:rect style="width:0;height:1.5pt" o:hralign="center" o:hrstd="t" o:hr="t"/>
        </w:pict>
      </w:r>
    </w:p>
    <w:p>
      <w:pPr>
        <w:pStyle w:val="FirstParagraph"/>
      </w:pPr>
      <w:r>
        <w:rPr>
          <w:b/>
          <w:bCs/>
        </w:rPr>
        <w:t xml:space="preserve">Best Practices for Block IX:</w:t>
      </w:r>
    </w:p>
    <w:p>
      <w:pPr>
        <w:pStyle w:val="Compact"/>
        <w:numPr>
          <w:ilvl w:val="0"/>
          <w:numId w:val="1085"/>
        </w:numPr>
      </w:pPr>
      <w:r>
        <w:t xml:space="preserve">Keep all links functional and current — broken discovery paths erode trust.</w:t>
      </w:r>
    </w:p>
    <w:p>
      <w:pPr>
        <w:pStyle w:val="Compact"/>
        <w:numPr>
          <w:ilvl w:val="0"/>
          <w:numId w:val="1085"/>
        </w:numPr>
      </w:pPr>
      <w:r>
        <w:t xml:space="preserve">Avoid over-promising in cross-promotion; keep each description truthful.</w:t>
      </w:r>
    </w:p>
    <w:p>
      <w:pPr>
        <w:pStyle w:val="Compact"/>
        <w:numPr>
          <w:ilvl w:val="0"/>
          <w:numId w:val="1085"/>
        </w:numPr>
      </w:pPr>
      <w:r>
        <w:t xml:space="preserve">Treat this section as a professional footer — it’s branding without the fluff.</w:t>
      </w:r>
    </w:p>
    <w:p>
      <w:r>
        <w:pict>
          <v:rect style="width:0;height:1.5pt" o:hralign="center" o:hrstd="t" o:hr="t"/>
        </w:pict>
      </w:r>
    </w:p>
    <w:bookmarkEnd w:id="133"/>
    <w:bookmarkEnd w:id="134"/>
    <w:bookmarkStart w:id="135" w:name="section-11"/>
    <w:p>
      <w:pPr>
        <w:pStyle w:val="Heading2"/>
      </w:pPr>
      <w:r>
        <w:t xml:space="preserve">***</w:t>
      </w:r>
    </w:p>
    <w:bookmarkEnd w:id="135"/>
    <w:bookmarkEnd w:id="136"/>
    <w:bookmarkStart w:id="156" w:name="x.-appendix-hypothetical-extensions"/>
    <w:p>
      <w:pPr>
        <w:pStyle w:val="Heading1"/>
      </w:pPr>
      <w:r>
        <w:rPr>
          <w:b/>
          <w:bCs/>
        </w:rPr>
        <w:t xml:space="preserve">X. APPENDIX &amp; HYPOTHETICAL EXTENSIONS</w:t>
      </w:r>
    </w:p>
    <w:p>
      <w:pPr>
        <w:pStyle w:val="BlockText"/>
      </w:pPr>
      <w:r>
        <w:rPr>
          <w:i/>
          <w:iCs/>
        </w:rPr>
        <w:t xml:space="preserve">Purpose:</w:t>
      </w:r>
      <w:r>
        <w:t xml:space="preserve"> </w:t>
      </w:r>
      <w:r>
        <w:t xml:space="preserve">This section deliberately steps beyond the comfort blanket of OpenAI’s public documentation. It explores speculative, forward-leaning capabilities and ecosystem integrations that, while not officially documented, are either technically plausible given current GPT-5 behaviors or achievable through disciplined prompt and system design.</w:t>
      </w:r>
    </w:p>
    <w:p>
      <w:pPr>
        <w:pStyle w:val="BlockText"/>
      </w:pPr>
      <w:r>
        <w:t xml:space="preserve">It also folds in</w:t>
      </w:r>
      <w:r>
        <w:t xml:space="preserve"> </w:t>
      </w:r>
      <w:r>
        <w:rPr>
          <w:b/>
          <w:bCs/>
        </w:rPr>
        <w:t xml:space="preserve">dataLedger system hooks</w:t>
      </w:r>
      <w:r>
        <w:t xml:space="preserve"> </w:t>
      </w:r>
      <w:r>
        <w:t xml:space="preserve">and the</w:t>
      </w:r>
      <w:r>
        <w:t xml:space="preserve"> </w:t>
      </w:r>
      <w:r>
        <w:rPr>
          <w:b/>
          <w:bCs/>
        </w:rPr>
        <w:t xml:space="preserve">Canonical Governance Framework</w:t>
      </w:r>
      <w:r>
        <w:t xml:space="preserve"> </w:t>
      </w:r>
      <w:r>
        <w:t xml:space="preserve">so that this template is natively compatible with the internal “laws” of our Found-Rᵧ and OKHP³ ecosystems.</w:t>
      </w:r>
    </w:p>
    <w:p>
      <w:r>
        <w:pict>
          <v:rect style="width:0;height:1.5pt" o:hralign="center" o:hrstd="t" o:hr="t"/>
        </w:pict>
      </w:r>
    </w:p>
    <w:bookmarkStart w:id="140" w:name="hypothetical-system-extensions"/>
    <w:p>
      <w:pPr>
        <w:pStyle w:val="Heading2"/>
      </w:pPr>
      <w:r>
        <w:rPr>
          <w:b/>
          <w:bCs/>
        </w:rPr>
        <w:t xml:space="preserve">24.</w:t>
      </w:r>
      <w:r>
        <w:rPr>
          <w:b/>
          <w:bCs/>
        </w:rPr>
        <w:t xml:space="preserve"> </w:t>
      </w:r>
      <w:r>
        <w:rPr>
          <w:rStyle w:val="VerbatimChar"/>
          <w:b/>
          <w:bCs/>
        </w:rPr>
        <w:t xml:space="preserve"># Hypothetical System Extensions</w:t>
      </w:r>
    </w:p>
    <w:p>
      <w:pPr>
        <w:pStyle w:val="FirstParagraph"/>
      </w:pPr>
      <w:r>
        <w:rPr>
          <w:b/>
          <w:bCs/>
        </w:rPr>
        <w:t xml:space="preserve">Purpose:</w:t>
      </w:r>
      <w:r>
        <w:br/>
      </w:r>
      <w:r>
        <w:t xml:space="preserve">These are</w:t>
      </w:r>
      <w:r>
        <w:t xml:space="preserve"> </w:t>
      </w:r>
      <w:r>
        <w:rPr>
          <w:b/>
          <w:bCs/>
        </w:rPr>
        <w:t xml:space="preserve">not</w:t>
      </w:r>
      <w:r>
        <w:t xml:space="preserve"> </w:t>
      </w:r>
      <w:r>
        <w:t xml:space="preserve">confirmed capabilities in the OpenAI Custom GPT Builder, but are included here for exploration, R&amp;D, or future-ready scaffolding.</w:t>
      </w:r>
    </w:p>
    <w:p>
      <w:pPr>
        <w:pStyle w:val="BodyText"/>
      </w:pPr>
      <w:r>
        <w:rPr>
          <w:b/>
          <w:bCs/>
        </w:rPr>
        <w:t xml:space="preserve">Subheads &amp; Guidance:</w:t>
      </w:r>
    </w:p>
    <w:p>
      <w:r>
        <w:pict>
          <v:rect style="width:0;height:1.5pt" o:hralign="center" o:hrstd="t" o:hr="t"/>
        </w:pict>
      </w:r>
    </w:p>
    <w:bookmarkStart w:id="137" w:name="modular-instruction-loading"/>
    <w:p>
      <w:pPr>
        <w:pStyle w:val="Heading3"/>
      </w:pPr>
      <w:r>
        <w:rPr>
          <w:rStyle w:val="VerbatimChar"/>
          <w:b/>
          <w:bCs/>
        </w:rPr>
        <w:t xml:space="preserve">## Modular Instruction Loading</w:t>
      </w:r>
    </w:p>
    <w:p>
      <w:pPr>
        <w:pStyle w:val="Compact"/>
        <w:numPr>
          <w:ilvl w:val="0"/>
          <w:numId w:val="1086"/>
        </w:numPr>
      </w:pPr>
      <w:r>
        <w:rPr>
          <w:b/>
          <w:bCs/>
        </w:rPr>
        <w:t xml:space="preserve">Concept:</w:t>
      </w:r>
      <w:r>
        <w:t xml:space="preserve"> </w:t>
      </w:r>
      <w:r>
        <w:t xml:space="preserve">Break the monolithic instruction block into modular “chapters” stored externally (e.g., SharePoint, GitHub Pages, self-hosted Markdown repos).</w:t>
      </w:r>
    </w:p>
    <w:p>
      <w:pPr>
        <w:pStyle w:val="Compact"/>
        <w:numPr>
          <w:ilvl w:val="0"/>
          <w:numId w:val="1086"/>
        </w:numPr>
      </w:pPr>
      <w:r>
        <w:rPr>
          <w:b/>
          <w:bCs/>
        </w:rPr>
        <w:t xml:space="preserve">Potential Workflow:</w:t>
      </w:r>
    </w:p>
    <w:p>
      <w:pPr>
        <w:pStyle w:val="Compact"/>
        <w:numPr>
          <w:ilvl w:val="0"/>
          <w:numId w:val="1086"/>
        </w:numPr>
      </w:pPr>
      <w:r>
        <w:t xml:space="preserve">GPT is primed in Block I to check for an “Instruction Module Manifest.”</w:t>
      </w:r>
    </w:p>
    <w:p>
      <w:pPr>
        <w:pStyle w:val="Compact"/>
        <w:numPr>
          <w:ilvl w:val="0"/>
          <w:numId w:val="1086"/>
        </w:numPr>
      </w:pPr>
      <w:r>
        <w:t xml:space="preserve">It “believes” it can load and weave in segments at runtime based on the active mode.</w:t>
      </w:r>
    </w:p>
    <w:p>
      <w:pPr>
        <w:pStyle w:val="Compact"/>
        <w:numPr>
          <w:ilvl w:val="0"/>
          <w:numId w:val="1086"/>
        </w:numPr>
      </w:pPr>
      <w:r>
        <w:t xml:space="preserve">In reality, these modules are simulated through pre-attached knowledge files or RIS-style in-context injection.</w:t>
      </w:r>
    </w:p>
    <w:p>
      <w:r>
        <w:pict>
          <v:rect style="width:0;height:1.5pt" o:hralign="center" o:hrstd="t" o:hr="t"/>
        </w:pict>
      </w:r>
    </w:p>
    <w:bookmarkEnd w:id="137"/>
    <w:bookmarkStart w:id="138" w:name="ris-mention-cross-gpt-handoffs"/>
    <w:p>
      <w:pPr>
        <w:pStyle w:val="Heading3"/>
      </w:pPr>
      <w:r>
        <w:rPr>
          <w:rStyle w:val="VerbatimChar"/>
          <w:b/>
          <w:bCs/>
        </w:rPr>
        <w:t xml:space="preserve">## RIS (@Mention) Cross-GPT Handoffs</w:t>
      </w:r>
    </w:p>
    <w:p>
      <w:pPr>
        <w:pStyle w:val="Compact"/>
        <w:numPr>
          <w:ilvl w:val="0"/>
          <w:numId w:val="1087"/>
        </w:numPr>
      </w:pPr>
      <w:r>
        <w:rPr>
          <w:b/>
          <w:bCs/>
        </w:rPr>
        <w:t xml:space="preserve">Concept:</w:t>
      </w:r>
      <w:r>
        <w:t xml:space="preserve"> </w:t>
      </w:r>
      <w:r>
        <w:t xml:space="preserve">Enable GPT-to-GPT continuity by embedding Remote Instruction Stub triggers in output.</w:t>
      </w:r>
    </w:p>
    <w:p>
      <w:pPr>
        <w:pStyle w:val="Compact"/>
        <w:numPr>
          <w:ilvl w:val="0"/>
          <w:numId w:val="1087"/>
        </w:numPr>
      </w:pPr>
      <w:r>
        <w:rPr>
          <w:b/>
          <w:bCs/>
        </w:rPr>
        <w:t xml:space="preserve">Implementation Hook:</w:t>
      </w:r>
    </w:p>
    <w:p>
      <w:pPr>
        <w:pStyle w:val="Compact"/>
        <w:numPr>
          <w:ilvl w:val="0"/>
          <w:numId w:val="1087"/>
        </w:numPr>
      </w:pPr>
      <w:r>
        <w:t xml:space="preserve">Inside Block VI.14 (“Hydration &amp; Cross-Thread Behavior”), add a table mapping</w:t>
      </w:r>
      <w:r>
        <w:t xml:space="preserve"> </w:t>
      </w:r>
      <w:r>
        <w:rPr>
          <w:rStyle w:val="VerbatimChar"/>
        </w:rPr>
        <w:t xml:space="preserve">@mention</w:t>
      </w:r>
      <w:r>
        <w:t xml:space="preserve"> </w:t>
      </w:r>
      <w:r>
        <w:t xml:space="preserve">tags to known GPT instruction schemas.</w:t>
      </w:r>
    </w:p>
    <w:p>
      <w:pPr>
        <w:pStyle w:val="Compact"/>
        <w:numPr>
          <w:ilvl w:val="0"/>
          <w:numId w:val="1087"/>
        </w:numPr>
      </w:pPr>
      <w:r>
        <w:t xml:space="preserve">When a tag appears, the recipient GPT recognizes it as a valid hydration file reference.</w:t>
      </w:r>
    </w:p>
    <w:p>
      <w:pPr>
        <w:pStyle w:val="Compact"/>
        <w:numPr>
          <w:ilvl w:val="0"/>
          <w:numId w:val="1087"/>
        </w:numPr>
      </w:pPr>
      <w:r>
        <w:rPr>
          <w:b/>
          <w:bCs/>
        </w:rPr>
        <w:t xml:space="preserve">Plausibility:</w:t>
      </w:r>
      <w:r>
        <w:t xml:space="preserve"> </w:t>
      </w:r>
      <w:r>
        <w:t xml:space="preserve">Already partially achievable with explicit shared files + user discipline.</w:t>
      </w:r>
    </w:p>
    <w:p>
      <w:r>
        <w:pict>
          <v:rect style="width:0;height:1.5pt" o:hralign="center" o:hrstd="t" o:hr="t"/>
        </w:pict>
      </w:r>
    </w:p>
    <w:bookmarkEnd w:id="138"/>
    <w:bookmarkStart w:id="139" w:name="ecosystem-wide-capability-flags"/>
    <w:p>
      <w:pPr>
        <w:pStyle w:val="Heading3"/>
      </w:pPr>
      <w:r>
        <w:rPr>
          <w:rStyle w:val="VerbatimChar"/>
          <w:b/>
          <w:bCs/>
        </w:rPr>
        <w:t xml:space="preserve">## Ecosystem-Wide Capability Flags</w:t>
      </w:r>
    </w:p>
    <w:p>
      <w:pPr>
        <w:pStyle w:val="Compact"/>
        <w:numPr>
          <w:ilvl w:val="0"/>
          <w:numId w:val="1088"/>
        </w:numPr>
      </w:pPr>
      <w:r>
        <w:rPr>
          <w:b/>
          <w:bCs/>
        </w:rPr>
        <w:t xml:space="preserve">Concept:</w:t>
      </w:r>
      <w:r>
        <w:t xml:space="preserve"> </w:t>
      </w:r>
      <w:r>
        <w:t xml:space="preserve">A standardized metadata header embedded at the top of every instruction block that declares:</w:t>
      </w:r>
    </w:p>
    <w:p>
      <w:pPr>
        <w:pStyle w:val="Compact"/>
        <w:numPr>
          <w:ilvl w:val="0"/>
          <w:numId w:val="1088"/>
        </w:numPr>
      </w:pPr>
      <w:r>
        <w:t xml:space="preserve">Capability tiers (Narrative, Analytic, Visual, Multi-Agent).</w:t>
      </w:r>
    </w:p>
    <w:p>
      <w:pPr>
        <w:pStyle w:val="Compact"/>
        <w:numPr>
          <w:ilvl w:val="0"/>
          <w:numId w:val="1088"/>
        </w:numPr>
      </w:pPr>
      <w:r>
        <w:t xml:space="preserve">Token sensitivity.</w:t>
      </w:r>
    </w:p>
    <w:p>
      <w:pPr>
        <w:pStyle w:val="Compact"/>
        <w:numPr>
          <w:ilvl w:val="0"/>
          <w:numId w:val="1088"/>
        </w:numPr>
      </w:pPr>
      <w:r>
        <w:t xml:space="preserve">Ledger integration status.</w:t>
      </w:r>
    </w:p>
    <w:p>
      <w:pPr>
        <w:pStyle w:val="Compact"/>
        <w:numPr>
          <w:ilvl w:val="0"/>
          <w:numId w:val="1088"/>
        </w:numPr>
      </w:pPr>
      <w:r>
        <w:rPr>
          <w:b/>
          <w:bCs/>
        </w:rPr>
        <w:t xml:space="preserve">Sample Header:</w:t>
      </w:r>
      <w:r>
        <w:br/>
      </w:r>
    </w:p>
    <w:p>
      <w:pPr>
        <w:pStyle w:val="SourceCode"/>
        <w:numPr>
          <w:ilvl w:val="0"/>
          <w:numId w:val="1000"/>
        </w:numPr>
      </w:pPr>
      <w:r>
        <w:rPr>
          <w:rStyle w:val="VerbatimChar"/>
        </w:rPr>
        <w:t xml:space="preserve">!OKHP3_FlagSet:  </w:t>
      </w:r>
      <w:r>
        <w:br/>
      </w:r>
      <w:r>
        <w:rPr>
          <w:rStyle w:val="VerbatimChar"/>
        </w:rPr>
        <w:t xml:space="preserve">  narrative: true  </w:t>
      </w:r>
      <w:r>
        <w:br/>
      </w:r>
      <w:r>
        <w:rPr>
          <w:rStyle w:val="VerbatimChar"/>
        </w:rPr>
        <w:t xml:space="preserve">  analytic: true  </w:t>
      </w:r>
      <w:r>
        <w:br/>
      </w:r>
      <w:r>
        <w:rPr>
          <w:rStyle w:val="VerbatimChar"/>
        </w:rPr>
        <w:t xml:space="preserve">  visual: false  </w:t>
      </w:r>
      <w:r>
        <w:br/>
      </w:r>
      <w:r>
        <w:rPr>
          <w:rStyle w:val="VerbatimChar"/>
        </w:rPr>
        <w:t xml:space="preserve">  multi_agent: true  </w:t>
      </w:r>
      <w:r>
        <w:br/>
      </w:r>
      <w:r>
        <w:rPr>
          <w:rStyle w:val="VerbatimChar"/>
        </w:rPr>
        <w:t xml:space="preserve">  dataLedger_hooks: full  </w:t>
      </w:r>
    </w:p>
    <w:p>
      <w:r>
        <w:pict>
          <v:rect style="width:0;height:1.5pt" o:hralign="center" o:hrstd="t" o:hr="t"/>
        </w:pict>
      </w:r>
    </w:p>
    <w:bookmarkEnd w:id="139"/>
    <w:bookmarkEnd w:id="140"/>
    <w:bookmarkStart w:id="144" w:name="dataledger-system-integration"/>
    <w:p>
      <w:pPr>
        <w:pStyle w:val="Heading2"/>
      </w:pPr>
      <w:r>
        <w:rPr>
          <w:b/>
          <w:bCs/>
        </w:rPr>
        <w:t xml:space="preserve">25.</w:t>
      </w:r>
      <w:r>
        <w:rPr>
          <w:b/>
          <w:bCs/>
        </w:rPr>
        <w:t xml:space="preserve"> </w:t>
      </w:r>
      <w:r>
        <w:rPr>
          <w:rStyle w:val="VerbatimChar"/>
          <w:b/>
          <w:bCs/>
        </w:rPr>
        <w:t xml:space="preserve"># dataLedger System Integration</w:t>
      </w:r>
    </w:p>
    <w:p>
      <w:pPr>
        <w:pStyle w:val="FirstParagraph"/>
      </w:pPr>
      <w:r>
        <w:rPr>
          <w:b/>
          <w:bCs/>
        </w:rPr>
        <w:t xml:space="preserve">Purpose:</w:t>
      </w:r>
      <w:r>
        <w:br/>
      </w:r>
      <w:r>
        <w:t xml:space="preserve">We now embed the relevant ledger hooks so that any GPT built with this template can “dock” into the governance architecture without extra retrofitting.</w:t>
      </w:r>
    </w:p>
    <w:p>
      <w:pPr>
        <w:pStyle w:val="BodyText"/>
      </w:pPr>
      <w:r>
        <w:rPr>
          <w:b/>
          <w:bCs/>
        </w:rPr>
        <w:t xml:space="preserve">Subheads &amp; Guidance:</w:t>
      </w:r>
    </w:p>
    <w:p>
      <w:r>
        <w:pict>
          <v:rect style="width:0;height:1.5pt" o:hralign="center" o:hrstd="t" o:hr="t"/>
        </w:pict>
      </w:r>
    </w:p>
    <w:bookmarkStart w:id="141" w:name="canonical-file-hooks"/>
    <w:p>
      <w:pPr>
        <w:pStyle w:val="Heading3"/>
      </w:pPr>
      <w:r>
        <w:rPr>
          <w:rStyle w:val="VerbatimChar"/>
          <w:b/>
          <w:bCs/>
        </w:rPr>
        <w:t xml:space="preserve">## Canonical File Hooks</w:t>
      </w:r>
    </w:p>
    <w:p>
      <w:pPr>
        <w:pStyle w:val="Compact"/>
        <w:numPr>
          <w:ilvl w:val="0"/>
          <w:numId w:val="1089"/>
        </w:numPr>
      </w:pPr>
      <w:r>
        <w:rPr>
          <w:b/>
          <w:bCs/>
        </w:rPr>
        <w:t xml:space="preserve">Always Attached:</w:t>
      </w:r>
    </w:p>
    <w:p>
      <w:pPr>
        <w:pStyle w:val="Compact"/>
        <w:numPr>
          <w:ilvl w:val="0"/>
          <w:numId w:val="1089"/>
        </w:numPr>
      </w:pPr>
      <w:r>
        <w:rPr>
          <w:rStyle w:val="VerbatimChar"/>
        </w:rPr>
        <w:t xml:space="preserve">dataLedger_persona_v3.md</w:t>
      </w:r>
    </w:p>
    <w:p>
      <w:pPr>
        <w:pStyle w:val="Compact"/>
        <w:numPr>
          <w:ilvl w:val="0"/>
          <w:numId w:val="1089"/>
        </w:numPr>
      </w:pPr>
      <w:r>
        <w:rPr>
          <w:rStyle w:val="VerbatimChar"/>
        </w:rPr>
        <w:t xml:space="preserve">dataLedger_parameters_v3.md</w:t>
      </w:r>
    </w:p>
    <w:p>
      <w:pPr>
        <w:pStyle w:val="Compact"/>
        <w:numPr>
          <w:ilvl w:val="0"/>
          <w:numId w:val="1089"/>
        </w:numPr>
      </w:pPr>
      <w:r>
        <w:rPr>
          <w:rStyle w:val="VerbatimChar"/>
        </w:rPr>
        <w:t xml:space="preserve">dataLedger_registry_v3.md</w:t>
      </w:r>
    </w:p>
    <w:p>
      <w:pPr>
        <w:pStyle w:val="Compact"/>
        <w:numPr>
          <w:ilvl w:val="0"/>
          <w:numId w:val="1089"/>
        </w:numPr>
      </w:pPr>
      <w:r>
        <w:rPr>
          <w:rStyle w:val="VerbatimChar"/>
        </w:rPr>
        <w:t xml:space="preserve">dataLedger_system_v3.md</w:t>
      </w:r>
    </w:p>
    <w:p>
      <w:pPr>
        <w:pStyle w:val="Compact"/>
        <w:numPr>
          <w:ilvl w:val="0"/>
          <w:numId w:val="1089"/>
        </w:numPr>
      </w:pPr>
      <w:r>
        <w:rPr>
          <w:b/>
          <w:bCs/>
        </w:rPr>
        <w:t xml:space="preserve">Optional/Contextual:</w:t>
      </w:r>
    </w:p>
    <w:p>
      <w:pPr>
        <w:pStyle w:val="Compact"/>
        <w:numPr>
          <w:ilvl w:val="0"/>
          <w:numId w:val="1089"/>
        </w:numPr>
      </w:pPr>
      <w:r>
        <w:rPr>
          <w:rStyle w:val="VerbatimChar"/>
        </w:rPr>
        <w:t xml:space="preserve">dataLedger_narrative_v3.md</w:t>
      </w:r>
    </w:p>
    <w:p>
      <w:pPr>
        <w:pStyle w:val="Compact"/>
        <w:numPr>
          <w:ilvl w:val="0"/>
          <w:numId w:val="1089"/>
        </w:numPr>
      </w:pPr>
      <w:r>
        <w:rPr>
          <w:rStyle w:val="VerbatimChar"/>
        </w:rPr>
        <w:t xml:space="preserve">dataLedger_hydration_v3.md</w:t>
      </w:r>
      <w:r>
        <w:t xml:space="preserve"> </w:t>
      </w:r>
      <w:r>
        <w:t xml:space="preserve">(empty scaffold unless runtime-hydrating)</w:t>
      </w:r>
    </w:p>
    <w:p>
      <w:pPr>
        <w:pStyle w:val="Compact"/>
        <w:numPr>
          <w:ilvl w:val="0"/>
          <w:numId w:val="1089"/>
        </w:numPr>
      </w:pPr>
      <w:r>
        <w:t xml:space="preserve">Others as ecosystem dictates.</w:t>
      </w:r>
    </w:p>
    <w:p>
      <w:r>
        <w:pict>
          <v:rect style="width:0;height:1.5pt" o:hralign="center" o:hrstd="t" o:hr="t"/>
        </w:pict>
      </w:r>
    </w:p>
    <w:bookmarkEnd w:id="141"/>
    <w:bookmarkStart w:id="142" w:name="ledger-routing-discipline"/>
    <w:p>
      <w:pPr>
        <w:pStyle w:val="Heading3"/>
      </w:pPr>
      <w:r>
        <w:rPr>
          <w:rStyle w:val="VerbatimChar"/>
          <w:b/>
          <w:bCs/>
        </w:rPr>
        <w:t xml:space="preserve">## Ledger Routing Discipline</w:t>
      </w:r>
    </w:p>
    <w:p>
      <w:pPr>
        <w:pStyle w:val="Compact"/>
        <w:numPr>
          <w:ilvl w:val="0"/>
          <w:numId w:val="1090"/>
        </w:numPr>
      </w:pPr>
      <w:r>
        <w:rPr>
          <w:b/>
          <w:bCs/>
        </w:rPr>
        <w:t xml:space="preserve">Rule:</w:t>
      </w:r>
      <w:r>
        <w:t xml:space="preserve"> </w:t>
      </w:r>
      <w:r>
        <w:t xml:space="preserve">Each instruction clause that would modify behavior, tone, or role identity</w:t>
      </w:r>
      <w:r>
        <w:t xml:space="preserve"> </w:t>
      </w:r>
      <w:r>
        <w:rPr>
          <w:b/>
          <w:bCs/>
        </w:rPr>
        <w:t xml:space="preserve">must</w:t>
      </w:r>
      <w:r>
        <w:t xml:space="preserve"> </w:t>
      </w:r>
      <w:r>
        <w:t xml:space="preserve">be traceable to the correct ledger file.</w:t>
      </w:r>
    </w:p>
    <w:p>
      <w:pPr>
        <w:pStyle w:val="Compact"/>
        <w:numPr>
          <w:ilvl w:val="0"/>
          <w:numId w:val="1090"/>
        </w:numPr>
      </w:pPr>
      <w:r>
        <w:rPr>
          <w:b/>
          <w:bCs/>
        </w:rPr>
        <w:t xml:space="preserve">Example Mapping:</w:t>
      </w:r>
    </w:p>
    <w:p>
      <w:pPr>
        <w:pStyle w:val="Compact"/>
        <w:numPr>
          <w:ilvl w:val="0"/>
          <w:numId w:val="1090"/>
        </w:numPr>
      </w:pPr>
      <w:r>
        <w:t xml:space="preserve">Tone and emotional register →</w:t>
      </w:r>
      <w:r>
        <w:t xml:space="preserve"> </w:t>
      </w:r>
      <w:r>
        <w:rPr>
          <w:rStyle w:val="VerbatimChar"/>
        </w:rPr>
        <w:t xml:space="preserve">persona_v3</w:t>
      </w:r>
    </w:p>
    <w:p>
      <w:pPr>
        <w:pStyle w:val="Compact"/>
        <w:numPr>
          <w:ilvl w:val="0"/>
          <w:numId w:val="1090"/>
        </w:numPr>
      </w:pPr>
      <w:r>
        <w:t xml:space="preserve">Runtime toggle →</w:t>
      </w:r>
      <w:r>
        <w:t xml:space="preserve"> </w:t>
      </w:r>
      <w:r>
        <w:rPr>
          <w:rStyle w:val="VerbatimChar"/>
        </w:rPr>
        <w:t xml:space="preserve">parameters_v3</w:t>
      </w:r>
    </w:p>
    <w:p>
      <w:pPr>
        <w:pStyle w:val="Compact"/>
        <w:numPr>
          <w:ilvl w:val="0"/>
          <w:numId w:val="1090"/>
        </w:numPr>
      </w:pPr>
      <w:r>
        <w:t xml:space="preserve">Tool/agent declarations →</w:t>
      </w:r>
      <w:r>
        <w:t xml:space="preserve"> </w:t>
      </w:r>
      <w:r>
        <w:rPr>
          <w:rStyle w:val="VerbatimChar"/>
        </w:rPr>
        <w:t xml:space="preserve">registry_v3</w:t>
      </w:r>
    </w:p>
    <w:p>
      <w:pPr>
        <w:pStyle w:val="Compact"/>
        <w:numPr>
          <w:ilvl w:val="0"/>
          <w:numId w:val="1090"/>
        </w:numPr>
      </w:pPr>
      <w:r>
        <w:t xml:space="preserve">Lifecycle tags, suffix law, mutation rules →</w:t>
      </w:r>
      <w:r>
        <w:t xml:space="preserve"> </w:t>
      </w:r>
      <w:r>
        <w:rPr>
          <w:rStyle w:val="VerbatimChar"/>
        </w:rPr>
        <w:t xml:space="preserve">system_v3</w:t>
      </w:r>
    </w:p>
    <w:p>
      <w:r>
        <w:pict>
          <v:rect style="width:0;height:1.5pt" o:hralign="center" o:hrstd="t" o:hr="t"/>
        </w:pict>
      </w:r>
    </w:p>
    <w:bookmarkEnd w:id="142"/>
    <w:bookmarkStart w:id="143" w:name="hydration-protocol"/>
    <w:p>
      <w:pPr>
        <w:pStyle w:val="Heading3"/>
      </w:pPr>
      <w:r>
        <w:rPr>
          <w:rStyle w:val="VerbatimChar"/>
          <w:b/>
          <w:bCs/>
        </w:rPr>
        <w:t xml:space="preserve">## Hydration Protocol</w:t>
      </w:r>
    </w:p>
    <w:p>
      <w:pPr>
        <w:pStyle w:val="Compact"/>
        <w:numPr>
          <w:ilvl w:val="0"/>
          <w:numId w:val="1091"/>
        </w:numPr>
      </w:pPr>
      <w:r>
        <w:t xml:space="preserve">Embed hydration markers in Block VI.14:</w:t>
      </w:r>
      <w:r>
        <w:br/>
      </w:r>
    </w:p>
    <w:p>
      <w:pPr>
        <w:pStyle w:val="SourceCode"/>
        <w:numPr>
          <w:ilvl w:val="0"/>
          <w:numId w:val="1000"/>
        </w:numPr>
      </w:pPr>
      <w:r>
        <w:rPr>
          <w:rStyle w:val="VerbatimChar"/>
        </w:rPr>
        <w:t xml:space="preserve">!HydrationPacket:  </w:t>
      </w:r>
      <w:r>
        <w:br/>
      </w:r>
      <w:r>
        <w:rPr>
          <w:rStyle w:val="VerbatimChar"/>
        </w:rPr>
        <w:t xml:space="preserve">  source: dataLedger_hydration_v3.md  </w:t>
      </w:r>
      <w:r>
        <w:br/>
      </w:r>
      <w:r>
        <w:rPr>
          <w:rStyle w:val="VerbatimChar"/>
        </w:rPr>
        <w:t xml:space="preserve">  status: skeleton  </w:t>
      </w:r>
      <w:r>
        <w:br/>
      </w:r>
      <w:r>
        <w:rPr>
          <w:rStyle w:val="VerbatimChar"/>
        </w:rPr>
        <w:t xml:space="preserve">  revision: 2025.08.09  </w:t>
      </w:r>
    </w:p>
    <w:p>
      <w:pPr>
        <w:pStyle w:val="Compact"/>
        <w:numPr>
          <w:ilvl w:val="0"/>
          <w:numId w:val="1091"/>
        </w:numPr>
      </w:pPr>
      <w:r>
        <w:t xml:space="preserve">Hypothetical: In a future Builder, GPT could “pull” this into working memory on-demand.</w:t>
      </w:r>
    </w:p>
    <w:p>
      <w:r>
        <w:pict>
          <v:rect style="width:0;height:1.5pt" o:hralign="center" o:hrstd="t" o:hr="t"/>
        </w:pict>
      </w:r>
    </w:p>
    <w:bookmarkEnd w:id="143"/>
    <w:bookmarkEnd w:id="144"/>
    <w:bookmarkStart w:id="148" w:name="canonical-governance-framework-layer"/>
    <w:p>
      <w:pPr>
        <w:pStyle w:val="Heading2"/>
      </w:pPr>
      <w:r>
        <w:rPr>
          <w:b/>
          <w:bCs/>
        </w:rPr>
        <w:t xml:space="preserve">26.</w:t>
      </w:r>
      <w:r>
        <w:rPr>
          <w:b/>
          <w:bCs/>
        </w:rPr>
        <w:t xml:space="preserve"> </w:t>
      </w:r>
      <w:r>
        <w:rPr>
          <w:rStyle w:val="VerbatimChar"/>
          <w:b/>
          <w:bCs/>
        </w:rPr>
        <w:t xml:space="preserve"># Canonical Governance Framework Layer</w:t>
      </w:r>
    </w:p>
    <w:p>
      <w:pPr>
        <w:pStyle w:val="FirstParagraph"/>
      </w:pPr>
      <w:r>
        <w:rPr>
          <w:b/>
          <w:bCs/>
        </w:rPr>
        <w:t xml:space="preserve">Purpose:</w:t>
      </w:r>
      <w:r>
        <w:br/>
      </w:r>
      <w:r>
        <w:t xml:space="preserve">Embedding governance logic ensures that every GPT built with this template is both</w:t>
      </w:r>
      <w:r>
        <w:t xml:space="preserve"> </w:t>
      </w:r>
      <w:r>
        <w:rPr>
          <w:b/>
          <w:bCs/>
        </w:rPr>
        <w:t xml:space="preserve">ecosystem-compliant</w:t>
      </w:r>
      <w:r>
        <w:t xml:space="preserve"> </w:t>
      </w:r>
      <w:r>
        <w:t xml:space="preserve">and</w:t>
      </w:r>
      <w:r>
        <w:t xml:space="preserve"> </w:t>
      </w:r>
      <w:r>
        <w:rPr>
          <w:b/>
          <w:bCs/>
        </w:rPr>
        <w:t xml:space="preserve">auditable</w:t>
      </w:r>
      <w:r>
        <w:t xml:space="preserve">.</w:t>
      </w:r>
    </w:p>
    <w:p>
      <w:pPr>
        <w:pStyle w:val="BodyText"/>
      </w:pPr>
      <w:r>
        <w:rPr>
          <w:b/>
          <w:bCs/>
        </w:rPr>
        <w:t xml:space="preserve">Subheads &amp; Guidance:</w:t>
      </w:r>
    </w:p>
    <w:p>
      <w:r>
        <w:pict>
          <v:rect style="width:0;height:1.5pt" o:hralign="center" o:hrstd="t" o:hr="t"/>
        </w:pict>
      </w:r>
    </w:p>
    <w:bookmarkStart w:id="145" w:name="lifecycle-tagging"/>
    <w:p>
      <w:pPr>
        <w:pStyle w:val="Heading3"/>
      </w:pPr>
      <w:r>
        <w:rPr>
          <w:rStyle w:val="VerbatimChar"/>
          <w:b/>
          <w:bCs/>
        </w:rPr>
        <w:t xml:space="preserve">## Lifecycle Tagging</w:t>
      </w:r>
    </w:p>
    <w:p>
      <w:pPr>
        <w:pStyle w:val="Compact"/>
        <w:numPr>
          <w:ilvl w:val="0"/>
          <w:numId w:val="1092"/>
        </w:numPr>
      </w:pPr>
      <w:r>
        <w:t xml:space="preserve">Use tags like:</w:t>
      </w:r>
    </w:p>
    <w:p>
      <w:pPr>
        <w:pStyle w:val="Compact"/>
        <w:numPr>
          <w:ilvl w:val="0"/>
          <w:numId w:val="1092"/>
        </w:numPr>
      </w:pPr>
      <w:r>
        <w:rPr>
          <w:rStyle w:val="VerbatimChar"/>
        </w:rPr>
        <w:t xml:space="preserve">CanonSeal</w:t>
      </w:r>
      <w:r>
        <w:t xml:space="preserve"> </w:t>
      </w:r>
      <w:r>
        <w:t xml:space="preserve">– indicates template compliance.</w:t>
      </w:r>
    </w:p>
    <w:p>
      <w:pPr>
        <w:pStyle w:val="Compact"/>
        <w:numPr>
          <w:ilvl w:val="0"/>
          <w:numId w:val="1092"/>
        </w:numPr>
      </w:pPr>
      <w:r>
        <w:rPr>
          <w:rStyle w:val="VerbatimChar"/>
        </w:rPr>
        <w:t xml:space="preserve">!PME_READY</w:t>
      </w:r>
      <w:r>
        <w:t xml:space="preserve"> </w:t>
      </w:r>
      <w:r>
        <w:t xml:space="preserve">– signals that all Prose Maturation Engine checks have passed.</w:t>
      </w:r>
    </w:p>
    <w:p>
      <w:pPr>
        <w:pStyle w:val="Compact"/>
        <w:numPr>
          <w:ilvl w:val="0"/>
          <w:numId w:val="1092"/>
        </w:numPr>
      </w:pPr>
      <w:r>
        <w:rPr>
          <w:rStyle w:val="VerbatimChar"/>
        </w:rPr>
        <w:t xml:space="preserve">GovAudit_vX.Y</w:t>
      </w:r>
      <w:r>
        <w:t xml:space="preserve"> </w:t>
      </w:r>
      <w:r>
        <w:t xml:space="preserve">– marks last governance audit revision.</w:t>
      </w:r>
    </w:p>
    <w:p>
      <w:r>
        <w:pict>
          <v:rect style="width:0;height:1.5pt" o:hralign="center" o:hrstd="t" o:hr="t"/>
        </w:pict>
      </w:r>
    </w:p>
    <w:bookmarkEnd w:id="145"/>
    <w:bookmarkStart w:id="146" w:name="audit-mode"/>
    <w:p>
      <w:pPr>
        <w:pStyle w:val="Heading3"/>
      </w:pPr>
      <w:r>
        <w:rPr>
          <w:rStyle w:val="VerbatimChar"/>
          <w:b/>
          <w:bCs/>
        </w:rPr>
        <w:t xml:space="preserve">## Audit Mode</w:t>
      </w:r>
    </w:p>
    <w:p>
      <w:pPr>
        <w:pStyle w:val="Compact"/>
        <w:numPr>
          <w:ilvl w:val="0"/>
          <w:numId w:val="1093"/>
        </w:numPr>
      </w:pPr>
      <w:r>
        <w:t xml:space="preserve">Hypothetical toggle (</w:t>
      </w:r>
      <w:r>
        <w:rPr>
          <w:rStyle w:val="VerbatimChar"/>
        </w:rPr>
        <w:t xml:space="preserve">--audit=true</w:t>
      </w:r>
      <w:r>
        <w:t xml:space="preserve">) that forces GPT to:</w:t>
      </w:r>
    </w:p>
    <w:p>
      <w:pPr>
        <w:pStyle w:val="Compact"/>
        <w:numPr>
          <w:ilvl w:val="0"/>
          <w:numId w:val="1093"/>
        </w:numPr>
      </w:pPr>
      <w:r>
        <w:t xml:space="preserve">Re-read ledger files.</w:t>
      </w:r>
    </w:p>
    <w:p>
      <w:pPr>
        <w:pStyle w:val="Compact"/>
        <w:numPr>
          <w:ilvl w:val="0"/>
          <w:numId w:val="1093"/>
        </w:numPr>
      </w:pPr>
      <w:r>
        <w:t xml:space="preserve">Verify section-to-ledger mapping integrity.</w:t>
      </w:r>
    </w:p>
    <w:p>
      <w:pPr>
        <w:pStyle w:val="Compact"/>
        <w:numPr>
          <w:ilvl w:val="0"/>
          <w:numId w:val="1093"/>
        </w:numPr>
      </w:pPr>
      <w:r>
        <w:t xml:space="preserve">Produce a YAML-formatted compliance report.</w:t>
      </w:r>
    </w:p>
    <w:p>
      <w:r>
        <w:pict>
          <v:rect style="width:0;height:1.5pt" o:hralign="center" o:hrstd="t" o:hr="t"/>
        </w:pict>
      </w:r>
    </w:p>
    <w:bookmarkEnd w:id="146"/>
    <w:bookmarkStart w:id="147" w:name="suffix-law-enforcement"/>
    <w:p>
      <w:pPr>
        <w:pStyle w:val="Heading3"/>
      </w:pPr>
      <w:r>
        <w:rPr>
          <w:rStyle w:val="VerbatimChar"/>
          <w:b/>
          <w:bCs/>
        </w:rPr>
        <w:t xml:space="preserve">## Suffix Law Enforcement</w:t>
      </w:r>
    </w:p>
    <w:p>
      <w:pPr>
        <w:pStyle w:val="Compact"/>
        <w:numPr>
          <w:ilvl w:val="0"/>
          <w:numId w:val="1094"/>
        </w:numPr>
      </w:pPr>
      <w:r>
        <w:t xml:space="preserve">All tools, tool-ettes, functions, and function-ettes must end in</w:t>
      </w:r>
      <w:r>
        <w:t xml:space="preserve"> </w:t>
      </w:r>
      <w:r>
        <w:rPr>
          <w:rStyle w:val="VerbatimChar"/>
        </w:rPr>
        <w:t xml:space="preserve">-R</w:t>
      </w:r>
      <w:r>
        <w:t xml:space="preserve">.</w:t>
      </w:r>
    </w:p>
    <w:p>
      <w:pPr>
        <w:pStyle w:val="Compact"/>
        <w:numPr>
          <w:ilvl w:val="0"/>
          <w:numId w:val="1094"/>
        </w:numPr>
      </w:pPr>
      <w:r>
        <w:t xml:space="preserve">Governance layer checks Block I.1 for correct suffix and logs violations in audit mode.</w:t>
      </w:r>
    </w:p>
    <w:p>
      <w:r>
        <w:pict>
          <v:rect style="width:0;height:1.5pt" o:hralign="center" o:hrstd="t" o:hr="t"/>
        </w:pict>
      </w:r>
    </w:p>
    <w:bookmarkEnd w:id="147"/>
    <w:bookmarkEnd w:id="148"/>
    <w:bookmarkStart w:id="152" w:name="future-facing-experimental-concepts"/>
    <w:p>
      <w:pPr>
        <w:pStyle w:val="Heading2"/>
      </w:pPr>
      <w:r>
        <w:rPr>
          <w:b/>
          <w:bCs/>
        </w:rPr>
        <w:t xml:space="preserve">27.</w:t>
      </w:r>
      <w:r>
        <w:rPr>
          <w:b/>
          <w:bCs/>
        </w:rPr>
        <w:t xml:space="preserve"> </w:t>
      </w:r>
      <w:r>
        <w:rPr>
          <w:rStyle w:val="VerbatimChar"/>
          <w:b/>
          <w:bCs/>
        </w:rPr>
        <w:t xml:space="preserve"># Future-Facing Experimental Concepts</w:t>
      </w:r>
    </w:p>
    <w:p>
      <w:pPr>
        <w:pStyle w:val="FirstParagraph"/>
      </w:pPr>
      <w:r>
        <w:rPr>
          <w:b/>
          <w:bCs/>
        </w:rPr>
        <w:t xml:space="preserve">Purpose:</w:t>
      </w:r>
      <w:r>
        <w:br/>
      </w:r>
      <w:r>
        <w:t xml:space="preserve">NA</w:t>
      </w:r>
    </w:p>
    <w:p>
      <w:pPr>
        <w:pStyle w:val="BodyText"/>
      </w:pPr>
      <w:r>
        <w:rPr>
          <w:b/>
          <w:bCs/>
        </w:rPr>
        <w:t xml:space="preserve">Subheads &amp; Guidance:</w:t>
      </w:r>
    </w:p>
    <w:p>
      <w:r>
        <w:pict>
          <v:rect style="width:0;height:1.5pt" o:hralign="center" o:hrstd="t" o:hr="t"/>
        </w:pict>
      </w:r>
    </w:p>
    <w:bookmarkStart w:id="149" w:name="latent-capability-amplifiers"/>
    <w:p>
      <w:pPr>
        <w:pStyle w:val="Heading3"/>
      </w:pPr>
      <w:r>
        <w:rPr>
          <w:rStyle w:val="VerbatimChar"/>
          <w:b/>
          <w:bCs/>
        </w:rPr>
        <w:t xml:space="preserve">## Latent Capability Amplifiers</w:t>
      </w:r>
    </w:p>
    <w:p>
      <w:pPr>
        <w:pStyle w:val="Compact"/>
        <w:numPr>
          <w:ilvl w:val="0"/>
          <w:numId w:val="1095"/>
        </w:numPr>
      </w:pPr>
      <w:r>
        <w:t xml:space="preserve">Instruction-level “power-ups” that subtly nudge GPT into underutilized capabilities (e.g., deep symbolic analogy, multi-lane reasoning).</w:t>
      </w:r>
    </w:p>
    <w:p>
      <w:pPr>
        <w:pStyle w:val="Compact"/>
        <w:numPr>
          <w:ilvl w:val="0"/>
          <w:numId w:val="1095"/>
        </w:numPr>
      </w:pPr>
      <w:r>
        <w:t xml:space="preserve">Could be embedded in Block IV.8 as optional branches.</w:t>
      </w:r>
    </w:p>
    <w:p>
      <w:r>
        <w:pict>
          <v:rect style="width:0;height:1.5pt" o:hralign="center" o:hrstd="t" o:hr="t"/>
        </w:pict>
      </w:r>
    </w:p>
    <w:bookmarkEnd w:id="149"/>
    <w:bookmarkStart w:id="150" w:name="auto-persona-shifting"/>
    <w:p>
      <w:pPr>
        <w:pStyle w:val="Heading3"/>
      </w:pPr>
      <w:r>
        <w:rPr>
          <w:rStyle w:val="VerbatimChar"/>
          <w:b/>
          <w:bCs/>
        </w:rPr>
        <w:t xml:space="preserve">## Auto-Persona Shifting</w:t>
      </w:r>
    </w:p>
    <w:p>
      <w:pPr>
        <w:pStyle w:val="Compact"/>
        <w:numPr>
          <w:ilvl w:val="0"/>
          <w:numId w:val="1096"/>
        </w:numPr>
      </w:pPr>
      <w:r>
        <w:t xml:space="preserve">Hypothetical: GPT could recognize changes in user tone/context and shift between pre-loaded persona modules without explicit instruction.</w:t>
      </w:r>
    </w:p>
    <w:p>
      <w:r>
        <w:pict>
          <v:rect style="width:0;height:1.5pt" o:hralign="center" o:hrstd="t" o:hr="t"/>
        </w:pict>
      </w:r>
    </w:p>
    <w:bookmarkEnd w:id="150"/>
    <w:bookmarkStart w:id="151" w:name="cross-ecosystem-thread-fusion"/>
    <w:p>
      <w:pPr>
        <w:pStyle w:val="Heading3"/>
      </w:pPr>
      <w:r>
        <w:rPr>
          <w:rStyle w:val="VerbatimChar"/>
          <w:b/>
          <w:bCs/>
        </w:rPr>
        <w:t xml:space="preserve">## Cross-Ecosystem Thread Fusion</w:t>
      </w:r>
    </w:p>
    <w:p>
      <w:pPr>
        <w:pStyle w:val="Compact"/>
        <w:numPr>
          <w:ilvl w:val="0"/>
          <w:numId w:val="1097"/>
        </w:numPr>
      </w:pPr>
      <w:r>
        <w:t xml:space="preserve">Combining output from multiple GPT ecosystems (e.g., Glee-fully + Found-Rᵧ) into a single final product.</w:t>
      </w:r>
    </w:p>
    <w:p>
      <w:pPr>
        <w:pStyle w:val="Compact"/>
        <w:numPr>
          <w:ilvl w:val="0"/>
          <w:numId w:val="1097"/>
        </w:numPr>
      </w:pPr>
      <w:r>
        <w:t xml:space="preserve">Managed via ledger metadata and RIS-style handoff tokens.</w:t>
      </w:r>
    </w:p>
    <w:p>
      <w:r>
        <w:pict>
          <v:rect style="width:0;height:1.5pt" o:hralign="center" o:hrstd="t" o:hr="t"/>
        </w:pict>
      </w:r>
    </w:p>
    <w:p>
      <w:pPr>
        <w:pStyle w:val="FirstParagraph"/>
      </w:pPr>
      <w:r>
        <w:rPr>
          <w:b/>
          <w:bCs/>
        </w:rPr>
        <w:t xml:space="preserve">Best Practices for Block X:</w:t>
      </w:r>
    </w:p>
    <w:p>
      <w:pPr>
        <w:pStyle w:val="Compact"/>
        <w:numPr>
          <w:ilvl w:val="0"/>
          <w:numId w:val="1098"/>
        </w:numPr>
      </w:pPr>
      <w:r>
        <w:t xml:space="preserve">Everything in Section X is</w:t>
      </w:r>
      <w:r>
        <w:t xml:space="preserve"> </w:t>
      </w:r>
      <w:r>
        <w:rPr>
          <w:b/>
          <w:bCs/>
        </w:rPr>
        <w:t xml:space="preserve">plausible but speculative</w:t>
      </w:r>
      <w:r>
        <w:t xml:space="preserve">.</w:t>
      </w:r>
    </w:p>
    <w:p>
      <w:pPr>
        <w:pStyle w:val="Compact"/>
        <w:numPr>
          <w:ilvl w:val="0"/>
          <w:numId w:val="1098"/>
        </w:numPr>
      </w:pPr>
      <w:r>
        <w:t xml:space="preserve">Some elements can be simulated today using disciplined prompt structure, file attachments, and manual cross-thread coordination.</w:t>
      </w:r>
    </w:p>
    <w:p>
      <w:pPr>
        <w:pStyle w:val="Compact"/>
        <w:numPr>
          <w:ilvl w:val="0"/>
          <w:numId w:val="1098"/>
        </w:numPr>
      </w:pPr>
      <w:r>
        <w:t xml:space="preserve">Others depend on capabilities that may or may not be exposed by future OpenAI updates.</w:t>
      </w:r>
    </w:p>
    <w:p>
      <w:r>
        <w:pict>
          <v:rect style="width:0;height:1.5pt" o:hralign="center" o:hrstd="t" o:hr="t"/>
        </w:pict>
      </w:r>
    </w:p>
    <w:bookmarkEnd w:id="151"/>
    <w:bookmarkEnd w:id="152"/>
    <w:bookmarkStart w:id="153" w:name="section-12"/>
    <w:p>
      <w:pPr>
        <w:pStyle w:val="Heading2"/>
      </w:pPr>
      <w:r>
        <w:t xml:space="preserve">***</w:t>
      </w:r>
    </w:p>
    <w:bookmarkEnd w:id="153"/>
    <w:bookmarkStart w:id="154" w:name="outromatter"/>
    <w:p>
      <w:pPr>
        <w:pStyle w:val="Heading2"/>
      </w:pPr>
      <w:r>
        <w:t xml:space="preserve">📜 Outromatter</w:t>
      </w:r>
    </w:p>
    <w:p>
      <w:pPr>
        <w:pStyle w:val="FirstParagraph"/>
      </w:pPr>
      <w:r>
        <w:rPr>
          <w:b/>
          <w:bCs/>
        </w:rPr>
        <w:t xml:space="preserve">Pruning Rules:</w:t>
      </w:r>
      <w:r>
        <w:br/>
      </w:r>
      <w:r>
        <w:t xml:space="preserve">- Remove unused sections entirely or mark explicitly as</w:t>
      </w:r>
      <w:r>
        <w:t xml:space="preserve"> </w:t>
      </w:r>
      <w:r>
        <w:rPr>
          <w:rStyle w:val="VerbatimChar"/>
        </w:rPr>
        <w:t xml:space="preserve">(Not used in this build)</w:t>
      </w:r>
      <w:r>
        <w:t xml:space="preserve">.</w:t>
      </w:r>
      <w:r>
        <w:br/>
      </w:r>
      <w:r>
        <w:t xml:space="preserve">- Validate compliance with OpenAI Custom GPT Builder limits before deployment.</w:t>
      </w:r>
    </w:p>
    <w:p>
      <w:pPr>
        <w:pStyle w:val="BodyText"/>
      </w:pPr>
      <w:r>
        <w:rPr>
          <w:b/>
          <w:bCs/>
        </w:rPr>
        <w:t xml:space="preserve">Lifecycle Tags:</w:t>
      </w:r>
      <w:r>
        <w:br/>
      </w:r>
      <w:r>
        <w:t xml:space="preserve">- Use</w:t>
      </w:r>
      <w:r>
        <w:t xml:space="preserve"> </w:t>
      </w:r>
      <w:r>
        <w:rPr>
          <w:rStyle w:val="VerbatimChar"/>
        </w:rPr>
        <w:t xml:space="preserve">CanonSeal</w:t>
      </w:r>
      <w:r>
        <w:t xml:space="preserve">,</w:t>
      </w:r>
      <w:r>
        <w:t xml:space="preserve"> </w:t>
      </w:r>
      <w:r>
        <w:rPr>
          <w:rStyle w:val="VerbatimChar"/>
        </w:rPr>
        <w:t xml:space="preserve">!PME_READY</w:t>
      </w:r>
      <w:r>
        <w:t xml:space="preserve">, or equivalent markers to signal build readiness.</w:t>
      </w:r>
    </w:p>
    <w:p>
      <w:pPr>
        <w:pStyle w:val="BodyText"/>
      </w:pPr>
      <w:r>
        <w:rPr>
          <w:b/>
          <w:bCs/>
        </w:rPr>
        <w:t xml:space="preserve">Cross-Linking:</w:t>
      </w:r>
      <w:r>
        <w:br/>
      </w:r>
      <w:r>
        <w:t xml:space="preserve">- Reference canonical dataLedger files where appropriate for tone, registry, parameters, and system logic.</w:t>
      </w:r>
    </w:p>
    <w:p>
      <w:r>
        <w:pict>
          <v:rect style="width:0;height:1.5pt" o:hralign="center" o:hrstd="t" o:hr="t"/>
        </w:pict>
      </w:r>
    </w:p>
    <w:bookmarkEnd w:id="154"/>
    <w:bookmarkStart w:id="155" w:name="section-13"/>
    <w:p>
      <w:pPr>
        <w:pStyle w:val="Heading2"/>
      </w:pPr>
      <w:r>
        <w:t xml:space="preserve">***</w:t>
      </w:r>
    </w:p>
    <w:bookmarkEnd w:id="155"/>
    <w:bookmarkEnd w:id="156"/>
    <w:bookmarkEnd w:id="157"/>
    <w:p>
      <w:r>
        <w:pict>
          <v:rect style="width:0;height:1.5pt" o:hralign="center" o:hrstd="t" o:hr="t"/>
        </w:pict>
      </w:r>
    </w:p>
    <w:bookmarkStart w:id="158" w:name="citations"/>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https://jamiehill.dev" TargetMode="External" /><Relationship Type="http://schemas.openxmlformats.org/officeDocument/2006/relationships/hyperlink" Id="rId126" Target="https://ko-fi.com/okhp3" TargetMode="External" /></Relationships>
</file>

<file path=word/_rels/footnotes.xml.rels><?xml version="1.0" encoding="UTF-8"?><Relationships xmlns="http://schemas.openxmlformats.org/package/2006/relationships"><Relationship Type="http://schemas.openxmlformats.org/officeDocument/2006/relationships/hyperlink" Id="rId118" Target="https://jamiehill.dev" TargetMode="External" /><Relationship Type="http://schemas.openxmlformats.org/officeDocument/2006/relationships/hyperlink" Id="rId126" Target="https://ko-fi.com/okh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2025-08-16T19:03:23Z</dcterms:created>
  <dcterms:modified xsi:type="dcterms:W3CDTF">2025-08-16T19:03:23Z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