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X97f9861e76cde2b2ea300288faa3fe2b78d0e39"/>
    <w:p>
      <w:pPr>
        <w:pStyle w:val="Heading1"/>
      </w:pPr>
      <w:r>
        <w:t xml:space="preserve">Beyond Equilibrium: A Unified View of Prompt Stability, Semantic Interference and Multi‑Agent LLM Coordination (Nov 2025)</w:t>
      </w:r>
    </w:p>
    <w:bookmarkStart w:id="21" w:name="introduction"/>
    <w:p>
      <w:pPr>
        <w:pStyle w:val="Heading2"/>
      </w:pPr>
      <w:r>
        <w:t xml:space="preserve">Introduction</w:t>
      </w:r>
    </w:p>
    <w:p>
      <w:pPr>
        <w:pStyle w:val="FirstParagraph"/>
      </w:pPr>
      <w:r>
        <w:t xml:space="preserve">Over the past year, large language models (LLMs) have evolved from single‑response engines into composable agentic systems. As prompt engineers push these systems to handle ever more complex tasks, new challenges emerge: outputs can drift away from the intended meaning, context windows overflow with irrelevant or conflicting instructions, and security vulnerabilities arise as attackers target prompts directly. The user’s original documents—</w:t>
      </w:r>
      <w:r>
        <w:rPr>
          <w:i/>
          <w:iCs/>
        </w:rPr>
        <w:t xml:space="preserve">Maximizing the Prompt Equilibrium Framework</w:t>
      </w:r>
      <w:r>
        <w:t xml:space="preserve">,</w:t>
      </w:r>
      <w:r>
        <w:t xml:space="preserve"> </w:t>
      </w:r>
      <w:r>
        <w:rPr>
          <w:i/>
          <w:iCs/>
        </w:rPr>
        <w:t xml:space="preserve">Detecting Semantic Interference in Prompt Engineering</w:t>
      </w:r>
      <w:r>
        <w:t xml:space="preserve"> </w:t>
      </w:r>
      <w:r>
        <w:t xml:space="preserve">and</w:t>
      </w:r>
      <w:r>
        <w:t xml:space="preserve"> </w:t>
      </w:r>
      <w:r>
        <w:rPr>
          <w:i/>
          <w:iCs/>
        </w:rPr>
        <w:t xml:space="preserve">Coordinating Multiple GPTs: Current Capabilities and Limitations</w:t>
      </w:r>
      <w:r>
        <w:t xml:space="preserve">—introduced a robust prompt framework designed to maintain equilibrium and harmony across complex tasks, defined semantic interference and proposed detection methods, and explained how to orchestrate multiple GPTs within a single conversation. This unified analysis restates these ideas in detail and updates them to reflect state‑of‑the‑art research and features available as of late November 2025.</w:t>
      </w:r>
    </w:p>
    <w:bookmarkEnd w:id="21"/>
    <w:bookmarkStart w:id="28" w:name="X1ec77de1b1650f492b9b50f2898d2eeddfe2d67"/>
    <w:p>
      <w:pPr>
        <w:pStyle w:val="Heading2"/>
      </w:pPr>
      <w:r>
        <w:t xml:space="preserve">1 Prompt Equilibrium Framework: Architecting Harmony within Chaos</w:t>
      </w:r>
    </w:p>
    <w:bookmarkStart w:id="22" w:name="original-design-goals"/>
    <w:p>
      <w:pPr>
        <w:pStyle w:val="Heading3"/>
      </w:pPr>
      <w:r>
        <w:t xml:space="preserve">1.1 Original design goals</w:t>
      </w:r>
    </w:p>
    <w:p>
      <w:pPr>
        <w:pStyle w:val="FirstParagraph"/>
      </w:pPr>
      <w:r>
        <w:t xml:space="preserve">The</w:t>
      </w:r>
      <w:r>
        <w:t xml:space="preserve"> </w:t>
      </w:r>
      <w:r>
        <w:rPr>
          <w:i/>
          <w:iCs/>
        </w:rPr>
        <w:t xml:space="preserve">Prompt Equilibrium Framework</w:t>
      </w:r>
      <w:r>
        <w:t xml:space="preserve"> </w:t>
      </w:r>
      <w:r>
        <w:t xml:space="preserve">was designed as a “power prompt” that simulates a team of agents inside a single ChatGPT session to produce prompts that are consistent, correct and resilient to drift. It uses a four‑phase protocol: (1)</w:t>
      </w:r>
      <w:r>
        <w:t xml:space="preserve"> </w:t>
      </w:r>
      <w:r>
        <w:rPr>
          <w:b/>
          <w:bCs/>
        </w:rPr>
        <w:t xml:space="preserve">activate agents</w:t>
      </w:r>
      <w:r>
        <w:t xml:space="preserve">, (2)</w:t>
      </w:r>
      <w:r>
        <w:t xml:space="preserve"> </w:t>
      </w:r>
      <w:r>
        <w:rPr>
          <w:b/>
          <w:bCs/>
        </w:rPr>
        <w:t xml:space="preserve">run agents in sequence on the input</w:t>
      </w:r>
      <w:r>
        <w:t xml:space="preserve">, (3)</w:t>
      </w:r>
      <w:r>
        <w:t xml:space="preserve"> </w:t>
      </w:r>
      <w:r>
        <w:rPr>
          <w:b/>
          <w:bCs/>
        </w:rPr>
        <w:t xml:space="preserve">iterate until all constraints are satisfied</w:t>
      </w:r>
      <w:r>
        <w:t xml:space="preserve">, and (4)</w:t>
      </w:r>
      <w:r>
        <w:t xml:space="preserve"> </w:t>
      </w:r>
      <w:r>
        <w:rPr>
          <w:b/>
          <w:bCs/>
        </w:rPr>
        <w:t xml:space="preserve">surface multiple candidates and synthesize a final result</w:t>
      </w:r>
      <w:r>
        <w:t xml:space="preserve">. The system comprises five internal roles—</w:t>
      </w:r>
      <w:r>
        <w:rPr>
          <w:b/>
          <w:bCs/>
        </w:rPr>
        <w:t xml:space="preserve">Auditor</w:t>
      </w:r>
      <w:r>
        <w:t xml:space="preserve">,</w:t>
      </w:r>
      <w:r>
        <w:t xml:space="preserve"> </w:t>
      </w:r>
      <w:r>
        <w:rPr>
          <w:b/>
          <w:bCs/>
        </w:rPr>
        <w:t xml:space="preserve">Stylist</w:t>
      </w:r>
      <w:r>
        <w:t xml:space="preserve">,</w:t>
      </w:r>
      <w:r>
        <w:t xml:space="preserve"> </w:t>
      </w:r>
      <w:r>
        <w:rPr>
          <w:b/>
          <w:bCs/>
        </w:rPr>
        <w:t xml:space="preserve">Router</w:t>
      </w:r>
      <w:r>
        <w:t xml:space="preserve">,</w:t>
      </w:r>
      <w:r>
        <w:t xml:space="preserve"> </w:t>
      </w:r>
      <w:r>
        <w:rPr>
          <w:b/>
          <w:bCs/>
        </w:rPr>
        <w:t xml:space="preserve">Compressor</w:t>
      </w:r>
      <w:r>
        <w:t xml:space="preserve"> </w:t>
      </w:r>
      <w:r>
        <w:t xml:space="preserve">and</w:t>
      </w:r>
      <w:r>
        <w:t xml:space="preserve"> </w:t>
      </w:r>
      <w:r>
        <w:rPr>
          <w:b/>
          <w:bCs/>
        </w:rPr>
        <w:t xml:space="preserve">Simulator</w:t>
      </w:r>
      <w:r>
        <w:t xml:space="preserve">—that regulate format, tone, ledger routing, verbosity and overall stability. Each agent uses a ledger system with eight canonical ledgers (persona, narrative, parameters, etc.) to persist facts and decision variables across turns. These ledgers act as explicit long‑term memory: instead of relying on the model’s hidden state, important information is tagged and stored externally, then injected back when needed. The framework embraces structured markdown, YAML blocks and tables to organize instructions clearly; version tags (e.g.,</w:t>
      </w:r>
      <w:r>
        <w:t xml:space="preserve"> </w:t>
      </w:r>
      <w:r>
        <w:rPr>
          <w:i/>
          <w:iCs/>
        </w:rPr>
        <w:t xml:space="preserve">v2.0</w:t>
      </w:r>
      <w:r>
        <w:t xml:space="preserve">,</w:t>
      </w:r>
      <w:r>
        <w:t xml:space="preserve"> </w:t>
      </w:r>
      <w:r>
        <w:rPr>
          <w:rStyle w:val="VerbatimChar"/>
        </w:rPr>
        <w:t xml:space="preserve">!PME_READY</w:t>
      </w:r>
      <w:r>
        <w:t xml:space="preserve">) provide rudimentary version control. In essence, the prompt treats prompt design as software engineering, with modular sub‑routines and persistent state.</w:t>
      </w:r>
    </w:p>
    <w:bookmarkEnd w:id="22"/>
    <w:bookmarkStart w:id="23" w:name="X59e6d875daa34ed497f0240f611202ab00cbf7f"/>
    <w:p>
      <w:pPr>
        <w:pStyle w:val="Heading3"/>
      </w:pPr>
      <w:r>
        <w:t xml:space="preserve">1.2 Alignment with best practices circa mid‑2025</w:t>
      </w:r>
    </w:p>
    <w:p>
      <w:pPr>
        <w:pStyle w:val="FirstParagraph"/>
      </w:pPr>
      <w:r>
        <w:t xml:space="preserve">The original analysis showed how the framework embodied contemporary prompt‑engineering practices. By layering multiple techniques—role instructions, few‑shot examples, format constraints and reasoning steps—it mirrored the guidance that complex prompts should be treated like UX designs with clear sections and labels. The recursive loop allowed agents to self‑critique and refine outputs, echoing the</w:t>
      </w:r>
      <w:r>
        <w:t xml:space="preserve"> </w:t>
      </w:r>
      <w:r>
        <w:rPr>
          <w:i/>
          <w:iCs/>
        </w:rPr>
        <w:t xml:space="preserve">Self‑Refine</w:t>
      </w:r>
      <w:r>
        <w:t xml:space="preserve"> </w:t>
      </w:r>
      <w:r>
        <w:t xml:space="preserve">and</w:t>
      </w:r>
      <w:r>
        <w:t xml:space="preserve"> </w:t>
      </w:r>
      <w:r>
        <w:rPr>
          <w:i/>
          <w:iCs/>
        </w:rPr>
        <w:t xml:space="preserve">Self‑Calibration</w:t>
      </w:r>
      <w:r>
        <w:t xml:space="preserve"> </w:t>
      </w:r>
      <w:r>
        <w:t xml:space="preserve">techniques developed in 2023–24. Surfacing multiple reasoning paths and choosing the best mirrored the</w:t>
      </w:r>
      <w:r>
        <w:t xml:space="preserve"> </w:t>
      </w:r>
      <w:r>
        <w:rPr>
          <w:i/>
          <w:iCs/>
        </w:rPr>
        <w:t xml:space="preserve">self‑consistency</w:t>
      </w:r>
      <w:r>
        <w:t xml:space="preserve"> </w:t>
      </w:r>
      <w:r>
        <w:t xml:space="preserve">strategy. The ledger system was an early form of</w:t>
      </w:r>
      <w:r>
        <w:t xml:space="preserve"> </w:t>
      </w:r>
      <w:r>
        <w:rPr>
          <w:i/>
          <w:iCs/>
        </w:rPr>
        <w:t xml:space="preserve">context engineering</w:t>
      </w:r>
      <w:r>
        <w:t xml:space="preserve">: instead of blindly expanding the prompt, it engineered a working memory outside of the context window, preventing the model from forgetting important details. The use of a</w:t>
      </w:r>
      <w:r>
        <w:t xml:space="preserve"> </w:t>
      </w:r>
      <w:r>
        <w:rPr>
          <w:b/>
          <w:bCs/>
        </w:rPr>
        <w:t xml:space="preserve">Compressor</w:t>
      </w:r>
      <w:r>
        <w:t xml:space="preserve"> </w:t>
      </w:r>
      <w:r>
        <w:t xml:space="preserve">to condense verbose history into essential summaries addressed context‑window limits and kept recursion efficient.</w:t>
      </w:r>
    </w:p>
    <w:bookmarkEnd w:id="23"/>
    <w:bookmarkStart w:id="27" w:name="extensions-and-refinements-for-late-2025"/>
    <w:p>
      <w:pPr>
        <w:pStyle w:val="Heading3"/>
      </w:pPr>
      <w:r>
        <w:t xml:space="preserve">1.3 Extensions and refinements for late 2025</w:t>
      </w:r>
    </w:p>
    <w:p>
      <w:pPr>
        <w:pStyle w:val="FirstParagraph"/>
      </w:pPr>
      <w:r>
        <w:t xml:space="preserve">Since mid‑2025, research into</w:t>
      </w:r>
      <w:r>
        <w:t xml:space="preserve"> </w:t>
      </w:r>
      <w:r>
        <w:rPr>
          <w:b/>
          <w:bCs/>
        </w:rPr>
        <w:t xml:space="preserve">context engineering</w:t>
      </w:r>
      <w:r>
        <w:t xml:space="preserve"> </w:t>
      </w:r>
      <w:r>
        <w:t xml:space="preserve">has accelerated. The</w:t>
      </w:r>
      <w:r>
        <w:t xml:space="preserve"> </w:t>
      </w:r>
      <w:r>
        <w:rPr>
          <w:i/>
          <w:iCs/>
        </w:rPr>
        <w:t xml:space="preserve">Agentic Context Engineering (ACE)</w:t>
      </w:r>
      <w:r>
        <w:t xml:space="preserve"> </w:t>
      </w:r>
      <w:r>
        <w:t xml:space="preserve">framework proposes treating context as an evolving playbook rather than a static prompt. ACE addresses two failure modes—brevity bias and context collapse—by applying incremental delta updates, metadata‑enriched entries and a three‑role system (generation, reflection and curation)</w:t>
      </w:r>
      <w:hyperlink r:id="rId24">
        <w:r>
          <w:rPr>
            <w:rStyle w:val="Hyperlink"/>
          </w:rPr>
          <w:t xml:space="preserve">[1]</w:t>
        </w:r>
      </w:hyperlink>
      <w:r>
        <w:t xml:space="preserve">. The</w:t>
      </w:r>
      <w:r>
        <w:t xml:space="preserve"> </w:t>
      </w:r>
      <w:r>
        <w:rPr>
          <w:i/>
          <w:iCs/>
        </w:rPr>
        <w:t xml:space="preserve">Prompt Equilibrium</w:t>
      </w:r>
      <w:r>
        <w:t xml:space="preserve"> </w:t>
      </w:r>
      <w:r>
        <w:t xml:space="preserve">framework’s ledgers already approximate this by capturing persona, narrative and parameters separately; however, ACE suggests adding metadata (timestamps, provenance) and supporting incremental updates instead of wholesale rewrites. Moreover, ChatGPT now offers persistent memory features that allow models to remember facts across sessions, though using this memory can inadvertently blend contexts. A refined equilibrium framework should integrate explicit context‑engineering principles:</w:t>
      </w:r>
    </w:p>
    <w:p>
      <w:pPr>
        <w:numPr>
          <w:ilvl w:val="0"/>
          <w:numId w:val="1001"/>
        </w:numPr>
      </w:pPr>
      <w:r>
        <w:rPr>
          <w:b/>
          <w:bCs/>
        </w:rPr>
        <w:t xml:space="preserve">Modular context updates</w:t>
      </w:r>
      <w:r>
        <w:t xml:space="preserve"> </w:t>
      </w:r>
      <w:r>
        <w:t xml:space="preserve">– Use ledger entries as atomic deltas. When a user changes a schema or introduces a new constraint, record it as a discrete update with metadata rather than rewriting the entire ledger.</w:t>
      </w:r>
    </w:p>
    <w:p>
      <w:pPr>
        <w:numPr>
          <w:ilvl w:val="0"/>
          <w:numId w:val="1001"/>
        </w:numPr>
      </w:pPr>
      <w:r>
        <w:rPr>
          <w:b/>
          <w:bCs/>
        </w:rPr>
        <w:t xml:space="preserve">Role separation</w:t>
      </w:r>
      <w:r>
        <w:t xml:space="preserve"> </w:t>
      </w:r>
      <w:r>
        <w:t xml:space="preserve">– Distinguish generation, reflection and curation agents. The current</w:t>
      </w:r>
      <w:r>
        <w:t xml:space="preserve"> </w:t>
      </w:r>
      <w:r>
        <w:rPr>
          <w:b/>
          <w:bCs/>
        </w:rPr>
        <w:t xml:space="preserve">Simulator</w:t>
      </w:r>
      <w:r>
        <w:t xml:space="preserve"> </w:t>
      </w:r>
      <w:r>
        <w:t xml:space="preserve">could assume reflective duties, but adding a dedicated</w:t>
      </w:r>
      <w:r>
        <w:t xml:space="preserve"> </w:t>
      </w:r>
      <w:r>
        <w:rPr>
          <w:b/>
          <w:bCs/>
        </w:rPr>
        <w:t xml:space="preserve">Curator</w:t>
      </w:r>
      <w:r>
        <w:t xml:space="preserve"> </w:t>
      </w:r>
      <w:r>
        <w:t xml:space="preserve">would help decide what enters long‑term memory.</w:t>
      </w:r>
    </w:p>
    <w:p>
      <w:pPr>
        <w:numPr>
          <w:ilvl w:val="0"/>
          <w:numId w:val="1001"/>
        </w:numPr>
      </w:pPr>
      <w:r>
        <w:rPr>
          <w:b/>
          <w:bCs/>
        </w:rPr>
        <w:t xml:space="preserve">Avoid brevity bias</w:t>
      </w:r>
      <w:r>
        <w:t xml:space="preserve"> </w:t>
      </w:r>
      <w:r>
        <w:t xml:space="preserve">– Resist over‑compressing prompts. ACE research shows that longer, detailed contexts often yield better performance</w:t>
      </w:r>
      <w:hyperlink r:id="rId24">
        <w:r>
          <w:rPr>
            <w:rStyle w:val="Hyperlink"/>
          </w:rPr>
          <w:t xml:space="preserve">[2]</w:t>
        </w:r>
      </w:hyperlink>
      <w:r>
        <w:t xml:space="preserve">. The</w:t>
      </w:r>
      <w:r>
        <w:t xml:space="preserve"> </w:t>
      </w:r>
      <w:r>
        <w:rPr>
          <w:b/>
          <w:bCs/>
        </w:rPr>
        <w:t xml:space="preserve">Compressor</w:t>
      </w:r>
      <w:r>
        <w:t xml:space="preserve"> </w:t>
      </w:r>
      <w:r>
        <w:t xml:space="preserve">should therefore optimize for relevance rather than length alone, perhaps using the model’s own confidence estimates to retain or drop information.</w:t>
      </w:r>
    </w:p>
    <w:p>
      <w:pPr>
        <w:pStyle w:val="FirstParagraph"/>
      </w:pPr>
      <w:r>
        <w:t xml:space="preserve">Recent security research reveals new attack surfaces.</w:t>
      </w:r>
      <w:r>
        <w:t xml:space="preserve"> </w:t>
      </w:r>
      <w:r>
        <w:rPr>
          <w:i/>
          <w:iCs/>
        </w:rPr>
        <w:t xml:space="preserve">CompressionAttack</w:t>
      </w:r>
      <w:r>
        <w:t xml:space="preserve"> </w:t>
      </w:r>
      <w:r>
        <w:t xml:space="preserve">demonstrates that adversaries can manipulate prompt‑compression modules to introduce semantic drift or alter LLM behaviour</w:t>
      </w:r>
      <w:hyperlink r:id="rId25">
        <w:r>
          <w:rPr>
            <w:rStyle w:val="Hyperlink"/>
          </w:rPr>
          <w:t xml:space="preserve">[3]</w:t>
        </w:r>
      </w:hyperlink>
      <w:r>
        <w:t xml:space="preserve">. This suggests that compression routines must include integrity checks and cross‑reference outputs against the original prompt before acceptance. Additionally, research into</w:t>
      </w:r>
      <w:r>
        <w:t xml:space="preserve"> </w:t>
      </w:r>
      <w:r>
        <w:rPr>
          <w:i/>
          <w:iCs/>
        </w:rPr>
        <w:t xml:space="preserve">semantic resonance alignment</w:t>
      </w:r>
      <w:r>
        <w:t xml:space="preserve"> </w:t>
      </w:r>
      <w:r>
        <w:t xml:space="preserve">treats internal representations as oscillatory systems that can reach equilibrium when spectral constraints are imposed</w:t>
      </w:r>
      <w:hyperlink r:id="rId26">
        <w:r>
          <w:rPr>
            <w:rStyle w:val="Hyperlink"/>
          </w:rPr>
          <w:t xml:space="preserve">[4]</w:t>
        </w:r>
      </w:hyperlink>
      <w:r>
        <w:t xml:space="preserve">; while largely theoretical, it hints that certain finetuning techniques could make models internally more stable, reducing susceptibility to drift. The framework should remain model‑agnostic but note that future models may include built‑in stability controls.</w:t>
      </w:r>
    </w:p>
    <w:bookmarkEnd w:id="27"/>
    <w:bookmarkEnd w:id="28"/>
    <w:bookmarkStart w:id="35" w:name="X6e1beab4770c276353eb421085e6b18a317b25c"/>
    <w:p>
      <w:pPr>
        <w:pStyle w:val="Heading2"/>
      </w:pPr>
      <w:r>
        <w:t xml:space="preserve">2 Semantic Interference: Definitions, Causes and Detection</w:t>
      </w:r>
    </w:p>
    <w:bookmarkStart w:id="31" w:name="defining-semantic-interference"/>
    <w:p>
      <w:pPr>
        <w:pStyle w:val="Heading3"/>
      </w:pPr>
      <w:r>
        <w:t xml:space="preserve">2.1 Defining semantic interference</w:t>
      </w:r>
    </w:p>
    <w:p>
      <w:pPr>
        <w:pStyle w:val="FirstParagraph"/>
      </w:pPr>
      <w:r>
        <w:rPr>
          <w:i/>
          <w:iCs/>
        </w:rPr>
        <w:t xml:space="preserve">Semantic interference</w:t>
      </w:r>
      <w:r>
        <w:t xml:space="preserve"> </w:t>
      </w:r>
      <w:r>
        <w:t xml:space="preserve">refers to any situation where the meaning or constraints of a prompt are disrupted during processing. It is distinct from simple hallucination; interference often results from the model misinterpreting or overriding part of the context. The original paper categorizes interference into four common forms:</w:t>
      </w:r>
    </w:p>
    <w:p>
      <w:pPr>
        <w:pStyle w:val="Compact"/>
        <w:numPr>
          <w:ilvl w:val="0"/>
          <w:numId w:val="1002"/>
        </w:numPr>
      </w:pPr>
      <w:r>
        <w:rPr>
          <w:b/>
          <w:bCs/>
        </w:rPr>
        <w:t xml:space="preserve">Prompt drift</w:t>
      </w:r>
      <w:r>
        <w:t xml:space="preserve"> </w:t>
      </w:r>
      <w:r>
        <w:t xml:space="preserve">– The model gradually strays from the original intent, especially in long dialogues or multi‑step reasoning.</w:t>
      </w:r>
    </w:p>
    <w:p>
      <w:pPr>
        <w:pStyle w:val="Compact"/>
        <w:numPr>
          <w:ilvl w:val="0"/>
          <w:numId w:val="1002"/>
        </w:numPr>
      </w:pPr>
      <w:r>
        <w:rPr>
          <w:b/>
          <w:bCs/>
        </w:rPr>
        <w:t xml:space="preserve">Instruction conflict</w:t>
      </w:r>
      <w:r>
        <w:t xml:space="preserve"> </w:t>
      </w:r>
      <w:r>
        <w:t xml:space="preserve">– Two instructions impose conflicting demands, such as when a system prompt forbids certain content but a user query asks for it.</w:t>
      </w:r>
    </w:p>
    <w:p>
      <w:pPr>
        <w:pStyle w:val="Compact"/>
        <w:numPr>
          <w:ilvl w:val="0"/>
          <w:numId w:val="1002"/>
        </w:numPr>
      </w:pPr>
      <w:r>
        <w:rPr>
          <w:b/>
          <w:bCs/>
        </w:rPr>
        <w:t xml:space="preserve">Contextual override</w:t>
      </w:r>
      <w:r>
        <w:t xml:space="preserve"> </w:t>
      </w:r>
      <w:r>
        <w:t xml:space="preserve">– Recent or irrelevant context overwrites important details due to the LLM’s recency bias.</w:t>
      </w:r>
    </w:p>
    <w:p>
      <w:pPr>
        <w:pStyle w:val="Compact"/>
        <w:numPr>
          <w:ilvl w:val="0"/>
          <w:numId w:val="1002"/>
        </w:numPr>
      </w:pPr>
      <w:r>
        <w:rPr>
          <w:b/>
          <w:bCs/>
        </w:rPr>
        <w:t xml:space="preserve">Prompt injection</w:t>
      </w:r>
      <w:r>
        <w:t xml:space="preserve"> </w:t>
      </w:r>
      <w:r>
        <w:t xml:space="preserve">– Deliberate manipulation via hidden or obfuscated instructions that override the original prompt.</w:t>
      </w:r>
    </w:p>
    <w:p>
      <w:pPr>
        <w:pStyle w:val="FirstParagraph"/>
      </w:pPr>
      <w:r>
        <w:t xml:space="preserve">More recent work exposes additional interference vectors.</w:t>
      </w:r>
      <w:r>
        <w:t xml:space="preserve"> </w:t>
      </w:r>
      <w:r>
        <w:rPr>
          <w:i/>
          <w:iCs/>
        </w:rPr>
        <w:t xml:space="preserve">Proactive interference</w:t>
      </w:r>
      <w:r>
        <w:t xml:space="preserve"> </w:t>
      </w:r>
      <w:r>
        <w:t xml:space="preserve">shows that retrieval accuracy declines log‑linearly as semantically similar distractors accumulate, even when the relevant information is recent; prompting the model to ignore earlier input provides limited relief</w:t>
      </w:r>
      <w:hyperlink r:id="rId29">
        <w:r>
          <w:rPr>
            <w:rStyle w:val="Hyperlink"/>
          </w:rPr>
          <w:t xml:space="preserve">[5]</w:t>
        </w:r>
      </w:hyperlink>
      <w:r>
        <w:t xml:space="preserve">. Attackers are now exploiting</w:t>
      </w:r>
      <w:r>
        <w:t xml:space="preserve"> </w:t>
      </w:r>
      <w:r>
        <w:rPr>
          <w:i/>
          <w:iCs/>
        </w:rPr>
        <w:t xml:space="preserve">prompt compression</w:t>
      </w:r>
      <w:r>
        <w:t xml:space="preserve"> </w:t>
      </w:r>
      <w:r>
        <w:t xml:space="preserve">modules by injecting subtle adversarial edits that survive compression and alter downstream behaviour</w:t>
      </w:r>
      <w:hyperlink r:id="rId25">
        <w:r>
          <w:rPr>
            <w:rStyle w:val="Hyperlink"/>
          </w:rPr>
          <w:t xml:space="preserve">[3]</w:t>
        </w:r>
      </w:hyperlink>
      <w:r>
        <w:t xml:space="preserve">.</w:t>
      </w:r>
      <w:r>
        <w:t xml:space="preserve"> </w:t>
      </w:r>
      <w:r>
        <w:rPr>
          <w:i/>
          <w:iCs/>
        </w:rPr>
        <w:t xml:space="preserve">Targeted injection attacks</w:t>
      </w:r>
      <w:r>
        <w:t xml:space="preserve"> </w:t>
      </w:r>
      <w:r>
        <w:t xml:space="preserve">at the semantic layer aim not only to override instructions but to manipulate decision‑making groups, training sets and social networks</w:t>
      </w:r>
      <w:hyperlink r:id="rId30">
        <w:r>
          <w:rPr>
            <w:rStyle w:val="Hyperlink"/>
          </w:rPr>
          <w:t xml:space="preserve">[6]</w:t>
        </w:r>
      </w:hyperlink>
      <w:r>
        <w:t xml:space="preserve">. These emerging threats expand the scope of semantic interference beyond user‑level prompts and into the underlying ecosystem that supplies context.</w:t>
      </w:r>
    </w:p>
    <w:bookmarkEnd w:id="31"/>
    <w:bookmarkStart w:id="33" w:name="causes-and-examples"/>
    <w:p>
      <w:pPr>
        <w:pStyle w:val="Heading3"/>
      </w:pPr>
      <w:r>
        <w:t xml:space="preserve">2.2 Causes and examples</w:t>
      </w:r>
    </w:p>
    <w:p>
      <w:pPr>
        <w:pStyle w:val="FirstParagraph"/>
      </w:pPr>
      <w:r>
        <w:t xml:space="preserve">The original paper identified several causes of interference:</w:t>
      </w:r>
    </w:p>
    <w:p>
      <w:pPr>
        <w:pStyle w:val="Compact"/>
        <w:numPr>
          <w:ilvl w:val="0"/>
          <w:numId w:val="1003"/>
        </w:numPr>
      </w:pPr>
      <w:r>
        <w:rPr>
          <w:b/>
          <w:bCs/>
        </w:rPr>
        <w:t xml:space="preserve">Ambiguous or overloaded prompts</w:t>
      </w:r>
      <w:r>
        <w:t xml:space="preserve"> </w:t>
      </w:r>
      <w:r>
        <w:t xml:space="preserve">– poorly structured prompts lead the model to misinterpret priorities. For example, instructing the model to provide both a summary and a code snippet without clear ordering can cause it to skip one task.</w:t>
      </w:r>
    </w:p>
    <w:p>
      <w:pPr>
        <w:pStyle w:val="Compact"/>
        <w:numPr>
          <w:ilvl w:val="0"/>
          <w:numId w:val="1003"/>
        </w:numPr>
      </w:pPr>
      <w:r>
        <w:rPr>
          <w:b/>
          <w:bCs/>
        </w:rPr>
        <w:t xml:space="preserve">Multi‑step reasoning errors</w:t>
      </w:r>
      <w:r>
        <w:t xml:space="preserve"> </w:t>
      </w:r>
      <w:r>
        <w:t xml:space="preserve">– the model may incorrectly carry intermediate results forward, compounding errors.</w:t>
      </w:r>
    </w:p>
    <w:p>
      <w:pPr>
        <w:pStyle w:val="Compact"/>
        <w:numPr>
          <w:ilvl w:val="0"/>
          <w:numId w:val="1003"/>
        </w:numPr>
      </w:pPr>
      <w:r>
        <w:rPr>
          <w:b/>
          <w:bCs/>
        </w:rPr>
        <w:t xml:space="preserve">Divergent multi‑agent outputs</w:t>
      </w:r>
      <w:r>
        <w:t xml:space="preserve"> </w:t>
      </w:r>
      <w:r>
        <w:t xml:space="preserve">– in multi‑agent setups, agents may interpret instructions differently, leading to inconsistent or conflicting responses.</w:t>
      </w:r>
    </w:p>
    <w:p>
      <w:pPr>
        <w:pStyle w:val="Compact"/>
        <w:numPr>
          <w:ilvl w:val="0"/>
          <w:numId w:val="1003"/>
        </w:numPr>
      </w:pPr>
      <w:r>
        <w:rPr>
          <w:b/>
          <w:bCs/>
        </w:rPr>
        <w:t xml:space="preserve">Prompt injections</w:t>
      </w:r>
      <w:r>
        <w:t xml:space="preserve"> </w:t>
      </w:r>
      <w:r>
        <w:t xml:space="preserve">– hidden directives override or corrupt legitimate instructions.</w:t>
      </w:r>
    </w:p>
    <w:p>
      <w:pPr>
        <w:pStyle w:val="FirstParagraph"/>
      </w:pPr>
      <w:r>
        <w:t xml:space="preserve">Additional causes observed in 2025 include</w:t>
      </w:r>
      <w:r>
        <w:t xml:space="preserve"> </w:t>
      </w:r>
      <w:r>
        <w:rPr>
          <w:b/>
          <w:bCs/>
        </w:rPr>
        <w:t xml:space="preserve">working memory bottlenecks</w:t>
      </w:r>
      <w:r>
        <w:t xml:space="preserve"> </w:t>
      </w:r>
      <w:r>
        <w:t xml:space="preserve">and</w:t>
      </w:r>
      <w:r>
        <w:t xml:space="preserve"> </w:t>
      </w:r>
      <w:r>
        <w:rPr>
          <w:b/>
          <w:bCs/>
        </w:rPr>
        <w:t xml:space="preserve">positional bias</w:t>
      </w:r>
      <w:r>
        <w:t xml:space="preserve">. Proactive interference demonstrates that LLMs struggle to suppress irrelevant earlier information; retrieval accuracy falls as the number of distractors increases</w:t>
      </w:r>
      <w:hyperlink r:id="rId29">
        <w:r>
          <w:rPr>
            <w:rStyle w:val="Hyperlink"/>
          </w:rPr>
          <w:t xml:space="preserve">[5]</w:t>
        </w:r>
      </w:hyperlink>
      <w:r>
        <w:t xml:space="preserve">. Studies on stochastic decision‑making show that even when models know the Nash equilibrium distribution for games like rock‑paper‑scissors, their choices systematically deviate due to positional preferences</w:t>
      </w:r>
      <w:hyperlink r:id="rId32">
        <w:r>
          <w:rPr>
            <w:rStyle w:val="Hyperlink"/>
          </w:rPr>
          <w:t xml:space="preserve">[7]</w:t>
        </w:r>
      </w:hyperlink>
      <w:r>
        <w:t xml:space="preserve">. These findings highlight that interference arises not just from external prompts but from intrinsic biases and memory limitations.</w:t>
      </w:r>
    </w:p>
    <w:bookmarkEnd w:id="33"/>
    <w:bookmarkStart w:id="34" w:name="detection-methodologies"/>
    <w:p>
      <w:pPr>
        <w:pStyle w:val="Heading3"/>
      </w:pPr>
      <w:r>
        <w:t xml:space="preserve">2.3 Detection methodologies</w:t>
      </w:r>
    </w:p>
    <w:p>
      <w:pPr>
        <w:pStyle w:val="FirstParagraph"/>
      </w:pPr>
      <w:r>
        <w:t xml:space="preserve">The original document proposed a multi‑layered detection strategy:</w:t>
      </w:r>
    </w:p>
    <w:p>
      <w:pPr>
        <w:pStyle w:val="Compact"/>
        <w:numPr>
          <w:ilvl w:val="0"/>
          <w:numId w:val="1004"/>
        </w:numPr>
      </w:pPr>
      <w:r>
        <w:rPr>
          <w:b/>
          <w:bCs/>
        </w:rPr>
        <w:t xml:space="preserve">Structured prompts and canonical ledgers</w:t>
      </w:r>
      <w:r>
        <w:t xml:space="preserve"> </w:t>
      </w:r>
      <w:r>
        <w:t xml:space="preserve">– by decomposing instructions into clearly labeled sections and storing each token of meaning in a ledger, one can later detect when an output omits or alters required fields.</w:t>
      </w:r>
    </w:p>
    <w:p>
      <w:pPr>
        <w:pStyle w:val="Compact"/>
        <w:numPr>
          <w:ilvl w:val="0"/>
          <w:numId w:val="1004"/>
        </w:numPr>
      </w:pPr>
      <w:r>
        <w:rPr>
          <w:b/>
          <w:bCs/>
        </w:rPr>
        <w:t xml:space="preserve">Self‑verification loops</w:t>
      </w:r>
      <w:r>
        <w:t xml:space="preserve"> </w:t>
      </w:r>
      <w:r>
        <w:t xml:space="preserve">– instruct the model to compare its output against the input and regenerate if discrepancies are found; this resembles</w:t>
      </w:r>
      <w:r>
        <w:t xml:space="preserve"> </w:t>
      </w:r>
      <w:r>
        <w:rPr>
          <w:i/>
          <w:iCs/>
        </w:rPr>
        <w:t xml:space="preserve">Reversing Chain‑of‑Thought</w:t>
      </w:r>
      <w:r>
        <w:t xml:space="preserve"> </w:t>
      </w:r>
      <w:r>
        <w:t xml:space="preserve">where the model works backward to verify reasoning.</w:t>
      </w:r>
    </w:p>
    <w:p>
      <w:pPr>
        <w:pStyle w:val="Compact"/>
        <w:numPr>
          <w:ilvl w:val="0"/>
          <w:numId w:val="1004"/>
        </w:numPr>
      </w:pPr>
      <w:r>
        <w:rPr>
          <w:b/>
          <w:bCs/>
        </w:rPr>
        <w:t xml:space="preserve">Auditor or guard agents</w:t>
      </w:r>
      <w:r>
        <w:t xml:space="preserve"> </w:t>
      </w:r>
      <w:r>
        <w:t xml:space="preserve">– a dedicated agent monitors outputs for style, tone and content compliance.</w:t>
      </w:r>
    </w:p>
    <w:p>
      <w:pPr>
        <w:pStyle w:val="Compact"/>
        <w:numPr>
          <w:ilvl w:val="0"/>
          <w:numId w:val="1004"/>
        </w:numPr>
      </w:pPr>
      <w:r>
        <w:rPr>
          <w:b/>
          <w:bCs/>
        </w:rPr>
        <w:t xml:space="preserve">Embedding similarity checks</w:t>
      </w:r>
      <w:r>
        <w:t xml:space="preserve"> </w:t>
      </w:r>
      <w:r>
        <w:t xml:space="preserve">– compute similarity between the prompt and response in embedding space to detect drift or injection.</w:t>
      </w:r>
    </w:p>
    <w:p>
      <w:pPr>
        <w:pStyle w:val="Compact"/>
        <w:numPr>
          <w:ilvl w:val="0"/>
          <w:numId w:val="1004"/>
        </w:numPr>
      </w:pPr>
      <w:r>
        <w:rPr>
          <w:b/>
          <w:bCs/>
        </w:rPr>
        <w:t xml:space="preserve">Real‑time token monitoring</w:t>
      </w:r>
      <w:r>
        <w:t xml:space="preserve"> </w:t>
      </w:r>
      <w:r>
        <w:t xml:space="preserve">– track token usage and detect anomalies that might signal injection (e.g., sudden appearance of out‑of‑vocabulary tokens).</w:t>
      </w:r>
    </w:p>
    <w:p>
      <w:pPr>
        <w:pStyle w:val="Compact"/>
        <w:numPr>
          <w:ilvl w:val="0"/>
          <w:numId w:val="1004"/>
        </w:numPr>
      </w:pPr>
      <w:r>
        <w:rPr>
          <w:b/>
          <w:bCs/>
        </w:rPr>
        <w:t xml:space="preserve">Red‑team testing and heuristics</w:t>
      </w:r>
      <w:r>
        <w:t xml:space="preserve"> </w:t>
      </w:r>
      <w:r>
        <w:t xml:space="preserve">– systematically test prompts against known attack patterns.</w:t>
      </w:r>
    </w:p>
    <w:p>
      <w:pPr>
        <w:pStyle w:val="FirstParagraph"/>
      </w:pPr>
      <w:r>
        <w:t xml:space="preserve">Since then, new detection techniques have appeared.</w:t>
      </w:r>
      <w:r>
        <w:t xml:space="preserve"> </w:t>
      </w:r>
      <w:r>
        <w:rPr>
          <w:i/>
          <w:iCs/>
        </w:rPr>
        <w:t xml:space="preserve">CompressionAttack</w:t>
      </w:r>
      <w:r>
        <w:t xml:space="preserve"> </w:t>
      </w:r>
      <w:r>
        <w:t xml:space="preserve">research suggests verifying compressed prompts against the original using perplexity or self‑consistency checks</w:t>
      </w:r>
      <w:hyperlink r:id="rId25">
        <w:r>
          <w:rPr>
            <w:rStyle w:val="Hyperlink"/>
          </w:rPr>
          <w:t xml:space="preserve">[3]</w:t>
        </w:r>
      </w:hyperlink>
      <w:r>
        <w:t xml:space="preserve">.</w:t>
      </w:r>
      <w:r>
        <w:t xml:space="preserve"> </w:t>
      </w:r>
      <w:r>
        <w:rPr>
          <w:i/>
          <w:iCs/>
        </w:rPr>
        <w:t xml:space="preserve">ACE</w:t>
      </w:r>
      <w:r>
        <w:t xml:space="preserve"> </w:t>
      </w:r>
      <w:r>
        <w:t xml:space="preserve">advocates reflecting on context updates after each round; this reflection could be automated as a</w:t>
      </w:r>
      <w:r>
        <w:t xml:space="preserve"> </w:t>
      </w:r>
      <w:r>
        <w:rPr>
          <w:b/>
          <w:bCs/>
        </w:rPr>
        <w:t xml:space="preserve">Context Verifier</w:t>
      </w:r>
      <w:r>
        <w:t xml:space="preserve"> </w:t>
      </w:r>
      <w:r>
        <w:t xml:space="preserve">agent. The NIST and ISO‑42001 AI risk‑management frameworks, updated in 2025, require monitoring and logging AI inputs and outputs to detect prompt injection; commercial tools now offer</w:t>
      </w:r>
      <w:r>
        <w:t xml:space="preserve"> </w:t>
      </w:r>
      <w:r>
        <w:rPr>
          <w:b/>
          <w:bCs/>
        </w:rPr>
        <w:t xml:space="preserve">prompt‑firewalls</w:t>
      </w:r>
      <w:r>
        <w:t xml:space="preserve"> </w:t>
      </w:r>
      <w:r>
        <w:t xml:space="preserve">that scan user inputs for injection patterns before passing them to the model. A forward‑looking equilibrium framework should integrate such external guardrails in addition to internal auditors.</w:t>
      </w:r>
    </w:p>
    <w:bookmarkEnd w:id="34"/>
    <w:bookmarkEnd w:id="35"/>
    <w:bookmarkStart w:id="46" w:name="Xa6c12aed67cbf058cde6f31429e37189a88e930"/>
    <w:p>
      <w:pPr>
        <w:pStyle w:val="Heading2"/>
      </w:pPr>
      <w:r>
        <w:t xml:space="preserve">3 Coordinating Multiple GPTs and Agentic Systems</w:t>
      </w:r>
    </w:p>
    <w:bookmarkStart w:id="36" w:name="multigpt-orchestration-mid2025-status"/>
    <w:p>
      <w:pPr>
        <w:pStyle w:val="Heading3"/>
      </w:pPr>
      <w:r>
        <w:t xml:space="preserve">3.1 Multi‑GPT orchestration (mid‑2025 status)</w:t>
      </w:r>
    </w:p>
    <w:p>
      <w:pPr>
        <w:pStyle w:val="FirstParagraph"/>
      </w:pPr>
      <w:r>
        <w:t xml:space="preserve">In mid‑2025, OpenAI introduced a beta feature allowing users to mention multiple custom GPTs within a single conversation. This enabled a</w:t>
      </w:r>
      <w:r>
        <w:t xml:space="preserve"> </w:t>
      </w:r>
      <w:r>
        <w:rPr>
          <w:b/>
          <w:bCs/>
        </w:rPr>
        <w:t xml:space="preserve">manual mesh</w:t>
      </w:r>
      <w:r>
        <w:t xml:space="preserve"> </w:t>
      </w:r>
      <w:r>
        <w:t xml:space="preserve">of specialized agents: the user could @mention different GPTs for research, writing, summarization, etc., effectively switching which GPT responded at each turn. Each GPT retained access to its own instructions and up to 20 attached knowledge files, providing a persistent “tether” to external logic that survived across messages. However, all GPTs still ran on the same underlying model, and there was no autonomous parallelism; the user orchestrated the hand‑offs. Sharing knowledge required manually uploading identical files to each GPT—there was no live synchronization. While the feature facilitated division of labour, it did not constitute a true multi‑agent system; the conversation context was global but only one GPT responded at a time. The original document cautioned that this is a</w:t>
      </w:r>
      <w:r>
        <w:t xml:space="preserve"> </w:t>
      </w:r>
      <w:r>
        <w:rPr>
          <w:i/>
          <w:iCs/>
        </w:rPr>
        <w:t xml:space="preserve">divide‑and‑conquer</w:t>
      </w:r>
      <w:r>
        <w:t xml:space="preserve"> </w:t>
      </w:r>
      <w:r>
        <w:t xml:space="preserve">strategy rather than a hive‑mind and noted limitations like context windows, tone mismatches and lack of API support.</w:t>
      </w:r>
    </w:p>
    <w:bookmarkEnd w:id="36"/>
    <w:bookmarkStart w:id="44" w:name="advances-in-multiagent-frameworks"/>
    <w:p>
      <w:pPr>
        <w:pStyle w:val="Heading3"/>
      </w:pPr>
      <w:r>
        <w:t xml:space="preserve">3.2 Advances in multi‑agent frameworks</w:t>
      </w:r>
    </w:p>
    <w:p>
      <w:pPr>
        <w:pStyle w:val="FirstParagraph"/>
      </w:pPr>
      <w:r>
        <w:t xml:space="preserve">By late 2025, research into multi‑agent collaboration has progressed rapidly. Google’s</w:t>
      </w:r>
      <w:r>
        <w:t xml:space="preserve"> </w:t>
      </w:r>
      <w:r>
        <w:rPr>
          <w:i/>
          <w:iCs/>
        </w:rPr>
        <w:t xml:space="preserve">Chain‑of‑Agents (CoA)</w:t>
      </w:r>
      <w:r>
        <w:t xml:space="preserve"> </w:t>
      </w:r>
      <w:r>
        <w:t xml:space="preserve">framework demonstrates that sequential worker agents can process different chunks of a long context and pass messages along a chain, while a manager agent synthesizes the evidence into a final answer</w:t>
      </w:r>
      <w:hyperlink r:id="rId37">
        <w:r>
          <w:rPr>
            <w:rStyle w:val="Hyperlink"/>
          </w:rPr>
          <w:t xml:space="preserve">[8]</w:t>
        </w:r>
      </w:hyperlink>
      <w:r>
        <w:t xml:space="preserve">. Unlike retrieval‑augmented generation (RAG), CoA does not rely solely on semantic similarity; early agents explore related topics, enabling multi‑hop reasoning across long texts. Experiments show that CoA outperforms both full‑context models and RAG across question answering, summarization and code‑completion tasks</w:t>
      </w:r>
      <w:hyperlink r:id="rId38">
        <w:r>
          <w:rPr>
            <w:rStyle w:val="Hyperlink"/>
          </w:rPr>
          <w:t xml:space="preserve">[9]</w:t>
        </w:r>
      </w:hyperlink>
      <w:r>
        <w:t xml:space="preserve">. This indicates that multi‑agent collaboration can unlock new capabilities such as multi‑step reasoning over 200k‑token documents</w:t>
      </w:r>
      <w:hyperlink r:id="rId39">
        <w:r>
          <w:rPr>
            <w:rStyle w:val="Hyperlink"/>
          </w:rPr>
          <w:t xml:space="preserve">[10]</w:t>
        </w:r>
      </w:hyperlink>
      <w:r>
        <w:t xml:space="preserve">.</w:t>
      </w:r>
    </w:p>
    <w:p>
      <w:pPr>
        <w:pStyle w:val="BodyText"/>
      </w:pPr>
      <w:r>
        <w:t xml:space="preserve">At the same time, a NeurIPS 2025 position paper warns that many LLM‑based multi‑agent frameworks misuse MAS terminology and fail to incorporate principles like social intelligence, concurrency and shared environment design. Instead of genuine inter‑agent cooperation, they often reuse single‑agent prompting patterns and rely on a central orchestrator, risking the “illusion of multi‑agent” and conflating chain‑of‑thought splitting with true MAS design</w:t>
      </w:r>
      <w:hyperlink r:id="rId40">
        <w:r>
          <w:rPr>
            <w:rStyle w:val="Hyperlink"/>
          </w:rPr>
          <w:t xml:space="preserve">[11]</w:t>
        </w:r>
      </w:hyperlink>
      <w:r>
        <w:t xml:space="preserve">. This critique suggests that building robust multi‑agent systems requires more than sequential hand‑offs; agents need mechanisms for negotiation, arbitration and independent knowledge that can converge on consensus or gracefully handle divergence.</w:t>
      </w:r>
    </w:p>
    <w:p>
      <w:pPr>
        <w:pStyle w:val="BodyText"/>
      </w:pPr>
      <w:r>
        <w:t xml:space="preserve">New research also explores</w:t>
      </w:r>
      <w:r>
        <w:t xml:space="preserve"> </w:t>
      </w:r>
      <w:r>
        <w:rPr>
          <w:b/>
          <w:bCs/>
        </w:rPr>
        <w:t xml:space="preserve">direct semantic communication</w:t>
      </w:r>
      <w:r>
        <w:t xml:space="preserve"> </w:t>
      </w:r>
      <w:r>
        <w:t xml:space="preserve">between models. The</w:t>
      </w:r>
      <w:r>
        <w:t xml:space="preserve"> </w:t>
      </w:r>
      <w:r>
        <w:rPr>
          <w:i/>
          <w:iCs/>
        </w:rPr>
        <w:t xml:space="preserve">Cache‑to‑Cache (C2C)</w:t>
      </w:r>
      <w:r>
        <w:t xml:space="preserve"> </w:t>
      </w:r>
      <w:r>
        <w:t xml:space="preserve">paradigm proposes fusing key‑value caches of two LLMs via a learned projection, allowing one model’s latent semantics to steer another without token‑by‑token generation</w:t>
      </w:r>
      <w:hyperlink r:id="rId41">
        <w:r>
          <w:rPr>
            <w:rStyle w:val="Hyperlink"/>
          </w:rPr>
          <w:t xml:space="preserve">[12]</w:t>
        </w:r>
      </w:hyperlink>
      <w:r>
        <w:t xml:space="preserve">. C2C improves accuracy by 8–10 % and reduces latency by ~2× compared to text‑only communication</w:t>
      </w:r>
      <w:hyperlink r:id="rId42">
        <w:r>
          <w:rPr>
            <w:rStyle w:val="Hyperlink"/>
          </w:rPr>
          <w:t xml:space="preserve">[13]</w:t>
        </w:r>
      </w:hyperlink>
      <w:r>
        <w:t xml:space="preserve">. Another study suggests learning vector translations between different models’ embedding spaces to enable cross‑model latent communication; injecting these translated vectors can steer generation at 30 % blending strength while preserving stability</w:t>
      </w:r>
      <w:hyperlink r:id="rId43">
        <w:r>
          <w:rPr>
            <w:rStyle w:val="Hyperlink"/>
          </w:rPr>
          <w:t xml:space="preserve">[14]</w:t>
        </w:r>
      </w:hyperlink>
      <w:r>
        <w:t xml:space="preserve">. Such approaches hint at future multi‑agent systems where models share semantics directly rather than via natural language, increasing efficiency but raising new safety concerns. To participate in such networks, each agent will need explicit filtering and gating of latent inputs, analogous to prompt guardrails for text.</w:t>
      </w:r>
    </w:p>
    <w:bookmarkEnd w:id="44"/>
    <w:bookmarkStart w:id="45" w:name="Xd445011909bbb12dd2c8304efdb91e0912b6286"/>
    <w:p>
      <w:pPr>
        <w:pStyle w:val="Heading3"/>
      </w:pPr>
      <w:r>
        <w:t xml:space="preserve">3.3 Implications for the equilibrium framework</w:t>
      </w:r>
    </w:p>
    <w:p>
      <w:pPr>
        <w:pStyle w:val="FirstParagraph"/>
      </w:pPr>
      <w:r>
        <w:t xml:space="preserve">The equilibrium framework was originally designed to run entirely within a single model; however, multi‑agent orchestration suggests new possibilities. A</w:t>
      </w:r>
      <w:r>
        <w:t xml:space="preserve"> </w:t>
      </w:r>
      <w:r>
        <w:rPr>
          <w:b/>
          <w:bCs/>
        </w:rPr>
        <w:t xml:space="preserve">multi‑equilibrium mesh</w:t>
      </w:r>
      <w:r>
        <w:t xml:space="preserve"> </w:t>
      </w:r>
      <w:r>
        <w:t xml:space="preserve">could assign each agent (Auditor, Stylist, Router, etc.) to a separate GPT, allowing parallel processing. The Router agent would coordinate messages between them, and the Simulator would synthesize outputs. Alternatively, one could implement CoA‑like chains where the Auditor handles schema validation on one chunk, the Stylist ensures tone on another, and the Manager agent (replacing the Simulator) integrates results. When exploring cross‑model communication (e.g., using C2C), the ledger system becomes even more critical: any latent exchange must be contextualized and recorded to prevent uncontrolled drift or hidden injection. The framework should therefore include metadata fields capturing the provenance of latent contributions and implement gating functions to decide whether to accept them.</w:t>
      </w:r>
    </w:p>
    <w:bookmarkEnd w:id="45"/>
    <w:bookmarkEnd w:id="46"/>
    <w:bookmarkStart w:id="48" w:name="security-and-risk-management-in-2025"/>
    <w:p>
      <w:pPr>
        <w:pStyle w:val="Heading2"/>
      </w:pPr>
      <w:r>
        <w:t xml:space="preserve">4 Security and Risk Management in 2025</w:t>
      </w:r>
    </w:p>
    <w:p>
      <w:pPr>
        <w:pStyle w:val="FirstParagraph"/>
      </w:pPr>
      <w:r>
        <w:t xml:space="preserve">Prompt injection has become the dominant AI exploit. A 2025 security analysis notes that enterprises experience data breaches when user inputs override system directives, leading to information disclosure; layered defenses (input validation, output filtering, privilege minimization and behaviour monitoring) can reduce breach costs by 60–70 %</w:t>
      </w:r>
      <w:hyperlink r:id="rId47">
        <w:r>
          <w:rPr>
            <w:rStyle w:val="Hyperlink"/>
          </w:rPr>
          <w:t xml:space="preserve">[15]</w:t>
        </w:r>
      </w:hyperlink>
      <w:r>
        <w:t xml:space="preserve">. OWASP’s 2025 Top 10 lists prompt injection as the number‑one LLM vulnerability. In addition to injection, new attack vectors target the</w:t>
      </w:r>
      <w:r>
        <w:t xml:space="preserve"> </w:t>
      </w:r>
      <w:r>
        <w:rPr>
          <w:b/>
          <w:bCs/>
        </w:rPr>
        <w:t xml:space="preserve">semantic layer</w:t>
      </w:r>
      <w:r>
        <w:t xml:space="preserve"> </w:t>
      </w:r>
      <w:r>
        <w:t xml:space="preserve">itself.</w:t>
      </w:r>
      <w:r>
        <w:t xml:space="preserve"> </w:t>
      </w:r>
      <w:r>
        <w:rPr>
          <w:i/>
          <w:iCs/>
        </w:rPr>
        <w:t xml:space="preserve">Targeted injection attacks</w:t>
      </w:r>
      <w:r>
        <w:t xml:space="preserve"> </w:t>
      </w:r>
      <w:r>
        <w:t xml:space="preserve">propose contaminating training sets at the semantic level and using social network penetration to manipulate decision‑making groups</w:t>
      </w:r>
      <w:hyperlink r:id="rId30">
        <w:r>
          <w:rPr>
            <w:rStyle w:val="Hyperlink"/>
          </w:rPr>
          <w:t xml:space="preserve">[6]</w:t>
        </w:r>
      </w:hyperlink>
      <w:r>
        <w:t xml:space="preserve">.</w:t>
      </w:r>
      <w:r>
        <w:t xml:space="preserve"> </w:t>
      </w:r>
      <w:r>
        <w:rPr>
          <w:i/>
          <w:iCs/>
        </w:rPr>
        <w:t xml:space="preserve">CompressionAttack</w:t>
      </w:r>
      <w:r>
        <w:t xml:space="preserve"> </w:t>
      </w:r>
      <w:r>
        <w:t xml:space="preserve">exploits vulnerabilities in prompt‑compression modules</w:t>
      </w:r>
      <w:hyperlink r:id="rId25">
        <w:r>
          <w:rPr>
            <w:rStyle w:val="Hyperlink"/>
          </w:rPr>
          <w:t xml:space="preserve">[3]</w:t>
        </w:r>
      </w:hyperlink>
      <w:r>
        <w:t xml:space="preserve">, and</w:t>
      </w:r>
      <w:r>
        <w:t xml:space="preserve"> </w:t>
      </w:r>
      <w:r>
        <w:rPr>
          <w:i/>
          <w:iCs/>
        </w:rPr>
        <w:t xml:space="preserve">C2C</w:t>
      </w:r>
      <w:r>
        <w:t xml:space="preserve"> </w:t>
      </w:r>
      <w:r>
        <w:t xml:space="preserve">style latent communications could become a new medium for adversaries. To mitigate these threats:</w:t>
      </w:r>
    </w:p>
    <w:p>
      <w:pPr>
        <w:pStyle w:val="Compact"/>
        <w:numPr>
          <w:ilvl w:val="0"/>
          <w:numId w:val="1005"/>
        </w:numPr>
      </w:pPr>
      <w:r>
        <w:rPr>
          <w:b/>
          <w:bCs/>
        </w:rPr>
        <w:t xml:space="preserve">Layered guardrails</w:t>
      </w:r>
      <w:r>
        <w:t xml:space="preserve"> </w:t>
      </w:r>
      <w:r>
        <w:t xml:space="preserve">– Implement pre‑ and post‑processing filters that scan for injection patterns, both in natural language and latent vector space.</w:t>
      </w:r>
    </w:p>
    <w:p>
      <w:pPr>
        <w:pStyle w:val="Compact"/>
        <w:numPr>
          <w:ilvl w:val="0"/>
          <w:numId w:val="1005"/>
        </w:numPr>
      </w:pPr>
      <w:r>
        <w:rPr>
          <w:b/>
          <w:bCs/>
        </w:rPr>
        <w:t xml:space="preserve">Prompt provenance logging</w:t>
      </w:r>
      <w:r>
        <w:t xml:space="preserve"> </w:t>
      </w:r>
      <w:r>
        <w:t xml:space="preserve">– Maintain a tamper‑evident ledger of all instructions, context updates and external inputs, including source models in latent communication.</w:t>
      </w:r>
    </w:p>
    <w:p>
      <w:pPr>
        <w:pStyle w:val="Compact"/>
        <w:numPr>
          <w:ilvl w:val="0"/>
          <w:numId w:val="1005"/>
        </w:numPr>
      </w:pPr>
      <w:r>
        <w:rPr>
          <w:b/>
          <w:bCs/>
        </w:rPr>
        <w:t xml:space="preserve">Regular red‑teaming and testing</w:t>
      </w:r>
      <w:r>
        <w:t xml:space="preserve"> </w:t>
      </w:r>
      <w:r>
        <w:t xml:space="preserve">– Use frameworks like the</w:t>
      </w:r>
      <w:r>
        <w:t xml:space="preserve"> </w:t>
      </w:r>
      <w:r>
        <w:rPr>
          <w:i/>
          <w:iCs/>
        </w:rPr>
        <w:t xml:space="preserve">proactive interference</w:t>
      </w:r>
      <w:r>
        <w:t xml:space="preserve"> </w:t>
      </w:r>
      <w:r>
        <w:t xml:space="preserve">benchmark to test working memory limits and ensure the system can suppress irrelevant context; run adversarial tests such as injecting subtle malicious phrases into compressed prompts.</w:t>
      </w:r>
    </w:p>
    <w:p>
      <w:pPr>
        <w:pStyle w:val="Compact"/>
        <w:numPr>
          <w:ilvl w:val="0"/>
          <w:numId w:val="1005"/>
        </w:numPr>
      </w:pPr>
      <w:r>
        <w:rPr>
          <w:b/>
          <w:bCs/>
        </w:rPr>
        <w:t xml:space="preserve">Compliance with emerging standards</w:t>
      </w:r>
      <w:r>
        <w:t xml:space="preserve"> </w:t>
      </w:r>
      <w:r>
        <w:t xml:space="preserve">– Adopt controls from NIST’s AI Risk Management Framework and the ISO 42001 standard, which mandate prompt‑injection controls and continuous monitoring of AI operations</w:t>
      </w:r>
      <w:hyperlink r:id="rId47">
        <w:r>
          <w:rPr>
            <w:rStyle w:val="Hyperlink"/>
          </w:rPr>
          <w:t xml:space="preserve">[15]</w:t>
        </w:r>
      </w:hyperlink>
      <w:r>
        <w:t xml:space="preserve">.</w:t>
      </w:r>
    </w:p>
    <w:bookmarkEnd w:id="48"/>
    <w:bookmarkStart w:id="49" w:name="Xcdf701ed4a2549ba0f2a6fcad8f19c916048ef0"/>
    <w:p>
      <w:pPr>
        <w:pStyle w:val="Heading2"/>
      </w:pPr>
      <w:r>
        <w:t xml:space="preserve">5 Unifying Equilibrium and Interference Practices: Recommendations</w:t>
      </w:r>
    </w:p>
    <w:p>
      <w:pPr>
        <w:pStyle w:val="FirstParagraph"/>
      </w:pPr>
      <w:r>
        <w:t xml:space="preserve">The following recommendations blend the strengths of the original</w:t>
      </w:r>
      <w:r>
        <w:t xml:space="preserve"> </w:t>
      </w:r>
      <w:r>
        <w:rPr>
          <w:i/>
          <w:iCs/>
        </w:rPr>
        <w:t xml:space="preserve">Prompt Equilibrium</w:t>
      </w:r>
      <w:r>
        <w:t xml:space="preserve"> </w:t>
      </w:r>
      <w:r>
        <w:t xml:space="preserve">framework with lessons from new research:</w:t>
      </w:r>
    </w:p>
    <w:p>
      <w:pPr>
        <w:numPr>
          <w:ilvl w:val="0"/>
          <w:numId w:val="1006"/>
        </w:numPr>
      </w:pPr>
      <w:r>
        <w:rPr>
          <w:b/>
          <w:bCs/>
        </w:rPr>
        <w:t xml:space="preserve">Expand the ledger system into a context playbook</w:t>
      </w:r>
      <w:r>
        <w:t xml:space="preserve"> </w:t>
      </w:r>
      <w:r>
        <w:t xml:space="preserve">– Adopt ACE principles by treating each ledger as an evolving module. Each entry should include metadata such as source (user, agent, external model), timestamp and importance. When context updates occur, append rather than overwrite to maintain traceability, then use the Compressor to summarize only when necessary. This prevents context collapse while preserving detailed knowledge</w:t>
      </w:r>
      <w:hyperlink r:id="rId24">
        <w:r>
          <w:rPr>
            <w:rStyle w:val="Hyperlink"/>
          </w:rPr>
          <w:t xml:space="preserve">[1]</w:t>
        </w:r>
      </w:hyperlink>
      <w:r>
        <w:t xml:space="preserve">.</w:t>
      </w:r>
    </w:p>
    <w:p>
      <w:pPr>
        <w:numPr>
          <w:ilvl w:val="0"/>
          <w:numId w:val="1006"/>
        </w:numPr>
      </w:pPr>
      <w:r>
        <w:rPr>
          <w:b/>
          <w:bCs/>
        </w:rPr>
        <w:t xml:space="preserve">Introduce additional agents</w:t>
      </w:r>
      <w:r>
        <w:t xml:space="preserve"> </w:t>
      </w:r>
      <w:r>
        <w:t xml:space="preserve">– Beyond the original five roles, add a</w:t>
      </w:r>
      <w:r>
        <w:t xml:space="preserve"> </w:t>
      </w:r>
      <w:r>
        <w:rPr>
          <w:b/>
          <w:bCs/>
        </w:rPr>
        <w:t xml:space="preserve">Verifier</w:t>
      </w:r>
      <w:r>
        <w:t xml:space="preserve"> </w:t>
      </w:r>
      <w:r>
        <w:t xml:space="preserve">agent to run self‑verification loops, a</w:t>
      </w:r>
      <w:r>
        <w:t xml:space="preserve"> </w:t>
      </w:r>
      <w:r>
        <w:rPr>
          <w:b/>
          <w:bCs/>
        </w:rPr>
        <w:t xml:space="preserve">Curator</w:t>
      </w:r>
      <w:r>
        <w:t xml:space="preserve"> </w:t>
      </w:r>
      <w:r>
        <w:t xml:space="preserve">to decide what enters the long‑term ledger, and a</w:t>
      </w:r>
      <w:r>
        <w:t xml:space="preserve"> </w:t>
      </w:r>
      <w:r>
        <w:rPr>
          <w:b/>
          <w:bCs/>
        </w:rPr>
        <w:t xml:space="preserve">Security Monitor</w:t>
      </w:r>
      <w:r>
        <w:t xml:space="preserve"> </w:t>
      </w:r>
      <w:r>
        <w:t xml:space="preserve">to scan for prompt injections and compression attacks. Optionally, include a</w:t>
      </w:r>
      <w:r>
        <w:t xml:space="preserve"> </w:t>
      </w:r>
      <w:r>
        <w:rPr>
          <w:b/>
          <w:bCs/>
        </w:rPr>
        <w:t xml:space="preserve">Researcher</w:t>
      </w:r>
      <w:r>
        <w:t xml:space="preserve"> </w:t>
      </w:r>
      <w:r>
        <w:t xml:space="preserve">agent that checks factual claims against external sources when tool use is allowed; it can be deactivated when external calls are unavailable.</w:t>
      </w:r>
    </w:p>
    <w:p>
      <w:pPr>
        <w:numPr>
          <w:ilvl w:val="0"/>
          <w:numId w:val="1006"/>
        </w:numPr>
      </w:pPr>
      <w:r>
        <w:rPr>
          <w:b/>
          <w:bCs/>
        </w:rPr>
        <w:t xml:space="preserve">Incorporate multi‑agent orchestration selectively</w:t>
      </w:r>
      <w:r>
        <w:t xml:space="preserve"> </w:t>
      </w:r>
      <w:r>
        <w:t xml:space="preserve">– Use a CoA‑like workflow for tasks requiring long‑context reasoning: have worker agents process segments and forward evidence, then a manager agent (your Simulator) synthesizes the answer</w:t>
      </w:r>
      <w:hyperlink r:id="rId37">
        <w:r>
          <w:rPr>
            <w:rStyle w:val="Hyperlink"/>
          </w:rPr>
          <w:t xml:space="preserve">[8]</w:t>
        </w:r>
      </w:hyperlink>
      <w:r>
        <w:t xml:space="preserve">. For simpler tasks, maintain the single‑threaded recursion to avoid unnecessary complexity. Always record cross‑agent communications in the ledger with provenance tags.</w:t>
      </w:r>
    </w:p>
    <w:p>
      <w:pPr>
        <w:numPr>
          <w:ilvl w:val="0"/>
          <w:numId w:val="1006"/>
        </w:numPr>
      </w:pPr>
      <w:r>
        <w:rPr>
          <w:b/>
          <w:bCs/>
        </w:rPr>
        <w:t xml:space="preserve">Harden compression routines</w:t>
      </w:r>
      <w:r>
        <w:t xml:space="preserve"> </w:t>
      </w:r>
      <w:r>
        <w:t xml:space="preserve">– Implement integrity checks when compressing prompts or history. Compare compressed outputs to the original using token‑level perplexity or embedding similarity; if the semantic distance exceeds a threshold, regenerate. Consider using multiple compression strategies and applying self‑consistency to select the safest summary</w:t>
      </w:r>
      <w:hyperlink r:id="rId25">
        <w:r>
          <w:rPr>
            <w:rStyle w:val="Hyperlink"/>
          </w:rPr>
          <w:t xml:space="preserve">[3]</w:t>
        </w:r>
      </w:hyperlink>
      <w:r>
        <w:t xml:space="preserve">.</w:t>
      </w:r>
    </w:p>
    <w:p>
      <w:pPr>
        <w:numPr>
          <w:ilvl w:val="0"/>
          <w:numId w:val="1006"/>
        </w:numPr>
      </w:pPr>
      <w:r>
        <w:rPr>
          <w:b/>
          <w:bCs/>
        </w:rPr>
        <w:t xml:space="preserve">Prepare for latent communication</w:t>
      </w:r>
      <w:r>
        <w:t xml:space="preserve"> </w:t>
      </w:r>
      <w:r>
        <w:t xml:space="preserve">– If using advanced frameworks that fuse KV‑caches or exchange vectors between models, treat latent inputs like external files. They should be decoded, tagged with origin metadata and reviewed by the security agent before being integrated. Develop gating mechanisms to prevent hidden instructions from entering the reasoning chain</w:t>
      </w:r>
      <w:hyperlink r:id="rId41">
        <w:r>
          <w:rPr>
            <w:rStyle w:val="Hyperlink"/>
          </w:rPr>
          <w:t xml:space="preserve">[12]</w:t>
        </w:r>
      </w:hyperlink>
      <w:r>
        <w:t xml:space="preserve">. This parallels the ledger’s role in natural language prompting, ensuring that hidden vectors cannot override constraints.</w:t>
      </w:r>
    </w:p>
    <w:p>
      <w:pPr>
        <w:numPr>
          <w:ilvl w:val="0"/>
          <w:numId w:val="1006"/>
        </w:numPr>
      </w:pPr>
      <w:r>
        <w:rPr>
          <w:b/>
          <w:bCs/>
        </w:rPr>
        <w:t xml:space="preserve">Manage intrinsic biases and memory limits</w:t>
      </w:r>
      <w:r>
        <w:t xml:space="preserve"> </w:t>
      </w:r>
      <w:r>
        <w:t xml:space="preserve">– Recognize that LLMs have working‑memory bottlenecks and positional biases</w:t>
      </w:r>
      <w:hyperlink r:id="rId29">
        <w:r>
          <w:rPr>
            <w:rStyle w:val="Hyperlink"/>
          </w:rPr>
          <w:t xml:space="preserve">[5]</w:t>
        </w:r>
      </w:hyperlink>
      <w:hyperlink r:id="rId32">
        <w:r>
          <w:rPr>
            <w:rStyle w:val="Hyperlink"/>
          </w:rPr>
          <w:t xml:space="preserve">[7]</w:t>
        </w:r>
      </w:hyperlink>
      <w:r>
        <w:t xml:space="preserve">. Mitigate these by refreshing critical instructions at the right time in the conversation, using explicit repetition and placing important constraints near the end of the prompt. Use summarization to reduce earlier clutter while preserving semantic weight, and instruct the model to explicitly ignore distractors when necessary.</w:t>
      </w:r>
    </w:p>
    <w:bookmarkEnd w:id="49"/>
    <w:bookmarkStart w:id="50" w:name="conclusion"/>
    <w:p>
      <w:pPr>
        <w:pStyle w:val="Heading2"/>
      </w:pPr>
      <w:r>
        <w:t xml:space="preserve">Conclusion</w:t>
      </w:r>
    </w:p>
    <w:p>
      <w:pPr>
        <w:pStyle w:val="FirstParagraph"/>
      </w:pPr>
      <w:r>
        <w:t xml:space="preserve">The original documents laid a solid foundation for building stable, harmonious prompt systems and detecting semantic interference. Six months later, the field has moved rapidly.</w:t>
      </w:r>
      <w:r>
        <w:t xml:space="preserve"> </w:t>
      </w:r>
      <w:r>
        <w:rPr>
          <w:b/>
          <w:bCs/>
        </w:rPr>
        <w:t xml:space="preserve">Context engineering</w:t>
      </w:r>
      <w:r>
        <w:t xml:space="preserve"> </w:t>
      </w:r>
      <w:r>
        <w:t xml:space="preserve">has emerged as the core discipline for agentic AI, emphasizing evolving playbooks over static prompts</w:t>
      </w:r>
      <w:hyperlink r:id="rId24">
        <w:r>
          <w:rPr>
            <w:rStyle w:val="Hyperlink"/>
          </w:rPr>
          <w:t xml:space="preserve">[1]</w:t>
        </w:r>
      </w:hyperlink>
      <w:r>
        <w:t xml:space="preserve">.</w:t>
      </w:r>
      <w:r>
        <w:t xml:space="preserve"> </w:t>
      </w:r>
      <w:r>
        <w:rPr>
          <w:b/>
          <w:bCs/>
        </w:rPr>
        <w:t xml:space="preserve">Multi‑agent collaboration</w:t>
      </w:r>
      <w:r>
        <w:t xml:space="preserve"> </w:t>
      </w:r>
      <w:r>
        <w:t xml:space="preserve">is now more sophisticated, with frameworks like Chain‑of‑Agents achieving superior performance on long‑context tasks</w:t>
      </w:r>
      <w:hyperlink r:id="rId37">
        <w:r>
          <w:rPr>
            <w:rStyle w:val="Hyperlink"/>
          </w:rPr>
          <w:t xml:space="preserve">[8]</w:t>
        </w:r>
      </w:hyperlink>
      <w:r>
        <w:t xml:space="preserve">, yet researchers caution against superficial multi‑agent implementations</w:t>
      </w:r>
      <w:hyperlink r:id="rId40">
        <w:r>
          <w:rPr>
            <w:rStyle w:val="Hyperlink"/>
          </w:rPr>
          <w:t xml:space="preserve">[11]</w:t>
        </w:r>
      </w:hyperlink>
      <w:r>
        <w:t xml:space="preserve">.</w:t>
      </w:r>
      <w:r>
        <w:t xml:space="preserve"> </w:t>
      </w:r>
      <w:r>
        <w:rPr>
          <w:b/>
          <w:bCs/>
        </w:rPr>
        <w:t xml:space="preserve">Security</w:t>
      </w:r>
      <w:r>
        <w:t xml:space="preserve"> </w:t>
      </w:r>
      <w:r>
        <w:t xml:space="preserve">remains paramount, with new attack surfaces arising from compression modules and latent communications</w:t>
      </w:r>
      <w:hyperlink r:id="rId25">
        <w:r>
          <w:rPr>
            <w:rStyle w:val="Hyperlink"/>
          </w:rPr>
          <w:t xml:space="preserve">[3]</w:t>
        </w:r>
      </w:hyperlink>
      <w:hyperlink r:id="rId30">
        <w:r>
          <w:rPr>
            <w:rStyle w:val="Hyperlink"/>
          </w:rPr>
          <w:t xml:space="preserve">[6]</w:t>
        </w:r>
      </w:hyperlink>
      <w:r>
        <w:t xml:space="preserve">. Integrating these insights, the updated</w:t>
      </w:r>
      <w:r>
        <w:t xml:space="preserve"> </w:t>
      </w:r>
      <w:r>
        <w:rPr>
          <w:b/>
          <w:bCs/>
        </w:rPr>
        <w:t xml:space="preserve">Prompt Equilibrium Framework</w:t>
      </w:r>
      <w:r>
        <w:t xml:space="preserve"> </w:t>
      </w:r>
      <w:r>
        <w:t xml:space="preserve">should evolve into a modular, context‑aware system: one that records and manages its own memory, coordinates multiple agents when beneficial, verifies itself against drift and injection, and is prepared to interact safely with other models through latent channels. By embracing context playbooks, layered guardrails and multi‑agent orchestration judiciously, we can maintain equilibrium and harmony in an increasingly complex AI landscape.</w:t>
      </w:r>
    </w:p>
    <w:bookmarkEnd w:id="50"/>
    <w:bookmarkEnd w:id="51"/>
    <w:bookmarkEnd w:id="52"/>
    <w:p>
      <w:r>
        <w:pict>
          <v:rect style="width:0;height:1.5pt" o:hralign="center" o:hrstd="t" o:hr="t"/>
        </w:pict>
      </w:r>
    </w:p>
    <w:bookmarkStart w:id="64" w:name="citations"/>
    <w:p>
      <w:pPr>
        <w:pStyle w:val="FirstParagraph"/>
      </w:pPr>
      <w:hyperlink r:id="rId24">
        <w:r>
          <w:rPr>
            <w:rStyle w:val="Hyperlink"/>
          </w:rPr>
          <w:t xml:space="preserve">[1]</w:t>
        </w:r>
      </w:hyperlink>
      <w:r>
        <w:t xml:space="preserve"> </w:t>
      </w:r>
      <w:hyperlink r:id="rId24">
        <w:r>
          <w:rPr>
            <w:rStyle w:val="Hyperlink"/>
          </w:rPr>
          <w:t xml:space="preserve">[2]</w:t>
        </w:r>
      </w:hyperlink>
      <w:r>
        <w:t xml:space="preserve"> </w:t>
      </w:r>
      <w:r>
        <w:t xml:space="preserve">Agentic Context Engineering: The Complete 2025 Guide for AI Leaders &amp; Researchers - Sundeep Teki</w:t>
      </w:r>
    </w:p>
    <w:p>
      <w:pPr>
        <w:pStyle w:val="BodyText"/>
      </w:pPr>
      <w:hyperlink r:id="rId53">
        <w:r>
          <w:rPr>
            <w:rStyle w:val="Hyperlink"/>
          </w:rPr>
          <w:t xml:space="preserve">https://www.sundeepteki.org/blog/agentic-context-engineering</w:t>
        </w:r>
      </w:hyperlink>
    </w:p>
    <w:p>
      <w:pPr>
        <w:pStyle w:val="BodyText"/>
      </w:pPr>
      <w:hyperlink r:id="rId25">
        <w:r>
          <w:rPr>
            <w:rStyle w:val="Hyperlink"/>
          </w:rPr>
          <w:t xml:space="preserve">[3]</w:t>
        </w:r>
      </w:hyperlink>
      <w:r>
        <w:t xml:space="preserve"> </w:t>
      </w:r>
      <w:r>
        <w:t xml:space="preserve">CompressionAttack: Exploiting Prompt Compression as a New Attack Surface in LLM-Powered Agents</w:t>
      </w:r>
    </w:p>
    <w:p>
      <w:pPr>
        <w:pStyle w:val="BodyText"/>
      </w:pPr>
      <w:hyperlink r:id="rId54">
        <w:r>
          <w:rPr>
            <w:rStyle w:val="Hyperlink"/>
          </w:rPr>
          <w:t xml:space="preserve">https://arxiv.org/html/2510.22963v2</w:t>
        </w:r>
      </w:hyperlink>
    </w:p>
    <w:p>
      <w:pPr>
        <w:pStyle w:val="BodyText"/>
      </w:pPr>
      <w:hyperlink r:id="rId26">
        <w:r>
          <w:rPr>
            <w:rStyle w:val="Hyperlink"/>
          </w:rPr>
          <w:t xml:space="preserve">[4]</w:t>
        </w:r>
      </w:hyperlink>
      <w:r>
        <w:t xml:space="preserve"> </w:t>
      </w:r>
      <w:r>
        <w:t xml:space="preserve">(PDF) Semantic Resonance Alignment in Transformer Architectures: Self-Sustained Representational Equilibrium within Large Language Models</w:t>
      </w:r>
    </w:p>
    <w:p>
      <w:pPr>
        <w:pStyle w:val="BodyText"/>
      </w:pPr>
      <w:hyperlink r:id="rId55">
        <w:r>
          <w:rPr>
            <w:rStyle w:val="Hyperlink"/>
          </w:rPr>
          <w:t xml:space="preserve">https://www.researchgate.net/publication/397515011_Semantic_Resonance_Alignment_in_Transformer_Architectures_Self-Sustained_Representational_Equilibrium_within_Large_Language_Models</w:t>
        </w:r>
      </w:hyperlink>
    </w:p>
    <w:p>
      <w:pPr>
        <w:pStyle w:val="BodyText"/>
      </w:pPr>
      <w:hyperlink r:id="rId29">
        <w:r>
          <w:rPr>
            <w:rStyle w:val="Hyperlink"/>
          </w:rPr>
          <w:t xml:space="preserve">[5]</w:t>
        </w:r>
      </w:hyperlink>
      <w:r>
        <w:t xml:space="preserve"> </w:t>
      </w:r>
      <w:r>
        <w:t xml:space="preserve">[2506.08184] Unable to Forget: Proactive Interference Reveals Working Memory Limits in LLMs Beyond Context Length</w:t>
      </w:r>
    </w:p>
    <w:p>
      <w:pPr>
        <w:pStyle w:val="BodyText"/>
      </w:pPr>
      <w:hyperlink r:id="rId56">
        <w:r>
          <w:rPr>
            <w:rStyle w:val="Hyperlink"/>
          </w:rPr>
          <w:t xml:space="preserve">https://arxiv.org/abs/2506.08184</w:t>
        </w:r>
      </w:hyperlink>
    </w:p>
    <w:p>
      <w:pPr>
        <w:pStyle w:val="BodyText"/>
      </w:pPr>
      <w:hyperlink r:id="rId30">
        <w:r>
          <w:rPr>
            <w:rStyle w:val="Hyperlink"/>
          </w:rPr>
          <w:t xml:space="preserve">[6]</w:t>
        </w:r>
      </w:hyperlink>
      <w:r>
        <w:t xml:space="preserve"> </w:t>
      </w:r>
      <w:r>
        <w:t xml:space="preserve">(PDF) Targeted injection attack toward the semantic layer of large language models</w:t>
      </w:r>
    </w:p>
    <w:p>
      <w:pPr>
        <w:pStyle w:val="BodyText"/>
      </w:pPr>
      <w:hyperlink r:id="rId57">
        <w:r>
          <w:rPr>
            <w:rStyle w:val="Hyperlink"/>
          </w:rPr>
          <w:t xml:space="preserve">https://www.researchgate.net/publication/397503061_Targeted_injection_attack_toward_the_semantic_layer_of_large_language_models</w:t>
        </w:r>
      </w:hyperlink>
    </w:p>
    <w:p>
      <w:pPr>
        <w:pStyle w:val="BodyText"/>
      </w:pPr>
      <w:hyperlink r:id="rId32">
        <w:r>
          <w:rPr>
            <w:rStyle w:val="Hyperlink"/>
          </w:rPr>
          <w:t xml:space="preserve">[7]</w:t>
        </w:r>
      </w:hyperlink>
      <w:r>
        <w:t xml:space="preserve"> </w:t>
      </w:r>
      <w:r>
        <w:t xml:space="preserve">2025.findings-emnlp.458.pdf</w:t>
      </w:r>
    </w:p>
    <w:p>
      <w:pPr>
        <w:pStyle w:val="BodyText"/>
      </w:pPr>
      <w:hyperlink r:id="rId58">
        <w:r>
          <w:rPr>
            <w:rStyle w:val="Hyperlink"/>
          </w:rPr>
          <w:t xml:space="preserve">https://aclanthology.org/2025.findings-emnlp.458.pdf</w:t>
        </w:r>
      </w:hyperlink>
    </w:p>
    <w:p>
      <w:pPr>
        <w:pStyle w:val="BodyText"/>
      </w:pPr>
      <w:hyperlink r:id="rId37">
        <w:r>
          <w:rPr>
            <w:rStyle w:val="Hyperlink"/>
          </w:rPr>
          <w:t xml:space="preserve">[8]</w:t>
        </w:r>
      </w:hyperlink>
      <w:r>
        <w:t xml:space="preserve"> </w:t>
      </w:r>
      <w:hyperlink r:id="rId38">
        <w:r>
          <w:rPr>
            <w:rStyle w:val="Hyperlink"/>
          </w:rPr>
          <w:t xml:space="preserve">[9]</w:t>
        </w:r>
      </w:hyperlink>
      <w:r>
        <w:t xml:space="preserve"> </w:t>
      </w:r>
      <w:hyperlink r:id="rId39">
        <w:r>
          <w:rPr>
            <w:rStyle w:val="Hyperlink"/>
          </w:rPr>
          <w:t xml:space="preserve">[10]</w:t>
        </w:r>
      </w:hyperlink>
      <w:r>
        <w:t xml:space="preserve"> </w:t>
      </w:r>
      <w:r>
        <w:t xml:space="preserve">Chain of Agents: Large language models collaborating on long-context tasks</w:t>
      </w:r>
    </w:p>
    <w:p>
      <w:pPr>
        <w:pStyle w:val="BodyText"/>
      </w:pPr>
      <w:hyperlink r:id="rId59">
        <w:r>
          <w:rPr>
            <w:rStyle w:val="Hyperlink"/>
          </w:rPr>
          <w:t xml:space="preserve">https://research.google/blog/chain-of-agents-large-language-models-collaborating-on-long-context-tasks/</w:t>
        </w:r>
      </w:hyperlink>
    </w:p>
    <w:p>
      <w:pPr>
        <w:pStyle w:val="BodyText"/>
      </w:pPr>
      <w:hyperlink r:id="rId40">
        <w:r>
          <w:rPr>
            <w:rStyle w:val="Hyperlink"/>
          </w:rPr>
          <w:t xml:space="preserve">[11]</w:t>
        </w:r>
      </w:hyperlink>
      <w:r>
        <w:t xml:space="preserve"> </w:t>
      </w:r>
      <w:r>
        <w:t xml:space="preserve">Large Language Models Miss the Multi-Agent Mark</w:t>
      </w:r>
    </w:p>
    <w:p>
      <w:pPr>
        <w:pStyle w:val="BodyText"/>
      </w:pPr>
      <w:hyperlink r:id="rId60">
        <w:r>
          <w:rPr>
            <w:rStyle w:val="Hyperlink"/>
          </w:rPr>
          <w:t xml:space="preserve">https://arxiv.org/pdf/2505.21298</w:t>
        </w:r>
      </w:hyperlink>
    </w:p>
    <w:p>
      <w:pPr>
        <w:pStyle w:val="BodyText"/>
      </w:pPr>
      <w:hyperlink r:id="rId41">
        <w:r>
          <w:rPr>
            <w:rStyle w:val="Hyperlink"/>
          </w:rPr>
          <w:t xml:space="preserve">[12]</w:t>
        </w:r>
      </w:hyperlink>
      <w:r>
        <w:t xml:space="preserve"> </w:t>
      </w:r>
      <w:hyperlink r:id="rId42">
        <w:r>
          <w:rPr>
            <w:rStyle w:val="Hyperlink"/>
          </w:rPr>
          <w:t xml:space="preserve">[13]</w:t>
        </w:r>
      </w:hyperlink>
      <w:r>
        <w:t xml:space="preserve"> </w:t>
      </w:r>
      <w:r>
        <w:t xml:space="preserve">[2510.03215] Cache-to-Cache: Direct Semantic Communication Between Large Language Models</w:t>
      </w:r>
    </w:p>
    <w:p>
      <w:pPr>
        <w:pStyle w:val="BodyText"/>
      </w:pPr>
      <w:hyperlink r:id="rId61">
        <w:r>
          <w:rPr>
            <w:rStyle w:val="Hyperlink"/>
          </w:rPr>
          <w:t xml:space="preserve">https://arxiv.org/abs/2510.03215</w:t>
        </w:r>
      </w:hyperlink>
    </w:p>
    <w:p>
      <w:pPr>
        <w:pStyle w:val="BodyText"/>
      </w:pPr>
      <w:hyperlink r:id="rId43">
        <w:r>
          <w:rPr>
            <w:rStyle w:val="Hyperlink"/>
          </w:rPr>
          <w:t xml:space="preserve">[14]</w:t>
        </w:r>
      </w:hyperlink>
      <w:r>
        <w:t xml:space="preserve"> </w:t>
      </w:r>
      <w:r>
        <w:t xml:space="preserve">Direct Semantic Communication Between Large Language Models via Vector Translation</w:t>
      </w:r>
    </w:p>
    <w:p>
      <w:pPr>
        <w:pStyle w:val="BodyText"/>
      </w:pPr>
      <w:hyperlink r:id="rId62">
        <w:r>
          <w:rPr>
            <w:rStyle w:val="Hyperlink"/>
          </w:rPr>
          <w:t xml:space="preserve">https://arxiv.org/html/2511.03945v1</w:t>
        </w:r>
      </w:hyperlink>
    </w:p>
    <w:p>
      <w:pPr>
        <w:pStyle w:val="BodyText"/>
      </w:pPr>
      <w:hyperlink r:id="rId47">
        <w:r>
          <w:rPr>
            <w:rStyle w:val="Hyperlink"/>
          </w:rPr>
          <w:t xml:space="preserve">[15]</w:t>
        </w:r>
      </w:hyperlink>
      <w:r>
        <w:t xml:space="preserve"> </w:t>
      </w:r>
      <w:r>
        <w:t xml:space="preserve">Prompt Injection Attacks: The Most Common AI Exploit in 2025</w:t>
      </w:r>
    </w:p>
    <w:p>
      <w:pPr>
        <w:pStyle w:val="BodyText"/>
      </w:pPr>
      <w:hyperlink r:id="rId63">
        <w:r>
          <w:rPr>
            <w:rStyle w:val="Hyperlink"/>
          </w:rPr>
          <w:t xml:space="preserve">https://www.obsidiansecurity.com/blog/prompt-injection</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aclanthology.org/2025.findings-emnlp.458.pdf" TargetMode="External" /><Relationship Type="http://schemas.openxmlformats.org/officeDocument/2006/relationships/hyperlink" Id="rId32" Target="https://aclanthology.org/2025.findings-emnlp.458.pdf#:~:text=guage%20models%20,free" TargetMode="External" /><Relationship Type="http://schemas.openxmlformats.org/officeDocument/2006/relationships/hyperlink" Id="rId56" Target="https://arxiv.org/abs/2506.08184" TargetMode="External" /><Relationship Type="http://schemas.openxmlformats.org/officeDocument/2006/relationships/hyperlink" Id="rId29" Target="https://arxiv.org/abs/2506.08184#:~:text=,This%20calls%20for%20approaches" TargetMode="External" /><Relationship Type="http://schemas.openxmlformats.org/officeDocument/2006/relationships/hyperlink" Id="rId61" Target="https://arxiv.org/abs/2510.03215" TargetMode="External" /><Relationship Type="http://schemas.openxmlformats.org/officeDocument/2006/relationships/hyperlink" Id="rId41" Target="https://arxiv.org/abs/2510.03215#:~:text=%3E%20Abstract%3AMulti,Our" TargetMode="External" /><Relationship Type="http://schemas.openxmlformats.org/officeDocument/2006/relationships/hyperlink" Id="rId42" Target="https://arxiv.org/abs/2510.03215#:~:text=%3E%20Abstract%3AMulti,available%20at%20this%20https%20URL" TargetMode="External" /><Relationship Type="http://schemas.openxmlformats.org/officeDocument/2006/relationships/hyperlink" Id="rId54" Target="https://arxiv.org/html/2510.22963v2" TargetMode="External" /><Relationship Type="http://schemas.openxmlformats.org/officeDocument/2006/relationships/hyperlink" Id="rId25" Target="https://arxiv.org/html/2510.22963v2#:~:text=efficiency%20by%20reducing%20the%20input,of%20the%20prompt%20compression%20module" TargetMode="External" /><Relationship Type="http://schemas.openxmlformats.org/officeDocument/2006/relationships/hyperlink" Id="rId62" Target="https://arxiv.org/html/2511.03945v1" TargetMode="External" /><Relationship Type="http://schemas.openxmlformats.org/officeDocument/2006/relationships/hyperlink" Id="rId43" Target="https://arxiv.org/html/2511.03945v1#:~:text=language%20models%20,AI%20systems%20that%20share%20meaning" TargetMode="External" /><Relationship Type="http://schemas.openxmlformats.org/officeDocument/2006/relationships/hyperlink" Id="rId60" Target="https://arxiv.org/pdf/2505.21298" TargetMode="External" /><Relationship Type="http://schemas.openxmlformats.org/officeDocument/2006/relationships/hyperlink" Id="rId40" Target="https://arxiv.org/pdf/2505.21298#:~:text=Recent%20interest%20in%20Multi,avoid%20mischaracterisation%20and%20missed%20opportunities" TargetMode="External" /><Relationship Type="http://schemas.openxmlformats.org/officeDocument/2006/relationships/hyperlink" Id="rId59" Target="https://research.google/blog/chain-of-agents-large-language-models-collaborating-on-long-context-tasks/" TargetMode="External" /><Relationship Type="http://schemas.openxmlformats.org/officeDocument/2006/relationships/hyperlink" Id="rId37" Target="https://research.google/blog/chain-of-agents-large-language-models-collaborating-on-long-context-tasks/#:~:text=CoA%20contains%20two%20stages,Here%20is%20a%20motivating%20example" TargetMode="External" /><Relationship Type="http://schemas.openxmlformats.org/officeDocument/2006/relationships/hyperlink" Id="rId39" Target="https://research.google/blog/chain-of-agents-large-language-models-collaborating-on-long-context-tasks/#:~:text=Comparison%20with%20long%20context%20LLMs" TargetMode="External" /><Relationship Type="http://schemas.openxmlformats.org/officeDocument/2006/relationships/hyperlink" Id="rId38" Target="https://research.google/blog/chain-of-agents-large-language-models-collaborating-on-long-context-tasks/#:~:text=To%20illustrate%20the%20utility%20of,until%20reaching%20the%20window%20limit" TargetMode="External" /><Relationship Type="http://schemas.openxmlformats.org/officeDocument/2006/relationships/hyperlink" Id="rId63" Target="https://www.obsidiansecurity.com/blog/prompt-injection" TargetMode="External" /><Relationship Type="http://schemas.openxmlformats.org/officeDocument/2006/relationships/hyperlink" Id="rId47" Target="https://www.obsidiansecurity.com/blog/prompt-injection#:~:text=In%20March%202025%2C%20a%20Fortune,far%20from%20an%20isolated%20case" TargetMode="External" /><Relationship Type="http://schemas.openxmlformats.org/officeDocument/2006/relationships/hyperlink" Id="rId57" Target="https://www.researchgate.net/publication/397503061_Targeted_injection_attack_toward_the_semantic_layer_of_large_language_models" TargetMode="External" /><Relationship Type="http://schemas.openxmlformats.org/officeDocument/2006/relationships/hyperlink" Id="rId30" Target="https://www.researchgate.net/publication/397503061_Targeted_injection_attack_toward_the_semantic_layer_of_large_language_models#:~:text=semantic%20layer%20of%20Large%20Language,swarm%20oscillating%20environment%20in%20human" TargetMode="External" /><Relationship Type="http://schemas.openxmlformats.org/officeDocument/2006/relationships/hyperlink" Id="rId55" Target="https://www.researchgate.net/publication/397515011_Semantic_Resonance_Alignment_in_Transformer_Architectures_Self-Sustained_Representational_Equilibrium_within_Large_Language_Models" TargetMode="External" /><Relationship Type="http://schemas.openxmlformats.org/officeDocument/2006/relationships/hyperlink" Id="rId26" Target="https://www.researchgate.net/publication/397515011_Semantic_Resonance_Alignment_in_Transformer_Architectures_Self-Sustained_Representational_Equilibrium_within_Large_Language_Models#:~:text=Abstract%20and%20Figures" TargetMode="External" /><Relationship Type="http://schemas.openxmlformats.org/officeDocument/2006/relationships/hyperlink" Id="rId53" Target="https://www.sundeepteki.org/blog/agentic-context-engineering" TargetMode="External" /><Relationship Type="http://schemas.openxmlformats.org/officeDocument/2006/relationships/hyperlink" Id="rId24" Target="https://www.sundeepteki.org/blog/agentic-context-engineering#:~:text=Brevity%20Bias%3A%20Optimization%20systems%20collapse,and%20can%20autonomously%20distill%20relevance" TargetMode="External" /></Relationships>
</file>

<file path=word/_rels/footnotes.xml.rels><?xml version="1.0" encoding="UTF-8"?><Relationships xmlns="http://schemas.openxmlformats.org/package/2006/relationships"><Relationship Type="http://schemas.openxmlformats.org/officeDocument/2006/relationships/hyperlink" Id="rId58" Target="https://aclanthology.org/2025.findings-emnlp.458.pdf" TargetMode="External" /><Relationship Type="http://schemas.openxmlformats.org/officeDocument/2006/relationships/hyperlink" Id="rId32" Target="https://aclanthology.org/2025.findings-emnlp.458.pdf#:~:text=guage%20models%20,free" TargetMode="External" /><Relationship Type="http://schemas.openxmlformats.org/officeDocument/2006/relationships/hyperlink" Id="rId56" Target="https://arxiv.org/abs/2506.08184" TargetMode="External" /><Relationship Type="http://schemas.openxmlformats.org/officeDocument/2006/relationships/hyperlink" Id="rId29" Target="https://arxiv.org/abs/2506.08184#:~:text=,This%20calls%20for%20approaches" TargetMode="External" /><Relationship Type="http://schemas.openxmlformats.org/officeDocument/2006/relationships/hyperlink" Id="rId61" Target="https://arxiv.org/abs/2510.03215" TargetMode="External" /><Relationship Type="http://schemas.openxmlformats.org/officeDocument/2006/relationships/hyperlink" Id="rId41" Target="https://arxiv.org/abs/2510.03215#:~:text=%3E%20Abstract%3AMulti,Our" TargetMode="External" /><Relationship Type="http://schemas.openxmlformats.org/officeDocument/2006/relationships/hyperlink" Id="rId42" Target="https://arxiv.org/abs/2510.03215#:~:text=%3E%20Abstract%3AMulti,available%20at%20this%20https%20URL" TargetMode="External" /><Relationship Type="http://schemas.openxmlformats.org/officeDocument/2006/relationships/hyperlink" Id="rId54" Target="https://arxiv.org/html/2510.22963v2" TargetMode="External" /><Relationship Type="http://schemas.openxmlformats.org/officeDocument/2006/relationships/hyperlink" Id="rId25" Target="https://arxiv.org/html/2510.22963v2#:~:text=efficiency%20by%20reducing%20the%20input,of%20the%20prompt%20compression%20module" TargetMode="External" /><Relationship Type="http://schemas.openxmlformats.org/officeDocument/2006/relationships/hyperlink" Id="rId62" Target="https://arxiv.org/html/2511.03945v1" TargetMode="External" /><Relationship Type="http://schemas.openxmlformats.org/officeDocument/2006/relationships/hyperlink" Id="rId43" Target="https://arxiv.org/html/2511.03945v1#:~:text=language%20models%20,AI%20systems%20that%20share%20meaning" TargetMode="External" /><Relationship Type="http://schemas.openxmlformats.org/officeDocument/2006/relationships/hyperlink" Id="rId60" Target="https://arxiv.org/pdf/2505.21298" TargetMode="External" /><Relationship Type="http://schemas.openxmlformats.org/officeDocument/2006/relationships/hyperlink" Id="rId40" Target="https://arxiv.org/pdf/2505.21298#:~:text=Recent%20interest%20in%20Multi,avoid%20mischaracterisation%20and%20missed%20opportunities" TargetMode="External" /><Relationship Type="http://schemas.openxmlformats.org/officeDocument/2006/relationships/hyperlink" Id="rId59" Target="https://research.google/blog/chain-of-agents-large-language-models-collaborating-on-long-context-tasks/" TargetMode="External" /><Relationship Type="http://schemas.openxmlformats.org/officeDocument/2006/relationships/hyperlink" Id="rId37" Target="https://research.google/blog/chain-of-agents-large-language-models-collaborating-on-long-context-tasks/#:~:text=CoA%20contains%20two%20stages,Here%20is%20a%20motivating%20example" TargetMode="External" /><Relationship Type="http://schemas.openxmlformats.org/officeDocument/2006/relationships/hyperlink" Id="rId39" Target="https://research.google/blog/chain-of-agents-large-language-models-collaborating-on-long-context-tasks/#:~:text=Comparison%20with%20long%20context%20LLMs" TargetMode="External" /><Relationship Type="http://schemas.openxmlformats.org/officeDocument/2006/relationships/hyperlink" Id="rId38" Target="https://research.google/blog/chain-of-agents-large-language-models-collaborating-on-long-context-tasks/#:~:text=To%20illustrate%20the%20utility%20of,until%20reaching%20the%20window%20limit" TargetMode="External" /><Relationship Type="http://schemas.openxmlformats.org/officeDocument/2006/relationships/hyperlink" Id="rId63" Target="https://www.obsidiansecurity.com/blog/prompt-injection" TargetMode="External" /><Relationship Type="http://schemas.openxmlformats.org/officeDocument/2006/relationships/hyperlink" Id="rId47" Target="https://www.obsidiansecurity.com/blog/prompt-injection#:~:text=In%20March%202025%2C%20a%20Fortune,far%20from%20an%20isolated%20case" TargetMode="External" /><Relationship Type="http://schemas.openxmlformats.org/officeDocument/2006/relationships/hyperlink" Id="rId57" Target="https://www.researchgate.net/publication/397503061_Targeted_injection_attack_toward_the_semantic_layer_of_large_language_models" TargetMode="External" /><Relationship Type="http://schemas.openxmlformats.org/officeDocument/2006/relationships/hyperlink" Id="rId30" Target="https://www.researchgate.net/publication/397503061_Targeted_injection_attack_toward_the_semantic_layer_of_large_language_models#:~:text=semantic%20layer%20of%20Large%20Language,swarm%20oscillating%20environment%20in%20human" TargetMode="External" /><Relationship Type="http://schemas.openxmlformats.org/officeDocument/2006/relationships/hyperlink" Id="rId55" Target="https://www.researchgate.net/publication/397515011_Semantic_Resonance_Alignment_in_Transformer_Architectures_Self-Sustained_Representational_Equilibrium_within_Large_Language_Models" TargetMode="External" /><Relationship Type="http://schemas.openxmlformats.org/officeDocument/2006/relationships/hyperlink" Id="rId26" Target="https://www.researchgate.net/publication/397515011_Semantic_Resonance_Alignment_in_Transformer_Architectures_Self-Sustained_Representational_Equilibrium_within_Large_Language_Models#:~:text=Abstract%20and%20Figures" TargetMode="External" /><Relationship Type="http://schemas.openxmlformats.org/officeDocument/2006/relationships/hyperlink" Id="rId53" Target="https://www.sundeepteki.org/blog/agentic-context-engineering" TargetMode="External" /><Relationship Type="http://schemas.openxmlformats.org/officeDocument/2006/relationships/hyperlink" Id="rId24" Target="https://www.sundeepteki.org/blog/agentic-context-engineering#:~:text=Brevity%20Bias%3A%20Optimization%20systems%20collapse,and%20can%20autonomously%20distill%20releva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2025-11-19T15:26:23Z</dcterms:created>
  <dcterms:modified xsi:type="dcterms:W3CDTF">2025-11-19T15:26:23Z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