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BrandGuard Prompt Library: Master Plan for Knowledge File Generation</w:t>
      </w:r>
    </w:p>
    <w:bookmarkStart w:id="20" w:name="strategic-purpose"/>
    <w:p>
      <w:pPr>
        <w:pStyle w:val="Heading3"/>
      </w:pPr>
      <w:r>
        <w:t xml:space="preserve">1. Strategic Purpose</w:t>
      </w:r>
    </w:p>
    <w:p>
      <w:pPr>
        <w:pStyle w:val="FirstParagraph"/>
      </w:pPr>
      <w:r>
        <w:t xml:space="preserve">The goal is to replicate the moment in the mid-1990s when companies first realized they needed a domain name and basic website presence—but this time, for the</w:t>
      </w:r>
      <w:r>
        <w:t xml:space="preserve"> </w:t>
      </w:r>
      <w:r>
        <w:rPr>
          <w:b/>
          <w:bCs/>
        </w:rPr>
        <w:t xml:space="preserve">AI ecosystem</w:t>
      </w:r>
      <w:r>
        <w:t xml:space="preserve">. Each BrandGuard GPT acts as an early digital land claim: a self-contained AI presence that embodies, protects, and expands a company’s brand gravity. The prompt library serves as a</w:t>
      </w:r>
      <w:r>
        <w:t xml:space="preserve"> </w:t>
      </w:r>
      <w:r>
        <w:rPr>
          <w:b/>
          <w:bCs/>
        </w:rPr>
        <w:t xml:space="preserve">factory of knowledge files</w:t>
      </w:r>
      <w:r>
        <w:t xml:space="preserve"> </w:t>
      </w:r>
      <w:r>
        <w:t xml:space="preserve">powering those GPTs.</w:t>
      </w:r>
    </w:p>
    <w:bookmarkEnd w:id="20"/>
    <w:bookmarkStart w:id="21" w:name="objective"/>
    <w:p>
      <w:pPr>
        <w:pStyle w:val="Heading3"/>
      </w:pPr>
      <w:r>
        <w:t xml:space="preserve">2. Objective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/>
          <w:bCs/>
        </w:rPr>
        <w:t xml:space="preserve">12–16 structured knowledge files</w:t>
      </w:r>
      <w:r>
        <w:t xml:space="preserve"> </w:t>
      </w:r>
      <w:r>
        <w:t xml:space="preserve">per BrandGuard GPT (11 total brands) — each file between</w:t>
      </w:r>
      <w:r>
        <w:t xml:space="preserve"> </w:t>
      </w:r>
      <w:r>
        <w:rPr>
          <w:b/>
          <w:bCs/>
        </w:rPr>
        <w:t xml:space="preserve">8 and 30 pages</w:t>
      </w:r>
      <w:r>
        <w:t xml:space="preserve"> </w:t>
      </w:r>
      <w:r>
        <w:t xml:space="preserve">in Markdown format, formatted for</w:t>
      </w:r>
      <w:r>
        <w:t xml:space="preserve"> </w:t>
      </w:r>
      <w:r>
        <w:rPr>
          <w:b/>
          <w:bCs/>
        </w:rPr>
        <w:t xml:space="preserve">machine readability</w:t>
      </w:r>
      <w:r>
        <w:t xml:space="preserve"> </w:t>
      </w:r>
      <w:r>
        <w:t xml:space="preserve">and ready for ingestion into the GPT Builder or external RAG pipelines.</w:t>
      </w:r>
    </w:p>
    <w:p>
      <w:pPr>
        <w:pStyle w:val="BodyText"/>
      </w:pPr>
      <w:r>
        <w:t xml:space="preserve">Each file acts as a modular tile of intelligence: deeply researched, citation-rich, and architected for autonomous reasoning.</w:t>
      </w:r>
    </w:p>
    <w:bookmarkEnd w:id="21"/>
    <w:bookmarkStart w:id="32" w:name="universal-prompt-structure"/>
    <w:p>
      <w:pPr>
        <w:pStyle w:val="Heading3"/>
      </w:pPr>
      <w:r>
        <w:t xml:space="preserve">3. Universal Prompt Structure</w:t>
      </w:r>
    </w:p>
    <w:p>
      <w:pPr>
        <w:pStyle w:val="FirstParagraph"/>
      </w:pPr>
      <w:r>
        <w:t xml:space="preserve">Each prompt is built from five consistent parts to maximize clarity and automation: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Role Definition</w:t>
      </w:r>
      <w:r>
        <w:br/>
      </w:r>
      <w:r>
        <w:t xml:space="preserve">Example:</w:t>
      </w:r>
      <w:r>
        <w:t xml:space="preserve"> </w:t>
      </w:r>
      <w:r>
        <w:rPr>
          <w:i/>
          <w:iCs/>
        </w:rPr>
        <w:t xml:space="preserve">“You are a corporate history and product intelligence content agent for [Brand].”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Output Format</w:t>
      </w:r>
      <w:r>
        <w:br/>
      </w:r>
      <w:r>
        <w:t xml:space="preserve">Output:</w:t>
      </w:r>
      <w:r>
        <w:t xml:space="preserve"> </w:t>
      </w:r>
      <w:r>
        <w:rPr>
          <w:b/>
          <w:bCs/>
        </w:rPr>
        <w:t xml:space="preserve">Markdown</w:t>
      </w:r>
      <w:r>
        <w:t xml:space="preserve">, machine-readable, with explicit front matter and section headers.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Front Matter Template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"[TOPIC TITLE]"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topic_key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"[short_topic_key]"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"[YYYY-MM-DD]"</w:t>
      </w:r>
      <w:r>
        <w:br/>
      </w:r>
      <w:r>
        <w:rPr>
          <w:rStyle w:val="PreprocessorTok"/>
        </w:rPr>
        <w:t xml:space="preserve">---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Section Blueprint (Reusable Skeleton)</w:t>
      </w:r>
    </w:p>
    <w:p>
      <w:pPr>
        <w:pStyle w:val="Heading2"/>
        <w:numPr>
          <w:ilvl w:val="1"/>
          <w:numId w:val="1002"/>
        </w:numPr>
      </w:pPr>
      <w:bookmarkStart w:id="22" w:name="introduction-context"/>
      <w:r>
        <w:t xml:space="preserve">Introduction &amp; Context</w:t>
      </w:r>
      <w:bookmarkEnd w:id="22"/>
    </w:p>
    <w:p>
      <w:pPr>
        <w:pStyle w:val="Heading2"/>
        <w:numPr>
          <w:ilvl w:val="1"/>
          <w:numId w:val="1002"/>
        </w:numPr>
      </w:pPr>
      <w:bookmarkStart w:id="23" w:name="company-history-founding-narrative"/>
      <w:r>
        <w:t xml:space="preserve">Company History &amp; Founding Narrative</w:t>
      </w:r>
      <w:bookmarkEnd w:id="23"/>
    </w:p>
    <w:p>
      <w:pPr>
        <w:pStyle w:val="Heading2"/>
        <w:numPr>
          <w:ilvl w:val="1"/>
          <w:numId w:val="1002"/>
        </w:numPr>
      </w:pPr>
      <w:bookmarkStart w:id="24" w:name="brand-identity-product-portfolio"/>
      <w:r>
        <w:t xml:space="preserve">Brand Identity &amp; Product Portfolio</w:t>
      </w:r>
      <w:bookmarkEnd w:id="24"/>
    </w:p>
    <w:p>
      <w:pPr>
        <w:pStyle w:val="Heading2"/>
        <w:numPr>
          <w:ilvl w:val="1"/>
          <w:numId w:val="1002"/>
        </w:numPr>
      </w:pPr>
      <w:bookmarkStart w:id="25" w:name="market-position-competitive-landscape"/>
      <w:r>
        <w:t xml:space="preserve">Market Position &amp; Competitive Landscape</w:t>
      </w:r>
      <w:bookmarkEnd w:id="25"/>
    </w:p>
    <w:p>
      <w:pPr>
        <w:pStyle w:val="Heading2"/>
        <w:numPr>
          <w:ilvl w:val="1"/>
          <w:numId w:val="1002"/>
        </w:numPr>
      </w:pPr>
      <w:bookmarkStart w:id="26" w:name="X31dad235ce3f437890cec42d213b69144911daa"/>
      <w:r>
        <w:t xml:space="preserve">Financial and Stock Overview (if applicable)</w:t>
      </w:r>
      <w:bookmarkEnd w:id="26"/>
    </w:p>
    <w:p>
      <w:pPr>
        <w:pStyle w:val="Heading2"/>
        <w:numPr>
          <w:ilvl w:val="1"/>
          <w:numId w:val="1002"/>
        </w:numPr>
      </w:pPr>
      <w:bookmarkStart w:id="27" w:name="major-disruptions-industry-impact"/>
      <w:r>
        <w:t xml:space="preserve">Major Disruptions / Industry Impact</w:t>
      </w:r>
      <w:bookmarkEnd w:id="27"/>
    </w:p>
    <w:p>
      <w:pPr>
        <w:pStyle w:val="Heading2"/>
        <w:numPr>
          <w:ilvl w:val="1"/>
          <w:numId w:val="1002"/>
        </w:numPr>
      </w:pPr>
      <w:bookmarkStart w:id="28" w:name="X9eaa2d30ebeff086ccd6fa6c3a3e38e92db6d40"/>
      <w:r>
        <w:t xml:space="preserve">Sustainability, Innovation &amp; Future Strategy (SCAMPER applied)</w:t>
      </w:r>
      <w:bookmarkEnd w:id="28"/>
    </w:p>
    <w:p>
      <w:pPr>
        <w:pStyle w:val="Heading2"/>
        <w:numPr>
          <w:ilvl w:val="1"/>
          <w:numId w:val="1002"/>
        </w:numPr>
      </w:pPr>
      <w:bookmarkStart w:id="29" w:name="X3245676ec7b7e87364b461fc9d96bc7db77d809"/>
      <w:r>
        <w:t xml:space="preserve">Potential Headwinds and Resilience Planning</w:t>
      </w:r>
      <w:bookmarkEnd w:id="29"/>
    </w:p>
    <w:p>
      <w:pPr>
        <w:pStyle w:val="Heading2"/>
        <w:numPr>
          <w:ilvl w:val="1"/>
          <w:numId w:val="1002"/>
        </w:numPr>
      </w:pPr>
      <w:bookmarkStart w:id="30" w:name="likely-user-questions"/>
      <w:r>
        <w:t xml:space="preserve">Likely User Questions</w:t>
      </w:r>
      <w:bookmarkEnd w:id="30"/>
    </w:p>
    <w:p>
      <w:pPr>
        <w:pStyle w:val="Heading2"/>
        <w:numPr>
          <w:ilvl w:val="1"/>
          <w:numId w:val="1002"/>
        </w:numPr>
      </w:pPr>
      <w:bookmarkStart w:id="31" w:name="related-topics-crosslinks"/>
      <w:r>
        <w:t xml:space="preserve">Related Topics / Crosslinks</w:t>
      </w:r>
      <w:bookmarkEnd w:id="31"/>
    </w:p>
    <w:p>
      <w:pPr>
        <w:numPr>
          <w:ilvl w:val="0"/>
          <w:numId w:val="1001"/>
        </w:numPr>
      </w:pPr>
      <w:r>
        <w:rPr>
          <w:b/>
          <w:bCs/>
        </w:rPr>
        <w:t xml:space="preserve">Reasoning Techniques to Embed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CoT (Chain of Thought):</w:t>
      </w:r>
      <w:r>
        <w:t xml:space="preserve"> </w:t>
      </w:r>
      <w:r>
        <w:t xml:space="preserve">For causal explanations (e.g., why brand shifts occur).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ToT (Tree of Thought):</w:t>
      </w:r>
      <w:r>
        <w:t xml:space="preserve"> </w:t>
      </w:r>
      <w:r>
        <w:t xml:space="preserve">For branching competitive or scenario analysis.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SoT (Stream/Sketch of Thought):</w:t>
      </w:r>
      <w:r>
        <w:t xml:space="preserve"> </w:t>
      </w:r>
      <w:r>
        <w:t xml:space="preserve">For concept generation, naming, and product taxonomy.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SCAMPER:</w:t>
      </w:r>
      <w:r>
        <w:t xml:space="preserve"> </w:t>
      </w:r>
      <w:r>
        <w:t xml:space="preserve">For innovation analysis (Substitute, Combine, Adapt, Modify, Put to another use, Eliminate, Reverse).</w:t>
      </w:r>
    </w:p>
    <w:p>
      <w:pPr>
        <w:pStyle w:val="FirstParagraph"/>
      </w:pPr>
      <w:r>
        <w:t xml:space="preserve">Each reasoning technique provides scaffolding for the AI to reason methodically while maintaining structural discipline.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file-categories-per-brand"/>
    <w:p>
      <w:pPr>
        <w:pStyle w:val="Heading3"/>
      </w:pPr>
      <w:r>
        <w:t xml:space="preserve">4. Knowledge File Categories per Brand</w:t>
      </w:r>
    </w:p>
    <w:p>
      <w:pPr>
        <w:pStyle w:val="FirstParagraph"/>
      </w:pPr>
      <w:r>
        <w:t xml:space="preserve">Each BrandGuard GPT receives 12–16 prompts corresponding to a balanced taxonomy of knowledge: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Founding &amp; Corporate History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Mission, Vision, &amp; Brand Philosophy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Lines / Services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 Demographics &amp; Market Reach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Financials / Ownership / Stock Performance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Sustainability &amp; ESG Commitments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Innovations &amp; Technologies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Partnerships &amp; Acquisitions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Marketing &amp; Slogans (Cultural Analysis)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 Experience &amp; Loyalty Programs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Challenges, Risks, &amp; Industry Headwinds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Competitive Positioning &amp; Landscape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 Coverage &amp; Public Perception (past 5 years)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Future Outlook &amp; Strategic Trends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Identification &amp; Comparison Module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FAQ / Knowledge Recap File</w:t>
      </w:r>
    </w:p>
    <w:p>
      <w:r>
        <w:pict>
          <v:rect style="width:0;height:1.5pt" o:hralign="center" o:hrstd="t" o:hr="t"/>
        </w:pict>
      </w:r>
    </w:p>
    <w:bookmarkEnd w:id="33"/>
    <w:bookmarkStart w:id="34" w:name="execution-framework"/>
    <w:p>
      <w:pPr>
        <w:pStyle w:val="Heading3"/>
      </w:pPr>
      <w:r>
        <w:t xml:space="preserve">5. Execution Framework</w:t>
      </w:r>
    </w:p>
    <w:p>
      <w:pPr>
        <w:pStyle w:val="FirstParagraph"/>
      </w:pPr>
      <w:r>
        <w:t xml:space="preserve">For each company, a</w:t>
      </w:r>
      <w:r>
        <w:t xml:space="preserve"> </w:t>
      </w:r>
      <w:r>
        <w:rPr>
          <w:b/>
          <w:bCs/>
        </w:rPr>
        <w:t xml:space="preserve">branched thread</w:t>
      </w:r>
      <w:r>
        <w:t xml:space="preserve"> </w:t>
      </w:r>
      <w:r>
        <w:t xml:space="preserve">will be created in Canvas to generate each knowledge file.</w:t>
      </w:r>
      <w:r>
        <w:br/>
      </w:r>
      <w:r>
        <w:t xml:space="preserve">Each thread uses the same prompt structure, dynamically populated with brand identifiers and relevant source references.</w:t>
      </w:r>
    </w:p>
    <w:p>
      <w:pPr>
        <w:pStyle w:val="BodyText"/>
      </w:pPr>
      <w:r>
        <w:rPr>
          <w:b/>
          <w:bCs/>
        </w:rPr>
        <w:t xml:space="preserve">Execution Pattern per File:</w:t>
      </w:r>
      <w:r>
        <w:t xml:space="preserve"> </w:t>
      </w:r>
      <w:r>
        <w:t xml:space="preserve">1. Phase 1: Schema &amp; Front Matter</w:t>
      </w:r>
      <w:r>
        <w:br/>
      </w:r>
      <w:r>
        <w:t xml:space="preserve">2. Phase 2: Data Harvest (Browsing ON)</w:t>
      </w:r>
      <w:r>
        <w:br/>
      </w:r>
      <w:r>
        <w:t xml:space="preserve">3. Phase 3: Draft Composition (Thinking ON, Canvas ON)</w:t>
      </w:r>
      <w:r>
        <w:br/>
      </w:r>
      <w:r>
        <w:t xml:space="preserve">4. Phase 4: Validation &amp; CanonSeal</w:t>
      </w:r>
      <w:r>
        <w:br/>
      </w:r>
      <w:r>
        <w:t xml:space="preserve">5. Phase 5: Export (PDF or Markdown ingestion)</w:t>
      </w:r>
    </w:p>
    <w:p>
      <w:pPr>
        <w:pStyle w:val="BodyText"/>
      </w:pPr>
      <w:r>
        <w:rPr>
          <w:b/>
          <w:bCs/>
        </w:rPr>
        <w:t xml:space="preserve">Output Validation Targets:</w:t>
      </w:r>
      <w:r>
        <w:t xml:space="preserve"> </w:t>
      </w:r>
      <w:r>
        <w:t xml:space="preserve">- Length: 8–30 pages (approx. 4,000–18,000 words)</w:t>
      </w:r>
      <w:r>
        <w:t xml:space="preserve"> </w:t>
      </w:r>
      <w:r>
        <w:t xml:space="preserve">- Format: CanonHeader YAML + Markdown body + CanonSeal summary</w:t>
      </w:r>
      <w:r>
        <w:t xml:space="preserve"> </w:t>
      </w:r>
      <w:r>
        <w:t xml:space="preserve">- References: BFS-style public citations only</w:t>
      </w:r>
    </w:p>
    <w:p>
      <w:r>
        <w:pict>
          <v:rect style="width:0;height:1.5pt" o:hralign="center" o:hrstd="t" o:hr="t"/>
        </w:pict>
      </w:r>
    </w:p>
    <w:bookmarkEnd w:id="34"/>
    <w:bookmarkStart w:id="35" w:name="long-term-positioning"/>
    <w:p>
      <w:pPr>
        <w:pStyle w:val="Heading3"/>
      </w:pPr>
      <w:r>
        <w:t xml:space="preserve">6. Long-Term Positioning</w:t>
      </w:r>
    </w:p>
    <w:p>
      <w:pPr>
        <w:pStyle w:val="FirstParagraph"/>
      </w:pPr>
      <w:r>
        <w:t xml:space="preserve">The goal is to show that these GPTs are not marketing toys, but</w:t>
      </w:r>
      <w:r>
        <w:t xml:space="preserve"> </w:t>
      </w:r>
      <w:r>
        <w:rPr>
          <w:b/>
          <w:bCs/>
        </w:rPr>
        <w:t xml:space="preserve">new acquisition channels</w:t>
      </w:r>
      <w:r>
        <w:t xml:space="preserve"> </w:t>
      </w:r>
      <w:r>
        <w:t xml:space="preserve">analogous to early domain names or paid search placements.</w:t>
      </w:r>
    </w:p>
    <w:p>
      <w:pPr>
        <w:pStyle w:val="BlockText"/>
      </w:pPr>
      <w:r>
        <w:t xml:space="preserve">In 1995, brands needed domain names to be found on the web.</w:t>
      </w:r>
      <w:r>
        <w:br/>
      </w:r>
      <w:r>
        <w:t xml:space="preserve">In 2025, they will need</w:t>
      </w:r>
      <w:r>
        <w:t xml:space="preserve"> </w:t>
      </w:r>
      <w:r>
        <w:rPr>
          <w:b/>
          <w:bCs/>
        </w:rPr>
        <w:t xml:space="preserve">Custom GPTs</w:t>
      </w:r>
      <w:r>
        <w:t xml:space="preserve"> </w:t>
      </w:r>
      <w:r>
        <w:t xml:space="preserve">to be found in the conversational economy.</w:t>
      </w:r>
    </w:p>
    <w:p>
      <w:pPr>
        <w:pStyle w:val="FirstParagraph"/>
      </w:pPr>
      <w:r>
        <w:t xml:space="preserve">By demonstrating knowledge density and brand integrity across 11 proof-of-concept GPTs, this project will serve as a wake-up call to corporations still asleep at the gate.</w:t>
      </w:r>
    </w:p>
    <w:p>
      <w:r>
        <w:pict>
          <v:rect style="width:0;height:1.5pt" o:hralign="center" o:hrstd="t" o:hr="t"/>
        </w:pict>
      </w:r>
    </w:p>
    <w:bookmarkEnd w:id="35"/>
    <w:bookmarkStart w:id="36" w:name="next-steps"/>
    <w:p>
      <w:pPr>
        <w:pStyle w:val="Heading3"/>
      </w:pPr>
      <w:r>
        <w:t xml:space="preserve">7. Next Steps</w:t>
      </w:r>
    </w:p>
    <w:p>
      <w:pPr>
        <w:pStyle w:val="Compact"/>
        <w:numPr>
          <w:ilvl w:val="0"/>
          <w:numId w:val="1005"/>
        </w:numPr>
      </w:pPr>
      <w:r>
        <w:t xml:space="preserve">Generate the first</w:t>
      </w:r>
      <w:r>
        <w:t xml:space="preserve"> </w:t>
      </w:r>
      <w:r>
        <w:rPr>
          <w:b/>
          <w:bCs/>
        </w:rPr>
        <w:t xml:space="preserve">prompt bundle</w:t>
      </w:r>
      <w:r>
        <w:t xml:space="preserve">: 12–16 topics for one prototype brand (e.g.,</w:t>
      </w:r>
      <w:r>
        <w:t xml:space="preserve"> </w:t>
      </w:r>
      <w:r>
        <w:rPr>
          <w:i/>
          <w:iCs/>
        </w:rPr>
        <w:t xml:space="preserve">Starbucks: BrandGuard</w:t>
      </w:r>
      <w:r>
        <w:t xml:space="preserve">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Validate the output quality (length, citations, readability).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Replicate and adapt across the remaining 10 brands.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Create a final synthesis deck showing how each BrandGuard GPT acts as a</w:t>
      </w:r>
      <w:r>
        <w:t xml:space="preserve"> </w:t>
      </w:r>
      <w:r>
        <w:rPr>
          <w:b/>
          <w:bCs/>
        </w:rPr>
        <w:t xml:space="preserve">new organic + AI-driven customer funnel</w:t>
      </w:r>
      <w:r>
        <w:t xml:space="preserve">, replacing the function of traditional paid search.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Deliverable Summary:</w:t>
      </w:r>
      <w:r>
        <w:br/>
      </w:r>
      <w:r>
        <w:t xml:space="preserve">- 11 GPT ecosystems</w:t>
      </w:r>
      <w:r>
        <w:t xml:space="preserve"> </w:t>
      </w:r>
      <w:r>
        <w:t xml:space="preserve">- 12–16 Markdown knowledge files each (132–176 total)</w:t>
      </w:r>
      <w:r>
        <w:br/>
      </w:r>
      <w:r>
        <w:t xml:space="preserve">- 8–30 pages per file</w:t>
      </w:r>
      <w:r>
        <w:br/>
      </w:r>
      <w:r>
        <w:t xml:space="preserve">- Fully formatted, citation-rich, RAG-ready</w:t>
      </w:r>
      <w:r>
        <w:br/>
      </w:r>
      <w:r>
        <w:t xml:space="preserve">- Designed for autonomous ingestion into GPT Builder</w:t>
      </w:r>
    </w:p>
    <w:p>
      <w:pPr>
        <w:pStyle w:val="BodyText"/>
      </w:pPr>
      <w:r>
        <w:t xml:space="preserve">This library becomes the</w:t>
      </w:r>
      <w:r>
        <w:t xml:space="preserve"> </w:t>
      </w:r>
      <w:r>
        <w:rPr>
          <w:b/>
          <w:bCs/>
        </w:rPr>
        <w:t xml:space="preserve">AI-age equivalent of corporate domain registration</w:t>
      </w:r>
      <w:r>
        <w:t xml:space="preserve">: staking intellectual and conversational territory before competitors do.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2025-10-31T04:59:23Z</dcterms:created>
  <dcterms:modified xsi:type="dcterms:W3CDTF">2025-10-31T04:59:23Z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