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ac89b6eb0b4efa50d9a6373aa84a7200ce6b152"/>
    <w:p>
      <w:pPr>
        <w:pStyle w:val="Heading1"/>
      </w:pPr>
      <w:r>
        <w:t xml:space="preserve">Comprehensive GPT Project Inventory and Acceleration Plan (last 6 months)</w:t>
      </w:r>
    </w:p>
    <w:bookmarkStart w:id="22" w:name="overview"/>
    <w:p>
      <w:pPr>
        <w:pStyle w:val="Heading2"/>
      </w:pPr>
      <w:r>
        <w:t xml:space="preserve">Overview</w:t>
      </w:r>
    </w:p>
    <w:p>
      <w:pPr>
        <w:pStyle w:val="FirstParagraph"/>
      </w:pPr>
      <w:r>
        <w:t xml:space="preserve">You indicated that roughly</w:t>
      </w:r>
      <w:r>
        <w:t xml:space="preserve"> </w:t>
      </w:r>
      <w:r>
        <w:rPr>
          <w:b/>
          <w:bCs/>
        </w:rPr>
        <w:t xml:space="preserve">90 GPT projects</w:t>
      </w:r>
      <w:r>
        <w:t xml:space="preserve"> </w:t>
      </w:r>
      <w:r>
        <w:t xml:space="preserve">have been started or conceptualized in the past six months. Most are still near the beginning of their lifecycles, with only a handful approaching a production‑ready state. Each project will require</w:t>
      </w:r>
      <w:r>
        <w:t xml:space="preserve"> </w:t>
      </w:r>
      <w:r>
        <w:rPr>
          <w:b/>
          <w:bCs/>
        </w:rPr>
        <w:t xml:space="preserve">about 15 agentic executions</w:t>
      </w:r>
      <w:r>
        <w:t xml:space="preserve"> </w:t>
      </w:r>
      <w:r>
        <w:t xml:space="preserve">and</w:t>
      </w:r>
      <w:r>
        <w:t xml:space="preserve"> </w:t>
      </w:r>
      <w:r>
        <w:rPr>
          <w:b/>
          <w:bCs/>
        </w:rPr>
        <w:t xml:space="preserve">at least 4 research executions</w:t>
      </w:r>
      <w:r>
        <w:t xml:space="preserve"> </w:t>
      </w:r>
      <w:r>
        <w:t xml:space="preserve">to reach a completed MVP. Given these assumptions, completing all 90 will require</w:t>
      </w:r>
      <w:r>
        <w:t xml:space="preserve"> </w:t>
      </w:r>
      <w:r>
        <w:rPr>
          <w:b/>
          <w:bCs/>
        </w:rPr>
        <w:t xml:space="preserve">≈1,350 agentic runs</w:t>
      </w:r>
      <w:r>
        <w:t xml:space="preserve"> </w:t>
      </w:r>
      <w:r>
        <w:t xml:space="preserve">and</w:t>
      </w:r>
      <w:r>
        <w:t xml:space="preserve"> </w:t>
      </w:r>
      <w:r>
        <w:rPr>
          <w:b/>
          <w:bCs/>
        </w:rPr>
        <w:t xml:space="preserve">≈360 research runs</w:t>
      </w:r>
      <w:r>
        <w:t xml:space="preserve">. At a planned pace of</w:t>
      </w:r>
      <w:r>
        <w:t xml:space="preserve"> </w:t>
      </w:r>
      <w:r>
        <w:rPr>
          <w:b/>
          <w:bCs/>
        </w:rPr>
        <w:t xml:space="preserve">14 agentic flows and 9 research tasks per day</w:t>
      </w:r>
      <w:r>
        <w:t xml:space="preserve">, the portfolio could be finished in about</w:t>
      </w:r>
      <w:r>
        <w:t xml:space="preserve"> </w:t>
      </w:r>
      <w:r>
        <w:rPr>
          <w:b/>
          <w:bCs/>
        </w:rPr>
        <w:t xml:space="preserve">97 days</w:t>
      </w:r>
      <w:r>
        <w:t xml:space="preserve"> </w:t>
      </w:r>
      <w:r>
        <w:t xml:space="preserve">(agentic execution being the bottleneck).</w:t>
      </w:r>
    </w:p>
    <w:p>
      <w:pPr>
        <w:pStyle w:val="BodyText"/>
      </w:pPr>
      <w:r>
        <w:t xml:space="preserve">To avoid “burning 50‑cent executions” and to maximise ROI, prioritization and a pipeline are critical. The</w:t>
      </w:r>
      <w:r>
        <w:t xml:space="preserve"> </w:t>
      </w:r>
      <w:r>
        <w:rPr>
          <w:b/>
          <w:bCs/>
        </w:rPr>
        <w:t xml:space="preserve">agentic workflow</w:t>
      </w:r>
      <w:r>
        <w:t xml:space="preserve"> </w:t>
      </w:r>
      <w:r>
        <w:t xml:space="preserve">philosophy emphasises giving an AI agent a clear goal, letting it plan and act autonomously across tools, and adapting as it goes</w:t>
      </w:r>
      <w:hyperlink r:id="rId21">
        <w:r>
          <w:rPr>
            <w:rStyle w:val="Hyperlink"/>
          </w:rPr>
          <w:t xml:space="preserve">[1]</w:t>
        </w:r>
      </w:hyperlink>
      <w:r>
        <w:t xml:space="preserve">. This plan applies that concept to your GPT portfolio.</w:t>
      </w:r>
    </w:p>
    <w:bookmarkEnd w:id="22"/>
    <w:bookmarkStart w:id="23" w:name="inventory-of-gpt-projects"/>
    <w:p>
      <w:pPr>
        <w:pStyle w:val="Heading2"/>
      </w:pPr>
      <w:r>
        <w:t xml:space="preserve">Inventory of GPT Projects</w:t>
      </w:r>
    </w:p>
    <w:p>
      <w:pPr>
        <w:pStyle w:val="FirstParagraph"/>
      </w:pPr>
      <w:r>
        <w:t xml:space="preserve">Since many project names are internal or not publicly documented, the list below classifies them by</w:t>
      </w:r>
      <w:r>
        <w:t xml:space="preserve"> </w:t>
      </w:r>
      <w:r>
        <w:rPr>
          <w:b/>
          <w:bCs/>
        </w:rPr>
        <w:t xml:space="preserve">series or theme</w:t>
      </w:r>
      <w:r>
        <w:t xml:space="preserve">, approximate</w:t>
      </w:r>
      <w:r>
        <w:t xml:space="preserve"> </w:t>
      </w:r>
      <w:r>
        <w:rPr>
          <w:b/>
          <w:bCs/>
        </w:rPr>
        <w:t xml:space="preserve">quantity</w:t>
      </w:r>
      <w:r>
        <w:t xml:space="preserve">, and</w:t>
      </w:r>
      <w:r>
        <w:t xml:space="preserve"> </w:t>
      </w:r>
      <w:r>
        <w:rPr>
          <w:b/>
          <w:bCs/>
        </w:rPr>
        <w:t xml:space="preserve">estimated status</w:t>
      </w:r>
      <w:r>
        <w:t xml:space="preserve"> </w:t>
      </w:r>
      <w:r>
        <w:t xml:space="preserve">(conceptual, prototype, alpha ready, beta ready, production, V2 ready). Numbers are derived from your notes (e.g., 60 Gleeful Eats, four Homesteader, etc.) and an assumption of roughly 90 total projects.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Series/theme (examples)</w:t>
            </w:r>
          </w:p>
        </w:tc>
        <w:tc>
          <w:tcPr/>
          <w:p>
            <w:pPr>
              <w:pStyle w:val="Compact"/>
            </w:pPr>
            <w:r>
              <w:t xml:space="preserve">Approx. count</w:t>
            </w:r>
          </w:p>
        </w:tc>
        <w:tc>
          <w:tcPr/>
          <w:p>
            <w:pPr>
              <w:pStyle w:val="Compact"/>
            </w:pPr>
            <w:r>
              <w:t xml:space="preserve">Typical focus</w:t>
            </w:r>
          </w:p>
        </w:tc>
        <w:tc>
          <w:tcPr/>
          <w:p>
            <w:pPr>
              <w:pStyle w:val="Compact"/>
            </w:pPr>
            <w:r>
              <w:t xml:space="preserve">Likely status distribution</w:t>
            </w:r>
          </w:p>
        </w:tc>
      </w:tr>
      <w:tr>
        <w:tc>
          <w:tcPr/>
          <w:p>
            <w:pPr>
              <w:pStyle w:val="Compact"/>
            </w:pPr>
            <w:r>
              <w:rPr>
                <w:b/>
                <w:bCs/>
              </w:rPr>
              <w:t xml:space="preserve">Gleeful Eats</w:t>
            </w:r>
          </w:p>
        </w:tc>
        <w:tc>
          <w:tcPr/>
          <w:p>
            <w:pPr>
              <w:pStyle w:val="Compact"/>
            </w:pPr>
            <w:r>
              <w:t xml:space="preserve">~60</w:t>
            </w:r>
          </w:p>
        </w:tc>
        <w:tc>
          <w:tcPr/>
          <w:p>
            <w:pPr>
              <w:pStyle w:val="Compact"/>
            </w:pPr>
            <w:r>
              <w:t xml:space="preserve">Food and dining‑themed GPTs (recipes, menus, AI food blogs).</w:t>
            </w:r>
          </w:p>
        </w:tc>
        <w:tc>
          <w:tcPr/>
          <w:p>
            <w:pPr>
              <w:pStyle w:val="Compact"/>
            </w:pPr>
            <w:r>
              <w:t xml:space="preserve">Majority in</w:t>
            </w:r>
            <w:r>
              <w:t xml:space="preserve"> </w:t>
            </w:r>
            <w:r>
              <w:rPr>
                <w:b/>
                <w:bCs/>
              </w:rPr>
              <w:t xml:space="preserve">conceptual/prototype</w:t>
            </w:r>
            <w:r>
              <w:t xml:space="preserve"> </w:t>
            </w:r>
            <w:r>
              <w:t xml:space="preserve">state; a few have working prompts; none are fully deployed.</w:t>
            </w:r>
          </w:p>
        </w:tc>
      </w:tr>
      <w:tr>
        <w:tc>
          <w:tcPr/>
          <w:p>
            <w:pPr>
              <w:pStyle w:val="Compact"/>
            </w:pPr>
            <w:r>
              <w:rPr>
                <w:b/>
                <w:bCs/>
              </w:rPr>
              <w:t xml:space="preserve">BrandGuard</w:t>
            </w:r>
          </w:p>
        </w:tc>
        <w:tc>
          <w:tcPr/>
          <w:p>
            <w:pPr>
              <w:pStyle w:val="Compact"/>
            </w:pPr>
            <w:r>
              <w:t xml:space="preserve">~11</w:t>
            </w:r>
          </w:p>
        </w:tc>
        <w:tc>
          <w:tcPr/>
          <w:p>
            <w:pPr>
              <w:pStyle w:val="Compact"/>
            </w:pPr>
            <w:r>
              <w:t xml:space="preserve">Brand compliance/enforcement agents, checking style guides and legal issues.</w:t>
            </w:r>
          </w:p>
        </w:tc>
        <w:tc>
          <w:tcPr/>
          <w:p>
            <w:pPr>
              <w:pStyle w:val="Compact"/>
            </w:pPr>
            <w:r>
              <w:t xml:space="preserve">Several prototypes exist; 2–3 may be close to</w:t>
            </w:r>
            <w:r>
              <w:t xml:space="preserve"> </w:t>
            </w:r>
            <w:r>
              <w:rPr>
                <w:b/>
                <w:bCs/>
              </w:rPr>
              <w:t xml:space="preserve">alpha</w:t>
            </w:r>
            <w:r>
              <w:t xml:space="preserve">, but most still need core prompt design and tool integration.</w:t>
            </w:r>
          </w:p>
        </w:tc>
      </w:tr>
      <w:tr>
        <w:tc>
          <w:tcPr/>
          <w:p>
            <w:pPr>
              <w:pStyle w:val="Compact"/>
            </w:pPr>
            <w:r>
              <w:rPr>
                <w:b/>
                <w:bCs/>
              </w:rPr>
              <w:t xml:space="preserve">Ask Jamie</w:t>
            </w:r>
          </w:p>
        </w:tc>
        <w:tc>
          <w:tcPr/>
          <w:p>
            <w:pPr>
              <w:pStyle w:val="Compact"/>
            </w:pPr>
            <w:r>
              <w:t xml:space="preserve">~4</w:t>
            </w:r>
          </w:p>
        </w:tc>
        <w:tc>
          <w:tcPr/>
          <w:p>
            <w:pPr>
              <w:pStyle w:val="Compact"/>
            </w:pPr>
            <w:r>
              <w:t xml:space="preserve">Personal assistant–style GPTs, leveraging your persona for Q&amp;A or coaching.</w:t>
            </w:r>
          </w:p>
        </w:tc>
        <w:tc>
          <w:tcPr/>
          <w:p>
            <w:pPr>
              <w:pStyle w:val="Compact"/>
            </w:pPr>
            <w:r>
              <w:t xml:space="preserve">At least one near</w:t>
            </w:r>
            <w:r>
              <w:t xml:space="preserve"> </w:t>
            </w:r>
            <w:r>
              <w:rPr>
                <w:b/>
                <w:bCs/>
              </w:rPr>
              <w:t xml:space="preserve">alpha</w:t>
            </w:r>
            <w:r>
              <w:t xml:space="preserve">; others are still rough drafts.</w:t>
            </w:r>
          </w:p>
        </w:tc>
      </w:tr>
      <w:tr>
        <w:tc>
          <w:tcPr/>
          <w:p>
            <w:pPr>
              <w:pStyle w:val="Compact"/>
            </w:pPr>
            <w:r>
              <w:rPr>
                <w:b/>
                <w:bCs/>
              </w:rPr>
              <w:t xml:space="preserve">Homesteader</w:t>
            </w:r>
          </w:p>
        </w:tc>
        <w:tc>
          <w:tcPr/>
          <w:p>
            <w:pPr>
              <w:pStyle w:val="Compact"/>
            </w:pPr>
            <w:r>
              <w:t xml:space="preserve">~4</w:t>
            </w:r>
          </w:p>
        </w:tc>
        <w:tc>
          <w:tcPr/>
          <w:p>
            <w:pPr>
              <w:pStyle w:val="Compact"/>
            </w:pPr>
            <w:r>
              <w:t xml:space="preserve">GPTs focused on sustainability, off‑grid living, or rural design.</w:t>
            </w:r>
          </w:p>
        </w:tc>
        <w:tc>
          <w:tcPr/>
          <w:p>
            <w:pPr>
              <w:pStyle w:val="Compact"/>
            </w:pPr>
            <w:r>
              <w:t xml:space="preserve">Largely conceptual; need research content and prompts.</w:t>
            </w:r>
          </w:p>
        </w:tc>
      </w:tr>
      <w:tr>
        <w:tc>
          <w:tcPr/>
          <w:p>
            <w:pPr>
              <w:pStyle w:val="Compact"/>
            </w:pPr>
            <w:r>
              <w:rPr>
                <w:b/>
                <w:bCs/>
              </w:rPr>
              <w:t xml:space="preserve">Unknocked Truth</w:t>
            </w:r>
          </w:p>
        </w:tc>
        <w:tc>
          <w:tcPr/>
          <w:p>
            <w:pPr>
              <w:pStyle w:val="Compact"/>
            </w:pPr>
            <w:r>
              <w:t xml:space="preserve">~4</w:t>
            </w:r>
          </w:p>
        </w:tc>
        <w:tc>
          <w:tcPr/>
          <w:p>
            <w:pPr>
              <w:pStyle w:val="Compact"/>
            </w:pPr>
            <w:r>
              <w:t xml:space="preserve">Investigative or myth‑busting GPTs aimed at uncovering hidden facts.</w:t>
            </w:r>
          </w:p>
        </w:tc>
        <w:tc>
          <w:tcPr/>
          <w:p>
            <w:pPr>
              <w:pStyle w:val="Compact"/>
            </w:pPr>
            <w:r>
              <w:t xml:space="preserve">Early concept stage; require deep research sources and careful prompt engineering.</w:t>
            </w:r>
          </w:p>
        </w:tc>
      </w:tr>
      <w:tr>
        <w:tc>
          <w:tcPr/>
          <w:p>
            <w:pPr>
              <w:pStyle w:val="Compact"/>
            </w:pPr>
            <w:r>
              <w:rPr>
                <w:b/>
                <w:bCs/>
              </w:rPr>
              <w:t xml:space="preserve">Foundry</w:t>
            </w:r>
          </w:p>
        </w:tc>
        <w:tc>
          <w:tcPr/>
          <w:p>
            <w:pPr>
              <w:pStyle w:val="Compact"/>
            </w:pPr>
            <w:r>
              <w:t xml:space="preserve">~12</w:t>
            </w:r>
          </w:p>
        </w:tc>
        <w:tc>
          <w:tcPr/>
          <w:p>
            <w:pPr>
              <w:pStyle w:val="Compact"/>
            </w:pPr>
            <w:r>
              <w:t xml:space="preserve">Tools for building frameworks (resume builders, personal libraries, career engines).</w:t>
            </w:r>
          </w:p>
        </w:tc>
        <w:tc>
          <w:tcPr/>
          <w:p>
            <w:pPr>
              <w:pStyle w:val="Compact"/>
            </w:pPr>
            <w:r>
              <w:t xml:space="preserve">Several partial prototypes exist; at least one has retrieval working; 2–3 could be prioritized to alpha.</w:t>
            </w:r>
          </w:p>
        </w:tc>
      </w:tr>
      <w:tr>
        <w:tc>
          <w:tcPr/>
          <w:p>
            <w:pPr>
              <w:pStyle w:val="Compact"/>
            </w:pPr>
            <w:r>
              <w:rPr>
                <w:b/>
                <w:bCs/>
              </w:rPr>
              <w:t xml:space="preserve">Other/uncategorized</w:t>
            </w:r>
          </w:p>
        </w:tc>
        <w:tc>
          <w:tcPr/>
          <w:p>
            <w:pPr>
              <w:pStyle w:val="Compact"/>
            </w:pPr>
            <w:r>
              <w:t xml:space="preserve">~5</w:t>
            </w:r>
          </w:p>
        </w:tc>
        <w:tc>
          <w:tcPr/>
          <w:p>
            <w:pPr>
              <w:pStyle w:val="Compact"/>
            </w:pPr>
            <w:r>
              <w:t xml:space="preserve">Misc. GPTs (speculative fiction, symbolic systems, voice of the architect).</w:t>
            </w:r>
          </w:p>
        </w:tc>
        <w:tc>
          <w:tcPr/>
          <w:p>
            <w:pPr>
              <w:pStyle w:val="Compact"/>
            </w:pPr>
            <w:r>
              <w:t xml:space="preserve">Mixed states; some prototypes exist; others are idea sketches.</w:t>
            </w:r>
          </w:p>
        </w:tc>
      </w:tr>
    </w:tbl>
    <w:p>
      <w:pPr>
        <w:pStyle w:val="BodyText"/>
      </w:pPr>
      <w:r>
        <w:rPr>
          <w:b/>
          <w:bCs/>
        </w:rPr>
        <w:t xml:space="preserve">Approximate status breakdown</w:t>
      </w:r>
      <w:r>
        <w:t xml:space="preserve"> </w:t>
      </w:r>
      <w:r>
        <w:t xml:space="preserve">across all categories (best guess):</w:t>
      </w:r>
    </w:p>
    <w:p>
      <w:pPr>
        <w:pStyle w:val="Compact"/>
        <w:numPr>
          <w:ilvl w:val="0"/>
          <w:numId w:val="1001"/>
        </w:numPr>
      </w:pPr>
      <w:r>
        <w:rPr>
          <w:b/>
          <w:bCs/>
        </w:rPr>
        <w:t xml:space="preserve">Conceptual/idea stage:</w:t>
      </w:r>
      <w:r>
        <w:t xml:space="preserve"> </w:t>
      </w:r>
      <w:r>
        <w:t xml:space="preserve">~60 projects (most Gleeful Eats + some Homesteader/Unknocked Truth/Foundry). These have names and high‑level intent but no working prompt or tools.</w:t>
      </w:r>
    </w:p>
    <w:p>
      <w:pPr>
        <w:pStyle w:val="Compact"/>
        <w:numPr>
          <w:ilvl w:val="0"/>
          <w:numId w:val="1001"/>
        </w:numPr>
      </w:pPr>
      <w:r>
        <w:rPr>
          <w:b/>
          <w:bCs/>
        </w:rPr>
        <w:t xml:space="preserve">Prototype stage:</w:t>
      </w:r>
      <w:r>
        <w:t xml:space="preserve"> </w:t>
      </w:r>
      <w:r>
        <w:t xml:space="preserve">~20 projects. Basic prompt exists, maybe some context retrieval, but no proper testing. Includes some BrandGuard, Ask Jamie, and Foundry.</w:t>
      </w:r>
    </w:p>
    <w:p>
      <w:pPr>
        <w:pStyle w:val="Compact"/>
        <w:numPr>
          <w:ilvl w:val="0"/>
          <w:numId w:val="1001"/>
        </w:numPr>
      </w:pPr>
      <w:r>
        <w:rPr>
          <w:b/>
          <w:bCs/>
        </w:rPr>
        <w:t xml:space="preserve">Alpha ready:</w:t>
      </w:r>
      <w:r>
        <w:t xml:space="preserve"> </w:t>
      </w:r>
      <w:r>
        <w:t xml:space="preserve">~6 projects. Core functionalities are implemented; need user testing, error handling, and dataset vetting.</w:t>
      </w:r>
    </w:p>
    <w:p>
      <w:pPr>
        <w:pStyle w:val="Compact"/>
        <w:numPr>
          <w:ilvl w:val="0"/>
          <w:numId w:val="1001"/>
        </w:numPr>
      </w:pPr>
      <w:r>
        <w:rPr>
          <w:b/>
          <w:bCs/>
        </w:rPr>
        <w:t xml:space="preserve">Beta ready or production:</w:t>
      </w:r>
      <w:r>
        <w:t xml:space="preserve"> </w:t>
      </w:r>
      <w:r>
        <w:t xml:space="preserve">~2–4 projects. These may include one Ask Jamie variant and possibly a Foundry tool. They are functioning but need refinements before public release.</w:t>
      </w:r>
    </w:p>
    <w:p>
      <w:pPr>
        <w:pStyle w:val="Compact"/>
        <w:numPr>
          <w:ilvl w:val="0"/>
          <w:numId w:val="1001"/>
        </w:numPr>
      </w:pPr>
      <w:r>
        <w:rPr>
          <w:b/>
          <w:bCs/>
        </w:rPr>
        <w:t xml:space="preserve">V2 candidates:</w:t>
      </w:r>
      <w:r>
        <w:t xml:space="preserve"> </w:t>
      </w:r>
      <w:r>
        <w:t xml:space="preserve">None yet, since production rollouts are incomplete.</w:t>
      </w:r>
    </w:p>
    <w:bookmarkEnd w:id="23"/>
    <w:bookmarkStart w:id="28" w:name="prioritization-strategy"/>
    <w:p>
      <w:pPr>
        <w:pStyle w:val="Heading2"/>
      </w:pPr>
      <w:r>
        <w:t xml:space="preserve">Prioritization Strategy</w:t>
      </w:r>
    </w:p>
    <w:bookmarkStart w:id="24" w:name="triage-and-scoring"/>
    <w:p>
      <w:pPr>
        <w:pStyle w:val="Heading3"/>
      </w:pPr>
      <w:r>
        <w:t xml:space="preserve">1. Triage and Scoring</w:t>
      </w:r>
    </w:p>
    <w:p>
      <w:pPr>
        <w:pStyle w:val="FirstParagraph"/>
      </w:pPr>
      <w:r>
        <w:t xml:space="preserve">To make sure every execution yields more than its cost, score each project on</w:t>
      </w:r>
      <w:r>
        <w:t xml:space="preserve"> </w:t>
      </w:r>
      <w:r>
        <w:rPr>
          <w:b/>
          <w:bCs/>
        </w:rPr>
        <w:t xml:space="preserve">impact</w:t>
      </w:r>
      <w:r>
        <w:t xml:space="preserve">,</w:t>
      </w:r>
      <w:r>
        <w:t xml:space="preserve"> </w:t>
      </w:r>
      <w:r>
        <w:rPr>
          <w:b/>
          <w:bCs/>
        </w:rPr>
        <w:t xml:space="preserve">ease of completion</w:t>
      </w:r>
      <w:r>
        <w:t xml:space="preserve">, and</w:t>
      </w:r>
      <w:r>
        <w:t xml:space="preserve"> </w:t>
      </w:r>
      <w:r>
        <w:rPr>
          <w:b/>
          <w:bCs/>
        </w:rPr>
        <w:t xml:space="preserve">alignment with your strategic goals</w:t>
      </w:r>
      <w:r>
        <w:t xml:space="preserve">. Factors to consider:</w:t>
      </w:r>
    </w:p>
    <w:p>
      <w:pPr>
        <w:pStyle w:val="Compact"/>
        <w:numPr>
          <w:ilvl w:val="0"/>
          <w:numId w:val="1002"/>
        </w:numPr>
      </w:pPr>
      <w:r>
        <w:rPr>
          <w:b/>
          <w:bCs/>
        </w:rPr>
        <w:t xml:space="preserve">Market/mission value:</w:t>
      </w:r>
      <w:r>
        <w:t xml:space="preserve"> </w:t>
      </w:r>
      <w:r>
        <w:t xml:space="preserve">How likely is the GPT to deliver revenue, insights, or brand impact? A high‑impact GPT can convert a single 50‑cent run into dollars of value.</w:t>
      </w:r>
    </w:p>
    <w:p>
      <w:pPr>
        <w:pStyle w:val="Compact"/>
        <w:numPr>
          <w:ilvl w:val="0"/>
          <w:numId w:val="1002"/>
        </w:numPr>
      </w:pPr>
      <w:r>
        <w:rPr>
          <w:b/>
          <w:bCs/>
        </w:rPr>
        <w:t xml:space="preserve">Technical readiness:</w:t>
      </w:r>
      <w:r>
        <w:t xml:space="preserve"> </w:t>
      </w:r>
      <w:r>
        <w:t xml:space="preserve">Does a clear prompt exist? Are necessary data sources identified? Are tool integrations straightforward? Projects nearing alpha will score higher.</w:t>
      </w:r>
    </w:p>
    <w:p>
      <w:pPr>
        <w:pStyle w:val="Compact"/>
        <w:numPr>
          <w:ilvl w:val="0"/>
          <w:numId w:val="1002"/>
        </w:numPr>
      </w:pPr>
      <w:r>
        <w:rPr>
          <w:b/>
          <w:bCs/>
        </w:rPr>
        <w:t xml:space="preserve">Differentiation:</w:t>
      </w:r>
      <w:r>
        <w:t xml:space="preserve"> </w:t>
      </w:r>
      <w:r>
        <w:t xml:space="preserve">Does the GPT explore a unique niche? Does it align with your dual persona (enterprise architect and speculative storyteller)?</w:t>
      </w:r>
    </w:p>
    <w:p>
      <w:pPr>
        <w:pStyle w:val="Compact"/>
        <w:numPr>
          <w:ilvl w:val="0"/>
          <w:numId w:val="1002"/>
        </w:numPr>
      </w:pPr>
      <w:r>
        <w:rPr>
          <w:b/>
          <w:bCs/>
        </w:rPr>
        <w:t xml:space="preserve">Resource requirement:</w:t>
      </w:r>
      <w:r>
        <w:t xml:space="preserve"> </w:t>
      </w:r>
      <w:r>
        <w:t xml:space="preserve">Estimate total agentic and research executions needed.</w:t>
      </w:r>
    </w:p>
    <w:p>
      <w:pPr>
        <w:pStyle w:val="FirstParagraph"/>
      </w:pPr>
      <w:r>
        <w:t xml:space="preserve">Assign each GPT a</w:t>
      </w:r>
      <w:r>
        <w:t xml:space="preserve"> </w:t>
      </w:r>
      <w:r>
        <w:rPr>
          <w:b/>
          <w:bCs/>
        </w:rPr>
        <w:t xml:space="preserve">score from 1–5</w:t>
      </w:r>
      <w:r>
        <w:t xml:space="preserve"> </w:t>
      </w:r>
      <w:r>
        <w:t xml:space="preserve">in each category and calculate a</w:t>
      </w:r>
      <w:r>
        <w:t xml:space="preserve"> </w:t>
      </w:r>
      <w:r>
        <w:rPr>
          <w:b/>
          <w:bCs/>
        </w:rPr>
        <w:t xml:space="preserve">priority index</w:t>
      </w:r>
      <w:r>
        <w:t xml:space="preserve"> </w:t>
      </w:r>
      <w:r>
        <w:t xml:space="preserve">(e.g., sum or weighted sum). Focus first on the top quintile (~18 projects) for immediate execution.</w:t>
      </w:r>
    </w:p>
    <w:bookmarkEnd w:id="24"/>
    <w:bookmarkStart w:id="27" w:name="pipeline-phases"/>
    <w:p>
      <w:pPr>
        <w:pStyle w:val="Heading3"/>
      </w:pPr>
      <w:r>
        <w:t xml:space="preserve">2. Pipeline Phases</w:t>
      </w:r>
    </w:p>
    <w:p>
      <w:pPr>
        <w:pStyle w:val="FirstParagraph"/>
      </w:pPr>
      <w:r>
        <w:t xml:space="preserve">An</w:t>
      </w:r>
      <w:r>
        <w:t xml:space="preserve"> </w:t>
      </w:r>
      <w:r>
        <w:rPr>
          <w:b/>
          <w:bCs/>
        </w:rPr>
        <w:t xml:space="preserve">agentic workflow</w:t>
      </w:r>
      <w:r>
        <w:t xml:space="preserve"> </w:t>
      </w:r>
      <w:r>
        <w:t xml:space="preserve">typically contains several layers: intent recognition, planning and reasoning, tool integration, execution/adaptation, and feedback</w:t>
      </w:r>
      <w:hyperlink r:id="rId25">
        <w:r>
          <w:rPr>
            <w:rStyle w:val="Hyperlink"/>
          </w:rPr>
          <w:t xml:space="preserve">[2]</w:t>
        </w:r>
      </w:hyperlink>
      <w:r>
        <w:t xml:space="preserve">. Use these layers to define the progression from concept to V2:</w:t>
      </w:r>
    </w:p>
    <w:p>
      <w:pPr>
        <w:pStyle w:val="Compact"/>
        <w:numPr>
          <w:ilvl w:val="0"/>
          <w:numId w:val="1003"/>
        </w:numPr>
      </w:pPr>
      <w:r>
        <w:rPr>
          <w:b/>
          <w:bCs/>
        </w:rPr>
        <w:t xml:space="preserve">Concept → Prototype:</w:t>
      </w:r>
    </w:p>
    <w:p>
      <w:pPr>
        <w:pStyle w:val="Compact"/>
        <w:numPr>
          <w:ilvl w:val="0"/>
          <w:numId w:val="1003"/>
        </w:numPr>
      </w:pPr>
      <w:r>
        <w:t xml:space="preserve">Write a clear product statement and user scenario for each GPT.</w:t>
      </w:r>
    </w:p>
    <w:p>
      <w:pPr>
        <w:pStyle w:val="Compact"/>
        <w:numPr>
          <w:ilvl w:val="0"/>
          <w:numId w:val="1003"/>
        </w:numPr>
      </w:pPr>
      <w:r>
        <w:t xml:space="preserve">Develop an initial “mega‑prompt” capturing intent, boundaries, and personality.</w:t>
      </w:r>
    </w:p>
    <w:p>
      <w:pPr>
        <w:pStyle w:val="Compact"/>
        <w:numPr>
          <w:ilvl w:val="0"/>
          <w:numId w:val="1003"/>
        </w:numPr>
      </w:pPr>
      <w:r>
        <w:t xml:space="preserve">Build a minimal tool stack (e.g., retrieval of structured content, simple API calls if needed).</w:t>
      </w:r>
    </w:p>
    <w:p>
      <w:pPr>
        <w:pStyle w:val="Compact"/>
        <w:numPr>
          <w:ilvl w:val="0"/>
          <w:numId w:val="1003"/>
        </w:numPr>
      </w:pPr>
      <w:r>
        <w:t xml:space="preserve">Conduct 1–2 research runs to gather baseline content and design constraints.</w:t>
      </w:r>
    </w:p>
    <w:p>
      <w:pPr>
        <w:pStyle w:val="Compact"/>
        <w:numPr>
          <w:ilvl w:val="0"/>
          <w:numId w:val="1003"/>
        </w:numPr>
      </w:pPr>
      <w:r>
        <w:rPr>
          <w:b/>
          <w:bCs/>
        </w:rPr>
        <w:t xml:space="preserve">Prototype → Alpha:</w:t>
      </w:r>
    </w:p>
    <w:p>
      <w:pPr>
        <w:pStyle w:val="Compact"/>
        <w:numPr>
          <w:ilvl w:val="0"/>
          <w:numId w:val="1003"/>
        </w:numPr>
      </w:pPr>
      <w:r>
        <w:t xml:space="preserve">Refine the prompt using mainstream techniques such as</w:t>
      </w:r>
      <w:r>
        <w:t xml:space="preserve"> </w:t>
      </w:r>
      <w:r>
        <w:rPr>
          <w:b/>
          <w:bCs/>
        </w:rPr>
        <w:t xml:space="preserve">SCAMPER</w:t>
      </w:r>
      <w:r>
        <w:t xml:space="preserve"> </w:t>
      </w:r>
      <w:r>
        <w:t xml:space="preserve">(Substitute, Combine, Adapt, Modify, Put to another use, Eliminate, Reverse) to evolve features.</w:t>
      </w:r>
    </w:p>
    <w:p>
      <w:pPr>
        <w:pStyle w:val="Compact"/>
        <w:numPr>
          <w:ilvl w:val="0"/>
          <w:numId w:val="1003"/>
        </w:numPr>
      </w:pPr>
      <w:r>
        <w:t xml:space="preserve">Implement an external data retrieval mechanism (e.g., vector store or retrieval augmented generation); consider RAG pattern for complex content.</w:t>
      </w:r>
    </w:p>
    <w:p>
      <w:pPr>
        <w:pStyle w:val="Compact"/>
        <w:numPr>
          <w:ilvl w:val="0"/>
          <w:numId w:val="1003"/>
        </w:numPr>
      </w:pPr>
      <w:r>
        <w:t xml:space="preserve">Execute ~5–7 agentic runs to test flows (error handling, fallback behavior).</w:t>
      </w:r>
    </w:p>
    <w:p>
      <w:pPr>
        <w:pStyle w:val="Compact"/>
        <w:numPr>
          <w:ilvl w:val="0"/>
          <w:numId w:val="1003"/>
        </w:numPr>
      </w:pPr>
      <w:r>
        <w:t xml:space="preserve">Introduce</w:t>
      </w:r>
      <w:r>
        <w:t xml:space="preserve"> </w:t>
      </w:r>
      <w:r>
        <w:rPr>
          <w:b/>
          <w:bCs/>
        </w:rPr>
        <w:t xml:space="preserve">Constitutional Prompting</w:t>
      </w:r>
      <w:r>
        <w:t xml:space="preserve"> </w:t>
      </w:r>
      <w:r>
        <w:t xml:space="preserve">to enforce ethical boundaries.</w:t>
      </w:r>
    </w:p>
    <w:p>
      <w:pPr>
        <w:pStyle w:val="Compact"/>
        <w:numPr>
          <w:ilvl w:val="0"/>
          <w:numId w:val="1003"/>
        </w:numPr>
      </w:pPr>
      <w:r>
        <w:rPr>
          <w:b/>
          <w:bCs/>
        </w:rPr>
        <w:t xml:space="preserve">Alpha → Beta:</w:t>
      </w:r>
    </w:p>
    <w:p>
      <w:pPr>
        <w:pStyle w:val="Compact"/>
        <w:numPr>
          <w:ilvl w:val="0"/>
          <w:numId w:val="1003"/>
        </w:numPr>
      </w:pPr>
      <w:r>
        <w:t xml:space="preserve">Gather early user feedback or run simulated tests.</w:t>
      </w:r>
    </w:p>
    <w:p>
      <w:pPr>
        <w:pStyle w:val="Compact"/>
        <w:numPr>
          <w:ilvl w:val="0"/>
          <w:numId w:val="1003"/>
        </w:numPr>
      </w:pPr>
      <w:r>
        <w:t xml:space="preserve">Implement logging, escalation rules, and human‑in‑the‑loop checkpoints as recommended for safe agentic workflows</w:t>
      </w:r>
      <w:hyperlink r:id="rId26">
        <w:r>
          <w:rPr>
            <w:rStyle w:val="Hyperlink"/>
          </w:rPr>
          <w:t xml:space="preserve">[3]</w:t>
        </w:r>
      </w:hyperlink>
      <w:r>
        <w:t xml:space="preserve">.</w:t>
      </w:r>
    </w:p>
    <w:p>
      <w:pPr>
        <w:pStyle w:val="Compact"/>
        <w:numPr>
          <w:ilvl w:val="0"/>
          <w:numId w:val="1003"/>
        </w:numPr>
      </w:pPr>
      <w:r>
        <w:t xml:space="preserve">Allocate additional research executions (2–3) to enhance domain expertise and tune the prompt.</w:t>
      </w:r>
    </w:p>
    <w:p>
      <w:pPr>
        <w:pStyle w:val="Compact"/>
        <w:numPr>
          <w:ilvl w:val="0"/>
          <w:numId w:val="1003"/>
        </w:numPr>
      </w:pPr>
      <w:r>
        <w:rPr>
          <w:b/>
          <w:bCs/>
        </w:rPr>
        <w:t xml:space="preserve">Beta → Production:</w:t>
      </w:r>
    </w:p>
    <w:p>
      <w:pPr>
        <w:pStyle w:val="Compact"/>
        <w:numPr>
          <w:ilvl w:val="0"/>
          <w:numId w:val="1003"/>
        </w:numPr>
      </w:pPr>
      <w:r>
        <w:t xml:space="preserve">Harden the agent: handle edge cases, unknown input, and context resets.</w:t>
      </w:r>
    </w:p>
    <w:p>
      <w:pPr>
        <w:pStyle w:val="Compact"/>
        <w:numPr>
          <w:ilvl w:val="0"/>
          <w:numId w:val="1003"/>
        </w:numPr>
      </w:pPr>
      <w:r>
        <w:t xml:space="preserve">Incorporate</w:t>
      </w:r>
      <w:r>
        <w:t xml:space="preserve"> </w:t>
      </w:r>
      <w:r>
        <w:rPr>
          <w:b/>
          <w:bCs/>
        </w:rPr>
        <w:t xml:space="preserve">Prompt Optimizer</w:t>
      </w:r>
      <w:r>
        <w:t xml:space="preserve"> </w:t>
      </w:r>
      <w:r>
        <w:t xml:space="preserve">or similar tools to iteratively improve response quality.</w:t>
      </w:r>
    </w:p>
    <w:p>
      <w:pPr>
        <w:pStyle w:val="Compact"/>
        <w:numPr>
          <w:ilvl w:val="0"/>
          <w:numId w:val="1003"/>
        </w:numPr>
      </w:pPr>
      <w:r>
        <w:t xml:space="preserve">Ensure data sources are updated and licensed (particularly for Unknocked Truth or Homesteader projects requiring factual accuracy).</w:t>
      </w:r>
    </w:p>
    <w:p>
      <w:pPr>
        <w:pStyle w:val="Compact"/>
        <w:numPr>
          <w:ilvl w:val="0"/>
          <w:numId w:val="1003"/>
        </w:numPr>
      </w:pPr>
      <w:r>
        <w:t xml:space="preserve">Conduct 2–3 final agentic runs with user test cases; fix any issues.</w:t>
      </w:r>
    </w:p>
    <w:p>
      <w:pPr>
        <w:pStyle w:val="Compact"/>
        <w:numPr>
          <w:ilvl w:val="0"/>
          <w:numId w:val="1003"/>
        </w:numPr>
      </w:pPr>
      <w:r>
        <w:rPr>
          <w:b/>
          <w:bCs/>
        </w:rPr>
        <w:t xml:space="preserve">Production → V2:</w:t>
      </w:r>
    </w:p>
    <w:p>
      <w:pPr>
        <w:pStyle w:val="Compact"/>
        <w:numPr>
          <w:ilvl w:val="0"/>
          <w:numId w:val="1003"/>
        </w:numPr>
      </w:pPr>
      <w:r>
        <w:t xml:space="preserve">After release, collect user telemetry; identify usage patterns and error reports.</w:t>
      </w:r>
    </w:p>
    <w:p>
      <w:pPr>
        <w:pStyle w:val="Compact"/>
        <w:numPr>
          <w:ilvl w:val="0"/>
          <w:numId w:val="1003"/>
        </w:numPr>
      </w:pPr>
      <w:r>
        <w:t xml:space="preserve">Run additional SCAMPER/optimizer cycles to add new features or integrations.</w:t>
      </w:r>
    </w:p>
    <w:p>
      <w:pPr>
        <w:pStyle w:val="Compact"/>
        <w:numPr>
          <w:ilvl w:val="0"/>
          <w:numId w:val="1003"/>
        </w:numPr>
      </w:pPr>
      <w:r>
        <w:t xml:space="preserve">Consider converting high‑performing GPTs into monetizable services or commercial products.</w:t>
      </w:r>
    </w:p>
    <w:bookmarkEnd w:id="27"/>
    <w:bookmarkEnd w:id="28"/>
    <w:bookmarkStart w:id="31" w:name="execution-plan"/>
    <w:p>
      <w:pPr>
        <w:pStyle w:val="Heading2"/>
      </w:pPr>
      <w:r>
        <w:t xml:space="preserve">Execution Plan</w:t>
      </w:r>
    </w:p>
    <w:bookmarkStart w:id="29" w:name="daily-allocation"/>
    <w:p>
      <w:pPr>
        <w:pStyle w:val="Heading3"/>
      </w:pPr>
      <w:r>
        <w:t xml:space="preserve">Daily Allocation</w:t>
      </w:r>
    </w:p>
    <w:p>
      <w:pPr>
        <w:pStyle w:val="Compact"/>
        <w:numPr>
          <w:ilvl w:val="0"/>
          <w:numId w:val="1004"/>
        </w:numPr>
      </w:pPr>
      <w:r>
        <w:rPr>
          <w:b/>
          <w:bCs/>
        </w:rPr>
        <w:t xml:space="preserve">Agentic executions:</w:t>
      </w:r>
      <w:r>
        <w:t xml:space="preserve"> </w:t>
      </w:r>
      <w:r>
        <w:t xml:space="preserve">14 per day (approx.). Spread across 2–3 projects in the high‑priority list. Use each run intentionally – provide clear goals and review logs to maximize learning.</w:t>
      </w:r>
    </w:p>
    <w:p>
      <w:pPr>
        <w:pStyle w:val="Compact"/>
        <w:numPr>
          <w:ilvl w:val="0"/>
          <w:numId w:val="1004"/>
        </w:numPr>
      </w:pPr>
      <w:r>
        <w:rPr>
          <w:b/>
          <w:bCs/>
        </w:rPr>
        <w:t xml:space="preserve">Research executions:</w:t>
      </w:r>
      <w:r>
        <w:t xml:space="preserve"> </w:t>
      </w:r>
      <w:r>
        <w:t xml:space="preserve">9 per day. Use these to gather domain knowledge, references, or competitor analysis for upcoming prompts. Prioritize research for projects soon entering prototype or alpha stages.</w:t>
      </w:r>
    </w:p>
    <w:bookmarkEnd w:id="29"/>
    <w:bookmarkStart w:id="30" w:name="weekbyweek-roadmap-first-5-weeks"/>
    <w:p>
      <w:pPr>
        <w:pStyle w:val="Heading3"/>
      </w:pPr>
      <w:r>
        <w:t xml:space="preserve">Week‑by‑Week Roadmap (First 5 Weeks)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Actions</w:t>
            </w:r>
          </w:p>
        </w:tc>
        <w:tc>
          <w:tcPr/>
          <w:p>
            <w:pPr>
              <w:pStyle w:val="Compact"/>
            </w:pPr>
            <w:r>
              <w:t xml:space="preserve">Notes</w:t>
            </w:r>
          </w:p>
        </w:tc>
      </w:tr>
      <w:tr>
        <w:tc>
          <w:tcPr/>
          <w:p>
            <w:pPr>
              <w:pStyle w:val="Compact"/>
            </w:pPr>
            <w:r>
              <w:rPr>
                <w:b/>
                <w:bCs/>
              </w:rPr>
              <w:t xml:space="preserve">Week 1</w:t>
            </w:r>
          </w:p>
        </w:tc>
        <w:tc>
          <w:tcPr/>
          <w:p>
            <w:pPr>
              <w:pStyle w:val="Compact"/>
            </w:pPr>
            <w:r>
              <w:t xml:space="preserve">Finalize inventory and scoring. Create a spreadsheet/ledger with columns (project name, theme, status, impact score, ease score, differentiation, resource need, priority index). Select top ~18 GPTs for immediate focus.</w:t>
            </w:r>
          </w:p>
        </w:tc>
        <w:tc>
          <w:tcPr/>
          <w:p>
            <w:pPr>
              <w:pStyle w:val="Compact"/>
            </w:pPr>
            <w:r>
              <w:t xml:space="preserve">Use your ledgers to document decisions and to maintain accountability. Start at least one agentic run per project in the top cohort to validate baseline prompts.</w:t>
            </w:r>
          </w:p>
        </w:tc>
      </w:tr>
      <w:tr>
        <w:tc>
          <w:tcPr/>
          <w:p>
            <w:pPr>
              <w:pStyle w:val="Compact"/>
            </w:pPr>
            <w:r>
              <w:rPr>
                <w:b/>
                <w:bCs/>
              </w:rPr>
              <w:t xml:space="preserve">Week 2</w:t>
            </w:r>
          </w:p>
        </w:tc>
        <w:tc>
          <w:tcPr/>
          <w:p>
            <w:pPr>
              <w:pStyle w:val="Compact"/>
            </w:pPr>
            <w:r>
              <w:t xml:space="preserve">For top 3–5 GPTs with highest priority, move from prototype to alpha: refine prompts, integrate retrieval, and run 5–7 agentic tests per GPT. Begin SCAMPER exercises for creative evolution.</w:t>
            </w:r>
          </w:p>
        </w:tc>
        <w:tc>
          <w:tcPr/>
          <w:p>
            <w:pPr>
              <w:pStyle w:val="Compact"/>
            </w:pPr>
            <w:r>
              <w:t xml:space="preserve">Leverage multi‑agent orchestration when possible; align with RAG/ReAct patterns for reasoning.</w:t>
            </w:r>
          </w:p>
        </w:tc>
      </w:tr>
      <w:tr>
        <w:tc>
          <w:tcPr/>
          <w:p>
            <w:pPr>
              <w:pStyle w:val="Compact"/>
            </w:pPr>
            <w:r>
              <w:rPr>
                <w:b/>
                <w:bCs/>
              </w:rPr>
              <w:t xml:space="preserve">Week 3</w:t>
            </w:r>
          </w:p>
        </w:tc>
        <w:tc>
          <w:tcPr/>
          <w:p>
            <w:pPr>
              <w:pStyle w:val="Compact"/>
            </w:pPr>
            <w:r>
              <w:t xml:space="preserve">Shift another 3–5 GPTs from concept to prototype. Conduct deep research for Homesteader and Unknocked Truth themes (sustainable living, investigative journalism). Use constitutional prompting to shape persona boundaries.</w:t>
            </w:r>
          </w:p>
        </w:tc>
        <w:tc>
          <w:tcPr/>
          <w:p>
            <w:pPr>
              <w:pStyle w:val="Compact"/>
            </w:pPr>
            <w:r>
              <w:t xml:space="preserve">Consider cross‑pollination: e.g., combining Homesteader with Gleeful Eats for farm‑to‑table recipes.</w:t>
            </w:r>
          </w:p>
        </w:tc>
      </w:tr>
      <w:tr>
        <w:tc>
          <w:tcPr/>
          <w:p>
            <w:pPr>
              <w:pStyle w:val="Compact"/>
            </w:pPr>
            <w:r>
              <w:rPr>
                <w:b/>
                <w:bCs/>
              </w:rPr>
              <w:t xml:space="preserve">Week 4</w:t>
            </w:r>
          </w:p>
        </w:tc>
        <w:tc>
          <w:tcPr/>
          <w:p>
            <w:pPr>
              <w:pStyle w:val="Compact"/>
            </w:pPr>
            <w:r>
              <w:t xml:space="preserve">Push early alpha GPTs into beta: run user simulations, add error handling, log and review outputs. Deploy the first production‑ready GPT (likely an Ask Jamie or a Foundry tool).</w:t>
            </w:r>
          </w:p>
        </w:tc>
        <w:tc>
          <w:tcPr/>
          <w:p>
            <w:pPr>
              <w:pStyle w:val="Compact"/>
            </w:pPr>
            <w:r>
              <w:t xml:space="preserve">Evaluate ROI: track conversions or user feedback to verify that each 50‑cent run yields perceived value.</w:t>
            </w:r>
          </w:p>
        </w:tc>
      </w:tr>
      <w:tr>
        <w:tc>
          <w:tcPr/>
          <w:p>
            <w:pPr>
              <w:pStyle w:val="Compact"/>
            </w:pPr>
            <w:r>
              <w:rPr>
                <w:b/>
                <w:bCs/>
              </w:rPr>
              <w:t xml:space="preserve">Week 5</w:t>
            </w:r>
          </w:p>
        </w:tc>
        <w:tc>
          <w:tcPr/>
          <w:p>
            <w:pPr>
              <w:pStyle w:val="Compact"/>
            </w:pPr>
            <w:r>
              <w:t xml:space="preserve">Continue pipeline: start the second wave of projects through prototype and alpha phases. Review first production release, fix issues, and plan V2 features.</w:t>
            </w:r>
          </w:p>
        </w:tc>
        <w:tc>
          <w:tcPr/>
          <w:p>
            <w:pPr>
              <w:pStyle w:val="Compact"/>
            </w:pPr>
            <w:r>
              <w:t xml:space="preserve">Reflect on process improvements; adjust cadence if 14/9 runs per day is too high or low.</w:t>
            </w:r>
          </w:p>
        </w:tc>
      </w:tr>
    </w:tbl>
    <w:p>
      <w:pPr>
        <w:pStyle w:val="BodyText"/>
      </w:pPr>
      <w:r>
        <w:t xml:space="preserve">After Week 5, maintain a rolling pipeline: as soon as a GPT moves into beta/production, pull another from the backlog and apply the same process. With ~97 days needed to complete all agentic runs, the portfolio could be largely completed in</w:t>
      </w:r>
      <w:r>
        <w:t xml:space="preserve"> </w:t>
      </w:r>
      <w:r>
        <w:rPr>
          <w:b/>
          <w:bCs/>
        </w:rPr>
        <w:t xml:space="preserve">three months</w:t>
      </w:r>
      <w:r>
        <w:t xml:space="preserve">, provided the schedule is maintained.</w:t>
      </w:r>
    </w:p>
    <w:bookmarkEnd w:id="30"/>
    <w:bookmarkEnd w:id="31"/>
    <w:bookmarkStart w:id="32" w:name="maximizing-value-per-execution"/>
    <w:p>
      <w:pPr>
        <w:pStyle w:val="Heading2"/>
      </w:pPr>
      <w:r>
        <w:t xml:space="preserve">Maximizing Value per Execution</w:t>
      </w:r>
    </w:p>
    <w:p>
      <w:pPr>
        <w:pStyle w:val="Compact"/>
        <w:numPr>
          <w:ilvl w:val="0"/>
          <w:numId w:val="1005"/>
        </w:numPr>
      </w:pPr>
      <w:r>
        <w:rPr>
          <w:b/>
          <w:bCs/>
        </w:rPr>
        <w:t xml:space="preserve">Start with high‑impact GPTs:</w:t>
      </w:r>
      <w:r>
        <w:t xml:space="preserve"> </w:t>
      </w:r>
      <w:r>
        <w:t xml:space="preserve">Projects that align with your enterprise architecture expertise (e.g., BrandGuard, Foundry) or unique story‑telling tools (Gleeful Eats with narrative twists) will likely convert each 50‑cent execution into greater downstream revenue or strategic advantage.</w:t>
      </w:r>
    </w:p>
    <w:p>
      <w:pPr>
        <w:pStyle w:val="Compact"/>
        <w:numPr>
          <w:ilvl w:val="0"/>
          <w:numId w:val="1005"/>
        </w:numPr>
      </w:pPr>
      <w:r>
        <w:rPr>
          <w:b/>
          <w:bCs/>
        </w:rPr>
        <w:t xml:space="preserve">Iterate with SCAMPER and Optimizer frameworks:</w:t>
      </w:r>
      <w:r>
        <w:t xml:space="preserve"> </w:t>
      </w:r>
      <w:r>
        <w:t xml:space="preserve">Regularly mutate prompts using SCAMPER (e.g., combine Homesteader and BrandGuard to create a sustainable building‑code guardian). Use prompt optimizers to refine style and correctness.</w:t>
      </w:r>
    </w:p>
    <w:p>
      <w:pPr>
        <w:pStyle w:val="Compact"/>
        <w:numPr>
          <w:ilvl w:val="0"/>
          <w:numId w:val="1005"/>
        </w:numPr>
      </w:pPr>
      <w:r>
        <w:rPr>
          <w:b/>
          <w:bCs/>
        </w:rPr>
        <w:t xml:space="preserve">Embed oversight:</w:t>
      </w:r>
      <w:r>
        <w:t xml:space="preserve"> </w:t>
      </w:r>
      <w:r>
        <w:t xml:space="preserve">Implement logging and escalation as part of each agentic workflow</w:t>
      </w:r>
      <w:hyperlink r:id="rId26">
        <w:r>
          <w:rPr>
            <w:rStyle w:val="Hyperlink"/>
          </w:rPr>
          <w:t xml:space="preserve">[3]</w:t>
        </w:r>
      </w:hyperlink>
      <w:r>
        <w:t xml:space="preserve">, ensuring that any automated action is transparent and auditable.</w:t>
      </w:r>
    </w:p>
    <w:p>
      <w:pPr>
        <w:pStyle w:val="Compact"/>
        <w:numPr>
          <w:ilvl w:val="0"/>
          <w:numId w:val="1005"/>
        </w:numPr>
      </w:pPr>
      <w:r>
        <w:rPr>
          <w:b/>
          <w:bCs/>
        </w:rPr>
        <w:t xml:space="preserve">Leverage context engineering:</w:t>
      </w:r>
      <w:r>
        <w:t xml:space="preserve"> </w:t>
      </w:r>
      <w:r>
        <w:t xml:space="preserve">Use your ledger methodology to track decisions, iterations, and context boundaries. This mirrors the RAG/ReAct patterns and encourages modularity in your prompt systems.</w:t>
      </w:r>
    </w:p>
    <w:p>
      <w:pPr>
        <w:pStyle w:val="Compact"/>
        <w:numPr>
          <w:ilvl w:val="0"/>
          <w:numId w:val="1005"/>
        </w:numPr>
      </w:pPr>
      <w:r>
        <w:rPr>
          <w:b/>
          <w:bCs/>
        </w:rPr>
        <w:t xml:space="preserve">Plan for multi‑agent orchestration:</w:t>
      </w:r>
      <w:r>
        <w:t xml:space="preserve"> </w:t>
      </w:r>
      <w:r>
        <w:t xml:space="preserve">Some GPTs could call others; for example, Gleeful Eats might invoke a Homesteader agent for sourcing ingredients or a BrandGuard agent for ensuring compliance with brand voice. Recognise these as opportunities for agent ecosystems.</w:t>
      </w:r>
    </w:p>
    <w:bookmarkEnd w:id="32"/>
    <w:bookmarkStart w:id="33" w:name="next-steps"/>
    <w:p>
      <w:pPr>
        <w:pStyle w:val="Heading2"/>
      </w:pPr>
      <w:r>
        <w:t xml:space="preserve">Next Steps</w:t>
      </w:r>
    </w:p>
    <w:p>
      <w:pPr>
        <w:pStyle w:val="Compact"/>
        <w:numPr>
          <w:ilvl w:val="0"/>
          <w:numId w:val="1006"/>
        </w:numPr>
      </w:pPr>
      <w:r>
        <w:rPr>
          <w:b/>
          <w:bCs/>
        </w:rPr>
        <w:t xml:space="preserve">Build the inventory ledger.</w:t>
      </w:r>
      <w:r>
        <w:t xml:space="preserve"> </w:t>
      </w:r>
      <w:r>
        <w:t xml:space="preserve">Document each GPT idea or prototype. Use explicit scoring to set the execution order.</w:t>
      </w:r>
    </w:p>
    <w:p>
      <w:pPr>
        <w:pStyle w:val="Compact"/>
        <w:numPr>
          <w:ilvl w:val="0"/>
          <w:numId w:val="1006"/>
        </w:numPr>
      </w:pPr>
      <w:r>
        <w:rPr>
          <w:b/>
          <w:bCs/>
        </w:rPr>
        <w:t xml:space="preserve">Select your first cohort (≈18 projects).</w:t>
      </w:r>
      <w:r>
        <w:t xml:space="preserve"> </w:t>
      </w:r>
      <w:r>
        <w:t xml:space="preserve">Commit to delivering at least one alpha or beta per week from this cohort.</w:t>
      </w:r>
    </w:p>
    <w:p>
      <w:pPr>
        <w:pStyle w:val="Compact"/>
        <w:numPr>
          <w:ilvl w:val="0"/>
          <w:numId w:val="1006"/>
        </w:numPr>
      </w:pPr>
      <w:r>
        <w:rPr>
          <w:b/>
          <w:bCs/>
        </w:rPr>
        <w:t xml:space="preserve">Set up daily routines.</w:t>
      </w:r>
      <w:r>
        <w:t xml:space="preserve"> </w:t>
      </w:r>
      <w:r>
        <w:t xml:space="preserve">Reserve blocks of time for agentic runs and research tasks; maintain 14/9 cadence.</w:t>
      </w:r>
    </w:p>
    <w:p>
      <w:pPr>
        <w:pStyle w:val="Compact"/>
        <w:numPr>
          <w:ilvl w:val="0"/>
          <w:numId w:val="1006"/>
        </w:numPr>
      </w:pPr>
      <w:r>
        <w:rPr>
          <w:b/>
          <w:bCs/>
        </w:rPr>
        <w:t xml:space="preserve">Evaluate ROI periodically.</w:t>
      </w:r>
      <w:r>
        <w:t xml:space="preserve"> </w:t>
      </w:r>
      <w:r>
        <w:t xml:space="preserve">Track how many runs convert into tangible outputs (revenue, user engagement, narrative value). Adjust priorities based on evidence.</w:t>
      </w:r>
    </w:p>
    <w:p>
      <w:pPr>
        <w:pStyle w:val="Compact"/>
        <w:numPr>
          <w:ilvl w:val="0"/>
          <w:numId w:val="1006"/>
        </w:numPr>
      </w:pPr>
      <w:r>
        <w:rPr>
          <w:b/>
          <w:bCs/>
        </w:rPr>
        <w:t xml:space="preserve">Prepare for pro‑tier surge.</w:t>
      </w:r>
      <w:r>
        <w:t xml:space="preserve"> </w:t>
      </w:r>
      <w:r>
        <w:t xml:space="preserve">When deeper research and heavier executions become possible, scale up the pipeline but protect your time; don’t let additional resources dilute focus.</w:t>
      </w:r>
    </w:p>
    <w:p>
      <w:pPr>
        <w:pStyle w:val="FirstParagraph"/>
      </w:pPr>
      <w:r>
        <w:t xml:space="preserve">By following this structured yet flexible plan, you can transform a sprawling backlog into a series of focused agentic workflows. This approach aligns with the principles of agentic execution—clear goals, autonomous planning, and adaptive iteration</w:t>
      </w:r>
      <w:hyperlink r:id="rId21">
        <w:r>
          <w:rPr>
            <w:rStyle w:val="Hyperlink"/>
          </w:rPr>
          <w:t xml:space="preserve">[1]</w:t>
        </w:r>
      </w:hyperlink>
      <w:r>
        <w:t xml:space="preserve">—and positions you to extract outsized value from every 50‑cent execution.</w:t>
      </w:r>
    </w:p>
    <w:bookmarkEnd w:id="33"/>
    <w:bookmarkEnd w:id="34"/>
    <w:bookmarkEnd w:id="35"/>
    <w:p>
      <w:r>
        <w:pict>
          <v:rect style="width:0;height:1.5pt" o:hralign="center" o:hrstd="t" o:hr="t"/>
        </w:pict>
      </w:r>
    </w:p>
    <w:bookmarkStart w:id="37" w:name="citations"/>
    <w:p>
      <w:pPr>
        <w:pStyle w:val="FirstParagraph"/>
      </w:pPr>
      <w:hyperlink r:id="rId21">
        <w:r>
          <w:rPr>
            <w:rStyle w:val="Hyperlink"/>
          </w:rPr>
          <w:t xml:space="preserve">[1]</w:t>
        </w:r>
      </w:hyperlink>
      <w:r>
        <w:t xml:space="preserve"> </w:t>
      </w:r>
      <w:hyperlink r:id="rId25">
        <w:r>
          <w:rPr>
            <w:rStyle w:val="Hyperlink"/>
          </w:rPr>
          <w:t xml:space="preserve">[2]</w:t>
        </w:r>
      </w:hyperlink>
      <w:r>
        <w:t xml:space="preserve"> </w:t>
      </w:r>
      <w:hyperlink r:id="rId26">
        <w:r>
          <w:rPr>
            <w:rStyle w:val="Hyperlink"/>
          </w:rPr>
          <w:t xml:space="preserve">[3]</w:t>
        </w:r>
      </w:hyperlink>
      <w:r>
        <w:t xml:space="preserve"> </w:t>
      </w:r>
      <w:r>
        <w:t xml:space="preserve">Agentic AI Workflow: Easy Guide. Business automation has long promised… | by Vlad Koval | Medium</w:t>
      </w:r>
    </w:p>
    <w:p>
      <w:pPr>
        <w:pStyle w:val="BodyText"/>
      </w:pPr>
      <w:hyperlink r:id="rId36">
        <w:r>
          <w:rPr>
            <w:rStyle w:val="Hyperlink"/>
          </w:rPr>
          <w:t xml:space="preserve">https://medium.com/@vlad.koval/agentic-workflow-easy-guide-b998127be922</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medium.com/@vlad.koval/agentic-workflow-easy-guide-b998127be922" TargetMode="External" /><Relationship Type="http://schemas.openxmlformats.org/officeDocument/2006/relationships/hyperlink" Id="rId26" Target="https://medium.com/@vlad.koval/agentic-workflow-easy-guide-b998127be922#:~:text=Good%20agents%20know%20when%20to,stop%20and%20ask%20for%20help" TargetMode="External" /><Relationship Type="http://schemas.openxmlformats.org/officeDocument/2006/relationships/hyperlink" Id="rId21" Target="https://medium.com/@vlad.koval/agentic-workflow-easy-guide-b998127be922#:~:text=This%20article%20will%20walk%20you,even%20if%20you%E2%80%99re%20not%20technical" TargetMode="External" /><Relationship Type="http://schemas.openxmlformats.org/officeDocument/2006/relationships/hyperlink" Id="rId25" Target="https://medium.com/@vlad.koval/agentic-workflow-easy-guide-b998127be922#:~:text=What%20makes%20this%20possible%3F%20A,built%20from%20five%20critical%20layers" TargetMode="External" /></Relationships>
</file>

<file path=word/_rels/footnotes.xml.rels><?xml version="1.0" encoding="UTF-8"?><Relationships xmlns="http://schemas.openxmlformats.org/package/2006/relationships"><Relationship Type="http://schemas.openxmlformats.org/officeDocument/2006/relationships/hyperlink" Id="rId36" Target="https://medium.com/@vlad.koval/agentic-workflow-easy-guide-b998127be922" TargetMode="External" /><Relationship Type="http://schemas.openxmlformats.org/officeDocument/2006/relationships/hyperlink" Id="rId26" Target="https://medium.com/@vlad.koval/agentic-workflow-easy-guide-b998127be922#:~:text=Good%20agents%20know%20when%20to,stop%20and%20ask%20for%20help" TargetMode="External" /><Relationship Type="http://schemas.openxmlformats.org/officeDocument/2006/relationships/hyperlink" Id="rId21" Target="https://medium.com/@vlad.koval/agentic-workflow-easy-guide-b998127be922#:~:text=This%20article%20will%20walk%20you,even%20if%20you%E2%80%99re%20not%20technical" TargetMode="External" /><Relationship Type="http://schemas.openxmlformats.org/officeDocument/2006/relationships/hyperlink" Id="rId25" Target="https://medium.com/@vlad.koval/agentic-workflow-easy-guide-b998127be922#:~:text=What%20makes%20this%20possible%3F%20A,built%20from%20five%20critical%20lay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2025-11-19T15:17:59Z</dcterms:created>
  <dcterms:modified xsi:type="dcterms:W3CDTF">2025-11-19T15:17:59Z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