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Rúbrica de QC de iniciativas — Sprint 2027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Minera Las Bambas · Excelencia Operacional · Versión 1.0, octubre 2026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Este documento es la única fuente de criterios para evaluar un A3, un riesgo AMEF o un entregable antes de cargarlo a Jira. Doce criterios, cada uno vale 0, 1 o 2 puntos. Máximo 24.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 de aprobación: </w:t>
      </w:r>
      <w:r>
        <w:rPr>
          <w:rFonts w:ascii="Arial" w:cs="Arial" w:eastAsia="Arial" w:hAnsi="Arial"/>
          <w:sz w:val="20"/>
          <w:szCs w:val="20"/>
        </w:rPr>
        <w:t xml:space="preserve">aprueba con 18 puntos o más y sin ningún cero en los criterios 2, 5, 6, 7 y 12, marcados como CRÍTICO. Son los cinco que rompieron el seguimiento del Sprint 2026.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40"/>
        <w:gridCol w:w="2700"/>
        <w:gridCol w:w="2300"/>
        <w:gridCol w:w="2500"/>
        <w:gridCol w:w="3340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Aprueba — 2 puntos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Parcial — 1 punto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Reprueba — 0 puntos</w:t>
            </w:r>
          </w:p>
        </w:tc>
        <w:tc>
          <w:tcPr>
            <w:tcW w:type="dxa" w:w="33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Respaldo PMBOK 8ª ed.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Problema con línea base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Background trae el valor actual con unidad y periodo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Hay un número pero sin unidad o sin periodo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el problema en adjetivos, sin ningún número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métricas miden logro de outcomes, no insumos — Guía p. 13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cuantificada y fechada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(CRÍTICO)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Goal tiene valor inicial, valor objetivo, unidad y fecha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Tiene objetivo pero le falta la línea base o la fecha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Verbo de intención sin número, o placeholder sin llenar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Criterios SMART: específico, medible, alcanzable, realista y con plazo — Guía p. 14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Condición actual medida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el estado con datos, gráfico o tabla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el estado en prosa, sin dato de respaldo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acciones por hacer en vez del diagnóstico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 known-known es alcance, no riesgo — Guía p. 93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Causas raíz con lógica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 causa – evento – consecuencia; cada causa explica el problema del título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causas son plausibles pero no se conectan con las contramedidas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Causa única genérica, o causas copiadas de otro A3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Enunciado causa-evento-consecuencia; separar riesgos reales de inquietudes — Guía pp. 93, 95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Entregable verificable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(CRÍTICO)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Sustantivo con producto entregable: contrato firmado, estudio emitido, procedimiento publicado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Mezcla el producto con la actividad que lo genera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Verbo de actividad continua: mantener, continuar, hacer seguimiento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 salida necesita un outcome de orden superior — Guía pp. 9-10 y 46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persona única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(CRÍTICO)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nombre y apellido completos, una sola persona accountable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persona nombrada más apoyos listados en el mismo campo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área, un cargo, iniciales, o una lista de nombres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"only one person accountable for any one task" — Guía p. 194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 confirmada por su dueño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(CRÍTICO)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DD/MM/AAAA, confirmada por el responsable contra su carga del año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 exacta pero sin confirmación, o mes sin día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"Continuo", trimestre, o fin de mes puesto por defecto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responsable confirma que la fecha no choca con sus otras asignaciones — Guía p. 53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Secuencia entre entregables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entregable, salvo el primero y el último, tiene predecesor y sucesor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Hay orden implícito pero no declarado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entregables sin relación entre sí, todos con la misma fecha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 actividad conectada al menos a un predecesor y un sucesor — Guía p. 51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Evidencia de cierre declarada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Dice con qué se demostrará el cierre: acta, reporte, foto, OT, contrato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Menciona que habrá evidencia sin decir cuál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dice cómo se probará que se hizo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Entregable verificado por inspección, y luego aceptado formalmente — Guía pp. 43-44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de control con fuente y umbral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 con fórmula, umbral numérico y fuente de dato (PI, MLB, SAP, AMPLA)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 con umbral pero sin fuente de dato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indicador, o indicador de insumo (reuniones hechas, personas capacitadas)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umbral debe ser numérico, no adjetival — Guía p. 94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 completo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Dice qué se reporta, con qué frecuencia, quién lo revisa y en qué medio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Tiene dos o tres de los cuatro datos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Sección vacía, o sólo un calendario de colores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para sostener el valor al transferir a operaciones — Guía p. 32</w:t>
            </w:r>
          </w:p>
        </w:tc>
      </w:tr>
      <w:tr>
        <w:trPr>
          <w:tblHeader w:val="false"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Alineado a un objetivo 2027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(CRÍTICO)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Nombra la palanca, la métrica y cuánto del gap cubre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Nombra la palanca pero no cuantifica el aporte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"Tipo de impacto" genérico sin métrica</w:t>
            </w:r>
          </w:p>
        </w:tc>
        <w:tc>
          <w:tcPr>
            <w:tcW w:type="dxa" w:w="3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entregable lleva el valor que debe aportar — Guía p. 38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Verificaciones adicionales, sin puntaje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Aplican al AMEF completo, no a una iniciativa suelta. Se reportan como hallazgo del portafolio.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Disparador del riesgo: la señal observable de que el riesgo se está materializando. El AMEF clásico no lo tiene; el estándar sí lo exige (Guía p. 137).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Fecha límite para actuar: distinta de la fecha de la acción. Es la fecha después de la cual actuar ya no sirve (Guía p. 137).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Oportunidades: los 44 riesgos del Sprint 2026 son todos amenazas. El estándar pide identificar oportunidades y rastrear su materialización (Guía pp. 94 y 102). Un AMEF sin una sola oportunidad es un hallazgo.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Buenos ejemplos del Sprint 2026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Sirven como contraste. Son del mismo portafolio, así que nadie puede decir que el criterio es inalcanzable.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bien formulada (A3 Aseguramiento de Disponibilidad Chancado): </w:t>
      </w:r>
      <w:r>
        <w:rPr>
          <w:rFonts w:ascii="Arial" w:cs="Arial" w:eastAsia="Arial" w:hAnsi="Arial"/>
          <w:sz w:val="20"/>
          <w:szCs w:val="20"/>
        </w:rPr>
        <w:t xml:space="preserve">"En Budget 2026 se ofrece 92.05 %. Se proyecta 92.39 %, 30 hrs menos por reducción de paradas correctivas, equivalente a 160 kton". Tiene línea base, objetivo, unidad y conversión a tonelaje.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 Plan bien formulado (A3 Loading &amp; Drilling): </w:t>
      </w:r>
      <w:r>
        <w:rPr>
          <w:rFonts w:ascii="Arial" w:cs="Arial" w:eastAsia="Arial" w:hAnsi="Arial"/>
          <w:sz w:val="20"/>
          <w:szCs w:val="20"/>
        </w:rPr>
        <w:t xml:space="preserve">reporte de % de avance, frecuencia quincenal y mensual, responsable Planeamiento, medio correo y reuniones.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Evidencia declarada por contramedida (A3 Electric Loading): </w:t>
      </w:r>
      <w:r>
        <w:rPr>
          <w:rFonts w:ascii="Arial" w:cs="Arial" w:eastAsia="Arial" w:hAnsi="Arial"/>
          <w:sz w:val="20"/>
          <w:szCs w:val="20"/>
        </w:rPr>
        <w:t xml:space="preserve">"Meta: ≥95 % frentes cumplen checklist. Evidencia: checklist diario + auditoría supervisor".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Qué NO exige esta rúbrica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Estas iniciativas duran de 1 a 12 meses. No se pide EDT, línea base de cronograma, valor ganado, registro de interesados ni acta de constitución. El propio estándar advierte que exigir más procesos de los requeridos es costoso y genera desperdicio (Guía p. 104).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2026-10-22T19:28:33.103Z</dcterms:created>
  <dcterms:modified xsi:type="dcterms:W3CDTF">2026-10-22T19:28:33.111Z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