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0"/>
          <w:szCs w:val="30"/>
        </w:rPr>
        <w:t xml:space="preserve">Estándar A3 y AMEF — Sprint Las Bambas</w:t>
      </w:r>
    </w:p>
    <w:p>
      <w:pPr>
        <w:spacing w:after="120" w:before="0"/>
      </w:pPr>
      <w:r>
        <w:rPr>
          <w:rFonts w:ascii="Arial" w:cs="Arial" w:eastAsia="Arial" w:hAnsi="Arial"/>
          <w:i/>
          <w:iCs/>
          <w:sz w:val="18"/>
          <w:szCs w:val="18"/>
        </w:rPr>
        <w:t xml:space="preserve">Minera Las Bambas · Excelencia Operacional · Versión 1.0, octubre 2026</w:t>
      </w:r>
    </w:p>
    <w:p>
      <w:pPr>
        <w:spacing w:after="120" w:before="0"/>
      </w:pPr>
      <w:r>
        <w:rPr>
          <w:rFonts w:ascii="Arial" w:cs="Arial" w:eastAsia="Arial" w:hAnsi="Arial"/>
          <w:sz w:val="20"/>
          <w:szCs w:val="20"/>
        </w:rPr>
        <w:t xml:space="preserve">Define qué debe contener cada campo de una lámina A3 y cada fila de la tabla AMEF. Se usa junto con la Rúbrica de QC: este documento dice qué va en cada campo, la rúbrica dice cuándo está bien puesto.</w:t>
      </w:r>
    </w:p>
    <w:p>
      <w:pPr>
        <w:pStyle w:val="Heading2"/>
        <w:spacing w:after="120" w:before="240"/>
      </w:pPr>
      <w:r>
        <w:rPr>
          <w:rFonts w:ascii="Arial" w:cs="Arial" w:eastAsia="Arial" w:hAnsi="Arial"/>
          <w:b/>
          <w:bCs/>
          <w:color w:val="1F3864"/>
          <w:sz w:val="24"/>
          <w:szCs w:val="24"/>
        </w:rPr>
        <w:t xml:space="preserve">Los seis campos de la lámina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Campo</w:t>
            </w:r>
          </w:p>
        </w:tc>
        <w:tc>
          <w:tcPr>
            <w:tcW w:type="dxa" w:w="3900"/>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Qué debe contener</w:t>
            </w:r>
          </w:p>
        </w:tc>
        <w:tc>
          <w:tcPr>
            <w:tcW w:type="dxa" w:w="3560"/>
            <w:shd w:fill="1F3864"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Error típico a rechazar</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Background</w:t>
            </w:r>
          </w:p>
          <w:p>
            <w:pPr>
              <w:spacing w:after="0"/>
            </w:pPr>
            <w:r>
              <w:rPr>
                <w:rFonts w:ascii="Arial" w:cs="Arial" w:eastAsia="Arial" w:hAnsi="Arial"/>
                <w:b w:val="false"/>
                <w:bCs w:val="false"/>
                <w:sz w:val="18"/>
                <w:szCs w:val="18"/>
              </w:rPr>
              <w:t xml:space="preserve">(背景)</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Por qué existe la iniciativa. El problema con su línea base: valor actual, unidad y periodo de medición.</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Describir el problema en adjetivos. "Se ha identificado factores que influyen" no es una línea base.</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Current conditions</w:t>
            </w:r>
          </w:p>
          <w:p>
            <w:pPr>
              <w:spacing w:after="0"/>
            </w:pPr>
            <w:r>
              <w:rPr>
                <w:rFonts w:ascii="Arial" w:cs="Arial" w:eastAsia="Arial" w:hAnsi="Arial"/>
                <w:b w:val="false"/>
                <w:bCs w:val="false"/>
                <w:sz w:val="18"/>
                <w:szCs w:val="18"/>
              </w:rPr>
              <w:t xml:space="preserve">(当前状况)</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El estado de hoy, con dato de respaldo: gráfico, tabla o cifra. Es un diagnóstico, no un plan.</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Llenar la sección con acciones por hacer. Si empieza con verbos de acción, está mal ubicado.</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Goal</w:t>
            </w:r>
          </w:p>
          <w:p>
            <w:pPr>
              <w:spacing w:after="0"/>
            </w:pPr>
            <w:r>
              <w:rPr>
                <w:rFonts w:ascii="Arial" w:cs="Arial" w:eastAsia="Arial" w:hAnsi="Arial"/>
                <w:b w:val="false"/>
                <w:bCs w:val="false"/>
                <w:sz w:val="18"/>
                <w:szCs w:val="18"/>
              </w:rPr>
              <w:t xml:space="preserve">(目标)</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Valor inicial, valor objetivo, unidad y fecha. Si se puede, la conversión a tonelaje, horas o dólares.</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Verbos de intención sin número ("incrementar la productividad"), o placeholders sin llenar ("de xx a yy").</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Root causes</w:t>
            </w:r>
          </w:p>
          <w:p>
            <w:pPr>
              <w:spacing w:after="0"/>
            </w:pPr>
            <w:r>
              <w:rPr>
                <w:rFonts w:ascii="Arial" w:cs="Arial" w:eastAsia="Arial" w:hAnsi="Arial"/>
                <w:b w:val="false"/>
                <w:bCs w:val="false"/>
                <w:sz w:val="18"/>
                <w:szCs w:val="18"/>
              </w:rPr>
              <w:t xml:space="preserve">(根本原因)</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Las causas que explican el problema del título, en estructura causa – evento – consecuencia. Numeradas C1, C2, C3 para poder referenciarlas desde las contramedidas.</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Una sola causa genérica que no explica el problema. Causas copiadas de otro A3.</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Countermeasures</w:t>
            </w:r>
          </w:p>
          <w:p>
            <w:pPr>
              <w:spacing w:after="0"/>
            </w:pPr>
            <w:r>
              <w:rPr>
                <w:rFonts w:ascii="Arial" w:cs="Arial" w:eastAsia="Arial" w:hAnsi="Arial"/>
                <w:b w:val="false"/>
                <w:bCs w:val="false"/>
                <w:sz w:val="18"/>
                <w:szCs w:val="18"/>
              </w:rPr>
              <w:t xml:space="preserve">(应对措施)</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Una fila por entregable, con: causa que ataca (C1, C2…), entregable clave en sustantivo, responsable persona única, fecha DD/MM/AAAA, y en el comentario la meta numérica y la evidencia con la que se cerrará.</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Entregables redactados como actividad continua. Varios responsables. Fecha "Continuo" o "Hasta Dic-2026". Columna de comentario vacía.</w:t>
            </w:r>
          </w:p>
        </w:tc>
      </w:tr>
      <w:tr>
        <w:trPr>
          <w:tblHeader w:val="false"/>
        </w:trPr>
        <w:tc>
          <w:tcPr>
            <w:tcW w:type="dxa" w:w="1900"/>
            <w:tcMar>
              <w:top w:type="dxa" w:w="60"/>
              <w:left w:type="dxa" w:w="90"/>
              <w:bottom w:type="dxa" w:w="60"/>
              <w:right w:type="dxa" w:w="90"/>
            </w:tcMar>
          </w:tcPr>
          <w:p>
            <w:pPr>
              <w:spacing w:after="0"/>
            </w:pPr>
            <w:r>
              <w:rPr>
                <w:rFonts w:ascii="Arial" w:cs="Arial" w:eastAsia="Arial" w:hAnsi="Arial"/>
                <w:b w:val="false"/>
                <w:bCs w:val="false"/>
                <w:sz w:val="18"/>
                <w:szCs w:val="18"/>
              </w:rPr>
              <w:t xml:space="preserve">Control Plan</w:t>
            </w:r>
          </w:p>
          <w:p>
            <w:pPr>
              <w:spacing w:after="0"/>
            </w:pPr>
            <w:r>
              <w:rPr>
                <w:rFonts w:ascii="Arial" w:cs="Arial" w:eastAsia="Arial" w:hAnsi="Arial"/>
                <w:b w:val="false"/>
                <w:bCs w:val="false"/>
                <w:sz w:val="18"/>
                <w:szCs w:val="18"/>
              </w:rPr>
              <w:t xml:space="preserve">(管控方案)</w:t>
            </w:r>
          </w:p>
        </w:tc>
        <w:tc>
          <w:tcPr>
            <w:tcW w:type="dxa" w:w="3900"/>
            <w:tcMar>
              <w:top w:type="dxa" w:w="60"/>
              <w:left w:type="dxa" w:w="90"/>
              <w:bottom w:type="dxa" w:w="60"/>
              <w:right w:type="dxa" w:w="90"/>
            </w:tcMar>
          </w:tcPr>
          <w:p>
            <w:pPr>
              <w:spacing w:after="0"/>
            </w:pPr>
            <w:r>
              <w:rPr>
                <w:rFonts w:ascii="Arial" w:cs="Arial" w:eastAsia="Arial" w:hAnsi="Arial"/>
                <w:b w:val="false"/>
                <w:bCs w:val="false"/>
                <w:sz w:val="18"/>
                <w:szCs w:val="18"/>
              </w:rPr>
              <w:t xml:space="preserve">Cuatro datos: qué se reporta, con qué frecuencia, quién lo revisa y en qué medio. Es lo que sostiene el resultado después de cerrar.</w:t>
            </w:r>
          </w:p>
        </w:tc>
        <w:tc>
          <w:tcPr>
            <w:tcW w:type="dxa" w:w="3560"/>
            <w:tcMar>
              <w:top w:type="dxa" w:w="60"/>
              <w:left w:type="dxa" w:w="90"/>
              <w:bottom w:type="dxa" w:w="60"/>
              <w:right w:type="dxa" w:w="90"/>
            </w:tcMar>
          </w:tcPr>
          <w:p>
            <w:pPr>
              <w:spacing w:after="0"/>
            </w:pPr>
            <w:r>
              <w:rPr>
                <w:rFonts w:ascii="Arial" w:cs="Arial" w:eastAsia="Arial" w:hAnsi="Arial"/>
                <w:b w:val="false"/>
                <w:bCs w:val="false"/>
                <w:sz w:val="18"/>
                <w:szCs w:val="18"/>
              </w:rPr>
              <w:t xml:space="preserve">Sección vacía. Un calendario de colores sin frecuencia ni responsable.</w:t>
            </w:r>
          </w:p>
        </w:tc>
      </w:tr>
    </w:tbl>
    <w:p>
      <w:pPr>
        <w:pStyle w:val="Heading2"/>
        <w:spacing w:after="120" w:before="240"/>
      </w:pPr>
      <w:r>
        <w:rPr>
          <w:rFonts w:ascii="Arial" w:cs="Arial" w:eastAsia="Arial" w:hAnsi="Arial"/>
          <w:b/>
          <w:bCs/>
          <w:color w:val="1F3864"/>
          <w:sz w:val="24"/>
          <w:szCs w:val="24"/>
        </w:rPr>
        <w:t xml:space="preserve">Los campos de una fila AMEF</w:t>
      </w:r>
    </w:p>
    <w:p>
      <w:pPr>
        <w:spacing w:after="120" w:before="0"/>
      </w:pPr>
      <w:r>
        <w:rPr>
          <w:rFonts w:ascii="Arial" w:cs="Arial" w:eastAsia="Arial" w:hAnsi="Arial"/>
          <w:sz w:val="20"/>
          <w:szCs w:val="20"/>
        </w:rPr>
        <w:t xml:space="preserve">Además del riesgo, la acción, el tipo de impacto, el responsable y la fecha límite que ya usamos, toda fila debe traer dos campos que el formato clásico no tiene:</w:t>
      </w:r>
    </w:p>
    <w:p>
      <w:pPr>
        <w:pStyle w:val="ListParagraph"/>
        <w:numPr>
          <w:ilvl w:val="0"/>
          <w:numId w:val="1"/>
        </w:numPr>
        <w:spacing w:after="120"/>
      </w:pPr>
      <w:r>
        <w:rPr>
          <w:rFonts w:ascii="Arial" w:cs="Arial" w:eastAsia="Arial" w:hAnsi="Arial"/>
          <w:b/>
          <w:bCs/>
          <w:sz w:val="20"/>
          <w:szCs w:val="20"/>
        </w:rPr>
        <w:t xml:space="preserve">Disparador. </w:t>
      </w:r>
      <w:r>
        <w:rPr>
          <w:rFonts w:ascii="Arial" w:cs="Arial" w:eastAsia="Arial" w:hAnsi="Arial"/>
          <w:sz w:val="20"/>
          <w:szCs w:val="20"/>
        </w:rPr>
        <w:t xml:space="preserve">La señal observable de que el riesgo se está materializando. Ejemplo: "el stock de válvulas HV cae por debajo de 2 unidades". Sin disparador, el riesgo solo se detecta cuando ya ocurrió.</w:t>
      </w:r>
    </w:p>
    <w:p>
      <w:pPr>
        <w:pStyle w:val="ListParagraph"/>
        <w:numPr>
          <w:ilvl w:val="0"/>
          <w:numId w:val="1"/>
        </w:numPr>
        <w:spacing w:after="120"/>
      </w:pPr>
      <w:r>
        <w:rPr>
          <w:rFonts w:ascii="Arial" w:cs="Arial" w:eastAsia="Arial" w:hAnsi="Arial"/>
          <w:b/>
          <w:bCs/>
          <w:sz w:val="20"/>
          <w:szCs w:val="20"/>
        </w:rPr>
        <w:t xml:space="preserve">Fecha límite para actuar. </w:t>
      </w:r>
      <w:r>
        <w:rPr>
          <w:rFonts w:ascii="Arial" w:cs="Arial" w:eastAsia="Arial" w:hAnsi="Arial"/>
          <w:sz w:val="20"/>
          <w:szCs w:val="20"/>
        </w:rPr>
        <w:t xml:space="preserve">Distinta de la fecha de la acción. Es la fecha después de la cual ejecutar la acción ya no evita el impacto.</w:t>
      </w:r>
    </w:p>
    <w:p>
      <w:pPr>
        <w:spacing w:after="120" w:before="0"/>
      </w:pPr>
      <w:r>
        <w:rPr>
          <w:rFonts w:ascii="Arial" w:cs="Arial" w:eastAsia="Arial" w:hAnsi="Arial"/>
          <w:sz w:val="20"/>
          <w:szCs w:val="20"/>
        </w:rPr>
        <w:t xml:space="preserve">Y el AMEF de cada área debe incluir al menos una oportunidad, no solo amenazas. Una oportunidad es un evento incierto de efecto positivo: un proveedor que adelanta una entrega, una parada programada que se puede aprovechar, una prueba que puede escalar. Se registra igual que una amenaza y se hace seguimiento a su materialización.</w:t>
      </w:r>
    </w:p>
    <w:p>
      <w:pPr>
        <w:pStyle w:val="Heading2"/>
        <w:spacing w:after="120" w:before="240"/>
      </w:pPr>
      <w:r>
        <w:rPr>
          <w:rFonts w:ascii="Arial" w:cs="Arial" w:eastAsia="Arial" w:hAnsi="Arial"/>
          <w:b/>
          <w:bCs/>
          <w:color w:val="1F3864"/>
          <w:sz w:val="24"/>
          <w:szCs w:val="24"/>
        </w:rPr>
        <w:t xml:space="preserve">Entregable, actividad y resultado: la distinción que más se confunde</w:t>
      </w:r>
    </w:p>
    <w:p>
      <w:pPr>
        <w:spacing w:after="120" w:before="0"/>
      </w:pPr>
      <w:r>
        <w:rPr>
          <w:rFonts w:ascii="Arial" w:cs="Arial" w:eastAsia="Arial" w:hAnsi="Arial"/>
          <w:sz w:val="20"/>
          <w:szCs w:val="20"/>
        </w:rPr>
        <w:t xml:space="preserve">Un entregable es un producto verificable que en algún momento existe o no existe. Se nombra con un sustantivo: "contrato de suministro de cóncavos firmado", "estudio estructural emitido", "procedimiento de muestreo publicado".</w:t>
      </w:r>
    </w:p>
    <w:p>
      <w:pPr>
        <w:spacing w:after="120" w:before="0"/>
      </w:pPr>
      <w:r>
        <w:rPr>
          <w:rFonts w:ascii="Arial" w:cs="Arial" w:eastAsia="Arial" w:hAnsi="Arial"/>
          <w:sz w:val="20"/>
          <w:szCs w:val="20"/>
        </w:rPr>
        <w:t xml:space="preserve">Una actividad continua no es un entregable. "Mantener control operativo", "continuar con las pruebas", "hacer seguimiento a operadores" nunca se pueden cerrar ni dejar de cumplir. Si la acción es permanente, pertenece al Control Plan, no a la lista de entregables.</w:t>
      </w:r>
    </w:p>
    <w:p>
      <w:pPr>
        <w:spacing w:after="120" w:before="0"/>
      </w:pPr>
      <w:r>
        <w:rPr>
          <w:rFonts w:ascii="Arial" w:cs="Arial" w:eastAsia="Arial" w:hAnsi="Arial"/>
          <w:sz w:val="20"/>
          <w:szCs w:val="20"/>
        </w:rPr>
        <w:t xml:space="preserve">Y el entregable no es el resultado. El entregable habilita el resultado. Si instalar la balanza no basta para reducir el factor de reconciliación, faltan entregables: la calibración, el procedimiento, el entrenamiento. Al revisar un A3 hay que preguntarse si los entregables listados, todos juntos, alcanzan para mover la meta.</w:t>
      </w:r>
    </w:p>
    <w:p>
      <w:pPr>
        <w:pStyle w:val="Heading2"/>
        <w:spacing w:after="120" w:before="240"/>
      </w:pPr>
      <w:r>
        <w:rPr>
          <w:rFonts w:ascii="Arial" w:cs="Arial" w:eastAsia="Arial" w:hAnsi="Arial"/>
          <w:b/>
          <w:bCs/>
          <w:color w:val="1F3864"/>
          <w:sz w:val="24"/>
          <w:szCs w:val="24"/>
        </w:rPr>
        <w:t xml:space="preserve">Ejemplo bien hecho</w:t>
      </w:r>
    </w:p>
    <w:p>
      <w:pPr>
        <w:spacing w:after="120" w:before="0"/>
      </w:pPr>
      <w:r>
        <w:rPr>
          <w:rFonts w:ascii="Arial" w:cs="Arial" w:eastAsia="Arial" w:hAnsi="Arial"/>
          <w:b/>
          <w:bCs/>
          <w:sz w:val="20"/>
          <w:szCs w:val="20"/>
        </w:rPr>
        <w:t xml:space="preserve">A3 Aseguramiento de la Disponibilidad Chancado 2026.</w:t>
      </w:r>
    </w:p>
    <w:p>
      <w:pPr>
        <w:pStyle w:val="ListParagraph"/>
        <w:numPr>
          <w:ilvl w:val="0"/>
          <w:numId w:val="1"/>
        </w:numPr>
        <w:spacing w:after="120" w:before="0"/>
      </w:pPr>
      <w:r>
        <w:rPr>
          <w:rFonts w:ascii="Arial" w:cs="Arial" w:eastAsia="Arial" w:hAnsi="Arial"/>
          <w:sz w:val="20"/>
          <w:szCs w:val="20"/>
        </w:rPr>
        <w:t xml:space="preserve">Goal: "En Budget 2026 se ofrece 92.05 %. Se proyecta 92.39 %, 30 hrs menos por reducción de paradas correctivas, equivalente a 160 kton." Tiene línea base, objetivo, unidad y conversión a tonelaje.</w:t>
      </w:r>
    </w:p>
    <w:p>
      <w:pPr>
        <w:pStyle w:val="ListParagraph"/>
        <w:numPr>
          <w:ilvl w:val="0"/>
          <w:numId w:val="1"/>
        </w:numPr>
        <w:spacing w:after="120" w:before="0"/>
      </w:pPr>
      <w:r>
        <w:rPr>
          <w:rFonts w:ascii="Arial" w:cs="Arial" w:eastAsia="Arial" w:hAnsi="Arial"/>
          <w:sz w:val="20"/>
          <w:szCs w:val="20"/>
        </w:rPr>
        <w:t xml:space="preserve">Background: compara el desempeño 2025 real contra lo ofrecido y proyecta el 2026 con el mismo criterio.</w:t>
      </w:r>
    </w:p>
    <w:p>
      <w:pPr>
        <w:pStyle w:val="ListParagraph"/>
        <w:numPr>
          <w:ilvl w:val="0"/>
          <w:numId w:val="1"/>
        </w:numPr>
        <w:spacing w:after="120" w:before="0"/>
      </w:pPr>
      <w:r>
        <w:rPr>
          <w:rFonts w:ascii="Arial" w:cs="Arial" w:eastAsia="Arial" w:hAnsi="Arial"/>
          <w:sz w:val="20"/>
          <w:szCs w:val="20"/>
        </w:rPr>
        <w:t xml:space="preserve">Causas raíz numeradas C1, C2 y C3, cada una referenciada desde las contramedidas.</w:t>
      </w:r>
    </w:p>
    <w:p>
      <w:pPr>
        <w:pStyle w:val="Heading2"/>
        <w:spacing w:after="120" w:before="240"/>
      </w:pPr>
      <w:r>
        <w:rPr>
          <w:rFonts w:ascii="Arial" w:cs="Arial" w:eastAsia="Arial" w:hAnsi="Arial"/>
          <w:b/>
          <w:bCs/>
          <w:color w:val="1F3864"/>
          <w:sz w:val="24"/>
          <w:szCs w:val="24"/>
        </w:rPr>
        <w:t xml:space="preserve">Ejemplos mal hechos, y por qué</w:t>
      </w:r>
    </w:p>
    <w:p>
      <w:pPr>
        <w:pStyle w:val="ListParagraph"/>
        <w:numPr>
          <w:ilvl w:val="0"/>
          <w:numId w:val="1"/>
        </w:numPr>
        <w:spacing w:after="120" w:before="0"/>
      </w:pPr>
      <w:r>
        <w:rPr>
          <w:rFonts w:ascii="Arial" w:cs="Arial" w:eastAsia="Arial" w:hAnsi="Arial"/>
          <w:sz w:val="20"/>
          <w:szCs w:val="20"/>
        </w:rPr>
        <w:t xml:space="preserve">A3 Productivity Electric Loading. El Goal dice "Incremento de productividad de palas electricas (de xx a yy al cierre 2026)". El placeholder llegó así a la presentación final al LT. Reprueba el criterio 2.</w:t>
      </w:r>
    </w:p>
    <w:p>
      <w:pPr>
        <w:pStyle w:val="ListParagraph"/>
        <w:numPr>
          <w:ilvl w:val="0"/>
          <w:numId w:val="1"/>
        </w:numPr>
        <w:spacing w:after="120" w:before="0"/>
      </w:pPr>
      <w:r>
        <w:rPr>
          <w:rFonts w:ascii="Arial" w:cs="Arial" w:eastAsia="Arial" w:hAnsi="Arial"/>
          <w:sz w:val="20"/>
          <w:szCs w:val="20"/>
        </w:rPr>
        <w:t xml:space="preserve">A3 Aseguramiento de Disponibilidad Filtros 2026. Declara una sola causa raíz, "Mineral de alta competencia", que no explica fallas de fajas, bombas ni placas de filtros. Además su Background es idéntico palabra por palabra al del A3 de Molienda. Reprueba los criterios 4 y, por duplicación, se marca como posible duplicado.</w:t>
      </w:r>
    </w:p>
    <w:p>
      <w:pPr>
        <w:pStyle w:val="ListParagraph"/>
        <w:numPr>
          <w:ilvl w:val="0"/>
          <w:numId w:val="1"/>
        </w:numPr>
        <w:spacing w:after="120" w:before="0"/>
      </w:pPr>
      <w:r>
        <w:rPr>
          <w:rFonts w:ascii="Arial" w:cs="Arial" w:eastAsia="Arial" w:hAnsi="Arial"/>
          <w:sz w:val="20"/>
          <w:szCs w:val="20"/>
        </w:rPr>
        <w:t xml:space="preserve">A3 Facilidades Mina Chalcobamba. Control Plan vacío y una fecha escrita "31/01/256". Reprueba el criterio 11.</w:t>
      </w:r>
    </w:p>
    <w:p>
      <w:pPr>
        <w:pStyle w:val="ListParagraph"/>
        <w:numPr>
          <w:ilvl w:val="0"/>
          <w:numId w:val="1"/>
        </w:numPr>
        <w:spacing w:after="120" w:before="0"/>
      </w:pPr>
      <w:r>
        <w:rPr>
          <w:rFonts w:ascii="Arial" w:cs="Arial" w:eastAsia="Arial" w:hAnsi="Arial"/>
          <w:sz w:val="20"/>
          <w:szCs w:val="20"/>
        </w:rPr>
        <w:t xml:space="preserve">Tabla AMEF Mina, fila 12. La acción tiene seis responsables: Eduardo G., Giovanna Huaney, Enrique Angulo, Marcela Insignares, Oscar Chirinos y el área de PD. Reprueba el criterio 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2026-10-22T19:30:04.226Z</dcterms:created>
  <dcterms:modified xsi:type="dcterms:W3CDTF">2026-10-22T19:30:04.227Z</dcterms:modified>
</cp:coreProperties>
</file>

<file path=docProps/custom.xml><?xml version="1.0" encoding="utf-8"?>
<Properties xmlns="http://schemas.openxmlformats.org/officeDocument/2006/custom-properties" xmlns:vt="http://schemas.openxmlformats.org/officeDocument/2006/docPropsVTypes"/>
</file>