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Reglas del Sprint 2027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Minera Las Bambas · Excelencia Operacional · Versión 1.0, octubre 2026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Diez reglas derivadas del análisis del Sprint 2026 y del PMBOK 8ª edición. Cada una prohíbe algo que ocurrió y pone en su lugar algo verificable. Ninguna agrega trabajo de documentación que no reemplace otro.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266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exige en su lugar</w:t>
            </w:r>
          </w:p>
        </w:tc>
        <w:tc>
          <w:tcPr>
            <w:tcW w:type="dxa" w:w="26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qué: la evidencia de 2026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aceptar fechas de fin de mes por defecto.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 fecha vale si alguien puede decir qué pasa ese día. Ningún proyecto con más de dos entregables puede tener todas sus fechas iguales, y el 31/12 solo se acepta con justificación escrita.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2026 el 84 % venció a fin de mes y tres fechas concentraron el 47 % del portafolio.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aprobar una fecha que el responsable no confirmó.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Antes de cerrar el taller, cada persona ve su lista completa de entregables del año y confirma que las fechas son compatibles entre sí.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Eduardo Guanilo habría visto 48 entregables en una sola pantalla; Jaime Trillo, 38.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poner más de un responsable por entregable.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solo nombre y apellido. Los demás participantes van en un campo aparte de apoyo, que no recibe el correo de seguimiento ni responde por el cierre.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2026 el 58 % de los entregables tenía más de un responsable y 24 tenían cinco o más.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aceptar un área como responsable.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"Op Mina", "Confiabilidad" y "Contratos" no asisten a la reunión de seguimiento. Si el área no puede nombrar a una persona en el taller, el entregable no entra.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Varias filas del AMEF 2026 tienen un área en el campo de responsable.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cerrar el taller con texto en rojo.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 observaciones de QC se cierran dentro de los tres días del sprint o la lámina no pasa a Jira.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QC de 2026 sí se hizo: las observaciones están en rojo sobre las láminas de la presentación final al LT, y nunca se cerraron.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cargar a Jira lo que nadie revisó.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equipo carga sus propios entregables antes de salir de la sala, aunque cueste medio día del taller.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2026 la transcripción la hizo gente que no estuvo en la mesa: 318 de 330 ítems quedaron asignados a una sola persona.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usar indicadores de insumo como medida de avance.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 hicieron las reuniones semanales" no es avance. Cada entregable declara un indicador de resultado con su fuente de dato (PI, MLB, SAP, AMPLA) y un umbral numérico.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estándar es explícito: las métricas deben medir logro de outcomes, no utilización de recursos ni cumplimiento de estándares.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escribir entregables que empiecen con "mantener", "continuar" o "seguimiento".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 la acción es continua, pertenece al Control Plan, no a la lista de entregables.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9 % de los entregables de 2026 son actividades permanentes disfrazadas: nunca se pueden cerrar ni dejar de cumplir.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dejar el Control Plan en blanco.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Cuatro datos: qué se reporta, con qué frecuencia, quién lo revisa y en qué medio.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Cuatro A3 de 2026 llegaron a la presentación final sin plan de control: Chancado, Molienda, Filtros y Facilidades Chalcobamba.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mover a backlog sin justificación ni dueño del traslado.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traslado nombra cuál de las seis decisiones posibles es —continuar, continuar con modificación, terminar, permanecer, repetir o aparcar—, por qué, y quién lo retoma.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los 12 entregables que pasaron a backlog en 2026, varios no explican el motivo.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Dos cosas que sí hay que agregar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 par disparador y fecha límite de acción en los riesgos AMEF. </w:t>
      </w:r>
      <w:r>
        <w:rPr>
          <w:rFonts w:ascii="Arial" w:cs="Arial" w:eastAsia="Arial" w:hAnsi="Arial"/>
          <w:sz w:val="20"/>
          <w:szCs w:val="20"/>
        </w:rPr>
        <w:t xml:space="preserve">Hoy tenemos la fecha de la acción; falta la señal que indica que el riesgo se está materializando y la fecha después de la cual actuar ya no sirve. Son dos campos y convierten el AMEF en algo que se puede monitorear sin reuniones.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 columna de oportunidades. </w:t>
      </w:r>
      <w:r>
        <w:rPr>
          <w:rFonts w:ascii="Arial" w:cs="Arial" w:eastAsia="Arial" w:hAnsi="Arial"/>
          <w:sz w:val="20"/>
          <w:szCs w:val="20"/>
        </w:rPr>
        <w:t xml:space="preserve">Los 44 riesgos de 2026 son todos amenazas. El estándar pide simétricamente aumentar la probabilidad e impacto de los riesgos positivos y rastrear su materialización. En un año en que la meta de recuperación de Mo salta de 32.4 a 40.61, un portafolio que solo mitiga amenazas no va a llegar.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2026-10-22T19:30:04.272Z</dcterms:created>
  <dcterms:modified xsi:type="dcterms:W3CDTF">2026-10-22T19:30:04.272Z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