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  <w:jc w:val="center"/>
      </w:pPr>
      <w:r>
        <w:rPr>
          <w:rFonts w:ascii="Calibri" w:hAnsi="Calibri"/>
          <w:b/>
          <w:color w:val="0F172A"/>
          <w:sz w:val="36"/>
        </w:rPr>
        <w:t>Chapter 8 Individual Assignment Report</w:t>
      </w:r>
    </w:p>
    <w:p>
      <w:pPr>
        <w:spacing w:before="0" w:after="160" w:line="264" w:lineRule="auto"/>
        <w:jc w:val="center"/>
      </w:pPr>
      <w:r>
        <w:rPr>
          <w:rFonts w:ascii="Calibri" w:hAnsi="Calibri"/>
          <w:b w:val="0"/>
          <w:color w:val="555F6E"/>
          <w:sz w:val="22"/>
        </w:rPr>
        <w:t>Employee Directory with Vue 3, Axios, Express and MySQL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3024"/>
        <w:gridCol w:w="1728"/>
        <w:gridCol w:w="2880"/>
      </w:tblGrid>
      <w:tr>
        <w:tc>
          <w:tcPr>
            <w:tcW w:type="dxa" w:w="2520"/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18"/>
              </w:rPr>
              <w:t>Name</w:t>
            </w:r>
          </w:p>
        </w:tc>
        <w:tc>
          <w:tcPr>
            <w:tcW w:type="dxa" w:w="2520"/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18"/>
              </w:rPr>
              <w:t>ZUO BOYU</w:t>
            </w:r>
          </w:p>
        </w:tc>
        <w:tc>
          <w:tcPr>
            <w:tcW w:type="dxa" w:w="2520"/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18"/>
              </w:rPr>
              <w:t>Matric No.</w:t>
            </w:r>
          </w:p>
        </w:tc>
        <w:tc>
          <w:tcPr>
            <w:tcW w:type="dxa" w:w="2520"/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18"/>
              </w:rPr>
              <w:t>A24CS4045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Course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Cross Platform Application Development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Chapter</w:t>
            </w:r>
          </w:p>
        </w:tc>
        <w:tc>
          <w:tcPr>
            <w:tcW w:type="dxa" w:w="2520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8 - Connecting Vue to Backend</w:t>
            </w:r>
          </w:p>
        </w:tc>
      </w:tr>
    </w:tbl>
    <w:p>
      <w:pPr>
        <w:spacing w:before="200" w:after="80" w:line="264" w:lineRule="auto"/>
      </w:pPr>
      <w:r>
        <w:rPr>
          <w:rFonts w:ascii="Calibri" w:hAnsi="Calibri"/>
          <w:b/>
          <w:color w:val="2E74B5"/>
          <w:sz w:val="30"/>
        </w:rPr>
        <w:t>1. Working UI Screenshots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Figure 1 shows the laptop view with summary cards, the add/edit form, search and sort controls, the paginated table, active/inactive badges, and Malaysian Ringgit salary formatting. Figure 2 shows the same UI re-flowed at tablet width: the form stacks above the table and no horizontal scrolling is required.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8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64" w:lineRule="auto"/>
        <w:jc w:val="center"/>
      </w:pPr>
      <w:r>
        <w:rPr>
          <w:rFonts w:ascii="Calibri" w:hAnsi="Calibri"/>
          <w:b w:val="0"/>
          <w:color w:val="555F6E"/>
          <w:sz w:val="17"/>
        </w:rPr>
        <w:t>Figure 1. Laptop view (&gt;=1024 px): summary cards, form, paginated table, status badges, RM salaries.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t-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64" w:lineRule="auto"/>
        <w:jc w:val="center"/>
      </w:pPr>
      <w:r>
        <w:rPr>
          <w:rFonts w:ascii="Calibri" w:hAnsi="Calibri"/>
          <w:b w:val="0"/>
          <w:color w:val="555F6E"/>
          <w:sz w:val="17"/>
        </w:rPr>
        <w:t>Figure 2. Tablet view (&gt;=768 px): the workspace grid collapses to a single column.</w:t>
      </w:r>
    </w:p>
    <w:p>
      <w:r>
        <w:br w:type="page"/>
      </w:r>
    </w:p>
    <w:p>
      <w:pPr>
        <w:spacing w:before="200" w:after="80" w:line="264" w:lineRule="auto"/>
      </w:pPr>
      <w:r>
        <w:rPr>
          <w:rFonts w:ascii="Calibri" w:hAnsi="Calibri"/>
          <w:b/>
          <w:color w:val="2E74B5"/>
          <w:sz w:val="30"/>
        </w:rPr>
        <w:t>2. Chapter 8 Learning Outcomes - Code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3888"/>
        <w:gridCol w:w="3600"/>
      </w:tblGrid>
      <w:tr>
        <w:tc>
          <w:tcPr>
            <w:tcW w:type="dxa" w:w="3360"/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18"/>
              </w:rPr>
              <w:t>Learning Outcome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18"/>
              </w:rPr>
              <w:t>How the project satisfies it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18"/>
              </w:rPr>
              <w:t>Where to look (file:line)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LO1. Connect Vue to a REST backend.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App.vue owns employees and loading flags; onMounted triggers loadEmployees(); errors surface in a banner.</w:t>
            </w:r>
          </w:p>
        </w:tc>
        <w:tc>
          <w:tcPr>
            <w:tcW w:type="dxa" w:w="3600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src/App.vue:28, 30-53, 148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LO2. Use Axios with interceptors and async/await.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Single axios.create() instance with baseURL/timeout/headers. Request interceptor logs every call; response interceptor maps every error shape to {message, status, errors}. All call sites are async/await.</w:t>
            </w:r>
          </w:p>
        </w:tc>
        <w:tc>
          <w:tcPr>
            <w:tcW w:type="dxa" w:w="3600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src/services/api.js:3, 12, 18, 35-52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LO3. Validated Vue forms with v-model and emits.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EmployeeForm.vue uses v-model.trim on text inputs and v-model.number on Salary. validate() enforces all seven rules; inline field errors render before submit; payload is emitted to the parent.</w:t>
            </w:r>
          </w:p>
        </w:tc>
        <w:tc>
          <w:tcPr>
            <w:tcW w:type="dxa" w:w="3600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src/components/EmployeeForm.vue:73-94, 135, 177, 50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LO4. CRUD against MySQL with prepared statements, search and sort.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Express implements GET/POST/PUT/DELETE /employees. LIKE search on 4 columns; ORDER BY restricted to a whitelist; all values use ? placeholders, including LIMIT/OFFSET; mysql2/promise pool.</w:t>
            </w:r>
          </w:p>
        </w:tc>
        <w:tc>
          <w:tcPr>
            <w:tcW w:type="dxa" w:w="3600"/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sz w:val="18"/>
              </w:rPr>
              <w:t>server/index.js:12, 26-73, 89, 120, 154; server/db.js:4</w:t>
            </w:r>
          </w:p>
        </w:tc>
      </w:tr>
    </w:tbl>
    <w:p>
      <w:pPr>
        <w:spacing w:before="200" w:after="80" w:line="264" w:lineRule="auto"/>
      </w:pPr>
      <w:r>
        <w:rPr>
          <w:rFonts w:ascii="Calibri" w:hAnsi="Calibri"/>
          <w:b/>
          <w:color w:val="2E74B5"/>
          <w:sz w:val="30"/>
        </w:rPr>
        <w:t>3. Architecture and Component Structure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/>
          <w:sz w:val="20"/>
        </w:rPr>
        <w:t xml:space="preserve">Parent state: </w:t>
      </w:r>
      <w:r>
        <w:rPr>
          <w:rFonts w:ascii="Calibri" w:hAnsi="Calibri"/>
          <w:b w:val="0"/>
          <w:sz w:val="20"/>
        </w:rPr>
        <w:t>App.vue owns employees, filters, pagination metadata, and the currently selected employee. Children never call the API directly.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/>
          <w:sz w:val="20"/>
        </w:rPr>
        <w:t xml:space="preserve">Children and emits: </w:t>
      </w:r>
      <w:r>
        <w:rPr>
          <w:rFonts w:ascii="Calibri" w:hAnsi="Calibri"/>
          <w:b w:val="0"/>
          <w:sz w:val="20"/>
        </w:rPr>
        <w:t>EmployeeForm emits save/cancel; EmployeeList emits edit/delete/page-change; SearchSortControls emits change with debounced search and whitelisted sort keys.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/>
          <w:sz w:val="20"/>
        </w:rPr>
        <w:t xml:space="preserve">Service layer: </w:t>
      </w:r>
      <w:r>
        <w:rPr>
          <w:rFonts w:ascii="Calibri" w:hAnsi="Calibri"/>
          <w:b w:val="0"/>
          <w:sz w:val="20"/>
        </w:rPr>
        <w:t>src/services/api.js is the only file that imports Axios. Components import named functions and stay transport-agnostic.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/>
          <w:sz w:val="20"/>
        </w:rPr>
        <w:t xml:space="preserve">Validation boundary: </w:t>
      </w:r>
      <w:r>
        <w:rPr>
          <w:rFonts w:ascii="Calibri" w:hAnsi="Calibri"/>
          <w:b w:val="0"/>
          <w:sz w:val="20"/>
        </w:rPr>
        <w:t>Validation runs twice: in EmployeeForm.validate() for inline feedback, and in server validateEmployee() as the authoritative gate before any SQL write. Duplicate empId/email becomes a friendly per-field error via the ER_DUP_ENTRY handler.</w:t>
      </w:r>
    </w:p>
    <w:p>
      <w:r>
        <w:br w:type="page"/>
      </w:r>
    </w:p>
    <w:p>
      <w:pPr>
        <w:spacing w:before="200" w:after="80" w:line="264" w:lineRule="auto"/>
      </w:pPr>
      <w:r>
        <w:rPr>
          <w:rFonts w:ascii="Calibri" w:hAnsi="Calibri"/>
          <w:b/>
          <w:color w:val="2E74B5"/>
          <w:sz w:val="30"/>
        </w:rPr>
        <w:t>4. Challenges and Resolutions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/>
          <w:sz w:val="20"/>
        </w:rPr>
        <w:t xml:space="preserve">Safe sorting: </w:t>
      </w:r>
      <w:r>
        <w:rPr>
          <w:rFonts w:ascii="Calibri" w:hAnsi="Calibri"/>
          <w:b w:val="0"/>
          <w:sz w:val="20"/>
        </w:rPr>
        <w:t>Mapped req.query.sortBy through a fixed whitelist object; unknown keys fall back to name. The direction is reduced to the literal 'ASC' or 'DESC' before interpolation.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/>
          <w:sz w:val="20"/>
        </w:rPr>
        <w:t xml:space="preserve">Heterogeneous Axios errors: </w:t>
      </w:r>
      <w:r>
        <w:rPr>
          <w:rFonts w:ascii="Calibri" w:hAnsi="Calibri"/>
          <w:b w:val="0"/>
          <w:sz w:val="20"/>
        </w:rPr>
        <w:t>Server validation errors, 5xx responses, DNS failures, and timeouts each produce a different Axios error shape. The response interceptor normalises them into one {message, status, errors} object the UI consumes.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/>
          <w:sz w:val="20"/>
        </w:rPr>
        <w:t xml:space="preserve">IPv6 vs IPv4 on Windows/Laragon: </w:t>
      </w:r>
      <w:r>
        <w:rPr>
          <w:rFonts w:ascii="Calibri" w:hAnsi="Calibri"/>
          <w:b w:val="0"/>
          <w:sz w:val="20"/>
        </w:rPr>
        <w:t>Node 18+ resolves localhost to ::1 while Laragon MySQL binds 127.0.0.1. The pool and CORS allow-list pin to 127.0.0.1 to avoid intermittent ECONNREFUSED.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/>
          <w:sz w:val="20"/>
        </w:rPr>
        <w:t xml:space="preserve">Responsive table on tablet: </w:t>
      </w:r>
      <w:r>
        <w:rPr>
          <w:rFonts w:ascii="Calibri" w:hAnsi="Calibri"/>
          <w:b w:val="0"/>
          <w:sz w:val="20"/>
        </w:rPr>
        <w:t>The workspace grid collapses to a single column at &lt;=768 px and the table sits in a horizontally-safe container, keeping the Actions column reachable without overflow.</w:t>
      </w:r>
    </w:p>
    <w:p>
      <w:pPr>
        <w:spacing w:before="200" w:after="80" w:line="264" w:lineRule="auto"/>
      </w:pPr>
      <w:r>
        <w:rPr>
          <w:rFonts w:ascii="Calibri" w:hAnsi="Calibri"/>
          <w:b/>
          <w:color w:val="2E74B5"/>
          <w:sz w:val="30"/>
        </w:rPr>
        <w:t>5. Extensions Beyond the Brief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sz w:val="20"/>
        </w:rPr>
        <w:t>Server-side pagination with clamped integers and a single count query that returns total/active/inactive in one round trip.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sz w:val="20"/>
        </w:rPr>
        <w:t>Search extended to a fourth column (department) on top of the required three.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sz w:val="20"/>
        </w:rPr>
        <w:t>Defensive server-side re-validation that mirrors the client rules, keeping the API safe even when called outside the Vue app.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sz w:val="20"/>
        </w:rPr>
        <w:t>Summary cards driven by SUM(CASE WHEN active...) so totals stay consistent with the active filter.</w:t>
      </w:r>
    </w:p>
    <w:p>
      <w:pPr>
        <w:spacing w:before="200" w:after="80" w:line="264" w:lineRule="auto"/>
      </w:pPr>
      <w:r>
        <w:rPr>
          <w:rFonts w:ascii="Calibri" w:hAnsi="Calibri"/>
          <w:b/>
          <w:color w:val="2E74B5"/>
          <w:sz w:val="30"/>
        </w:rPr>
        <w:t>6. Sources and References</w:t>
      </w:r>
    </w:p>
    <w:p>
      <w:pPr>
        <w:spacing w:before="0" w:after="120" w:line="264" w:lineRule="auto"/>
      </w:pPr>
      <w:r>
        <w:rPr>
          <w:rFonts w:ascii="Calibri" w:hAnsi="Calibri"/>
          <w:b w:val="0"/>
          <w:sz w:val="21"/>
        </w:rPr>
        <w:t>Official documentation consulted during implementation. All code was written by me; AI assistants were used only for explanations and debugging.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sz w:val="20"/>
        </w:rPr>
        <w:t>Vue 3 - Composition API and &lt;script setup&gt;: https://vuejs.org/guide/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sz w:val="20"/>
        </w:rPr>
        <w:t>Vite configuration: https://vitejs.dev/config/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sz w:val="20"/>
        </w:rPr>
        <w:t>Axios - instance configuration and interceptors: https://axios-http.com/docs/interceptors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sz w:val="20"/>
        </w:rPr>
        <w:t>Express 5 routing and middleware: https://expressjs.com/en/5x/api.html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sz w:val="20"/>
        </w:rPr>
        <w:t>mysql2 promise pool and prepared statements: https://github.com/sidorares/node-mysql2#using-prepared-statements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  <w:b w:val="0"/>
          <w:sz w:val="20"/>
        </w:rPr>
        <w:t>MDN Intl.NumberFormat for MYR formatting: https://developer.mozilla.org/en-US/docs/Web/JavaScript/Reference/Global_Objects/Intl/NumberFormat</w:t>
      </w:r>
    </w:p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