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t xml:space="preserve"/>
      </w:r>
    </w:p>
    <w:p>
      <w:pPr>
        <w:shd w:fill="1A56A0" w:val="clear"/>
        <w:spacing w:after="0"/>
        <w:jc w:val="center"/>
      </w:pPr>
      <w:r>
        <w:br/>
        <w:t xml:space="preserve"/>
      </w:r>
    </w:p>
    <w:p>
      <w:pPr>
        <w:shd w:fill="1A56A0" w:val="clear"/>
        <w:spacing w:after="0" w:before="0"/>
        <w:jc w:val="center"/>
      </w:pPr>
      <w:r>
        <w:rPr>
          <w:rFonts w:ascii="Arial" w:cs="Arial" w:eastAsia="Arial" w:hAnsi="Arial"/>
          <w:b/>
          <w:bCs/>
          <w:color w:val="FFFFFF"/>
          <w:sz w:val="64"/>
          <w:szCs w:val="64"/>
        </w:rPr>
        <w:t xml:space="preserve">FraudSentinel</w:t>
      </w:r>
    </w:p>
    <w:p>
      <w:pPr>
        <w:shd w:fill="1A56A0" w:val="clear"/>
        <w:spacing w:after="0" w:before="0"/>
        <w:jc w:val="center"/>
      </w:pPr>
      <w:r>
        <w:rPr>
          <w:rFonts w:ascii="Arial" w:cs="Arial" w:eastAsia="Arial" w:hAnsi="Arial"/>
          <w:b w:val="false"/>
          <w:bCs w:val="false"/>
          <w:color w:val="BDD7F5"/>
          <w:sz w:val="32"/>
          <w:szCs w:val="32"/>
        </w:rPr>
        <w:t xml:space="preserve">Project Brief</w:t>
      </w:r>
    </w:p>
    <w:p>
      <w:pPr>
        <w:shd w:fill="1A56A0" w:val="clear"/>
        <w:spacing w:after="0" w:before="0"/>
        <w:jc w:val="center"/>
      </w:pPr>
      <w:r>
        <w:br/>
        <w:t xml:space="preserve"/>
      </w:r>
    </w:p>
    <w:p>
      <w:pPr>
        <w:spacing w:after="160"/>
      </w:pPr>
      <w:r>
        <w:t xml:space="preserve"/>
      </w:r>
    </w:p>
    <w:p>
      <w:pPr>
        <w:spacing w:after="80"/>
        <w:jc w:val="center"/>
      </w:pPr>
      <w:r>
        <w:rPr>
          <w:rFonts w:ascii="Arial" w:cs="Arial" w:eastAsia="Arial" w:hAnsi="Arial"/>
          <w:i/>
          <w:iCs/>
          <w:color w:val="555555"/>
          <w:sz w:val="26"/>
          <w:szCs w:val="26"/>
        </w:rPr>
        <w:t xml:space="preserve">Google Cloud Rapid Agent Hackathon — Arize Track</w:t>
      </w:r>
    </w:p>
    <w:p>
      <w:pPr>
        <w:spacing w:after="80"/>
        <w:jc w:val="center"/>
      </w:pPr>
      <w:r>
        <w:rPr>
          <w:rFonts w:ascii="Arial" w:cs="Arial" w:eastAsia="Arial" w:hAnsi="Arial"/>
          <w:color w:val="888888"/>
          <w:sz w:val="22"/>
          <w:szCs w:val="22"/>
        </w:rPr>
        <w:t xml:space="preserve">June 2026</w:t>
      </w:r>
    </w:p>
    <w:p>
      <w:pPr>
        <w:pBdr>
          <w:bottom w:val="single" w:color="DDDDDD" w:sz="4" w:space="1"/>
        </w:pBdr>
        <w:spacing w:after="200" w:before="200"/>
      </w:pPr>
      <w:r>
        <w:t xml:space="preserve"/>
      </w:r>
    </w:p>
    <w:p>
      <w:pPr>
        <w:spacing w:after="160"/>
      </w:pPr>
      <w:r>
        <w:t xml:space="preserve"/>
      </w:r>
    </w:p>
    <w:p>
      <w:pPr>
        <w:pStyle w:val="Heading1"/>
      </w:pPr>
      <w:r>
        <w:t xml:space="preserve">Executive summary</w:t>
      </w:r>
    </w:p>
    <w:p>
      <w:pPr>
        <w:spacing w:after="160"/>
      </w:pPr>
      <w:r>
        <w:rPr>
          <w:rFonts w:ascii="Arial" w:cs="Arial" w:eastAsia="Arial" w:hAnsi="Arial"/>
          <w:sz w:val="24"/>
          <w:szCs w:val="24"/>
        </w:rPr>
        <w:t xml:space="preserve">FraudSentinel is a real-time fraud investigation agent built on Google Cloud Agent Builder, powered by Gemini, and deeply integrated with Arize AI via the Model Context Protocol (MCP). The agent autonomously investigates suspicious financial transactions — gathering evidence, reasoning across multiple data sources, making block/allow/escalate decisions, and producing regulator-ready Suspicious Activity Report (SAR) drafts — in under two seconds.</w:t>
      </w:r>
    </w:p>
    <w:p>
      <w:pPr>
        <w:spacing w:after="160"/>
      </w:pPr>
      <w:r>
        <w:rPr>
          <w:rFonts w:ascii="Arial" w:cs="Arial" w:eastAsia="Arial" w:hAnsi="Arial"/>
          <w:sz w:val="24"/>
          <w:szCs w:val="24"/>
        </w:rPr>
        <w:t xml:space="preserve">Unlike conventional fraud systems that return a single opaque risk score, FraudSentinel provides a complete, explainable audit trail of every decision it makes. This positions it for real-world adoption in regulated financial environments where black-box AI is increasingly unacceptable.</w:t>
      </w:r>
    </w:p>
    <w:p>
      <w:pPr>
        <w:spacing w:after="160"/>
      </w:pPr>
      <w:r>
        <w:t xml:space="preserve"/>
      </w:r>
    </w:p>
    <w:p>
      <w:pPr>
        <w:pStyle w:val="Heading1"/>
      </w:pPr>
      <w:r>
        <w:t xml:space="preserve">Problem statement</w:t>
      </w:r>
    </w:p>
    <w:p>
      <w:pPr>
        <w:spacing w:after="160"/>
      </w:pPr>
      <w:r>
        <w:rPr>
          <w:rFonts w:ascii="Arial" w:cs="Arial" w:eastAsia="Arial" w:hAnsi="Arial"/>
          <w:sz w:val="24"/>
          <w:szCs w:val="24"/>
        </w:rPr>
        <w:t xml:space="preserve">Financial fraud costs the global economy over $485 billion annually. Current detection systems suffer from three critical gaps:</w:t>
      </w:r>
    </w:p>
    <w:p>
      <w:pPr>
        <w:pStyle w:val="ListParagraph"/>
        <w:numPr>
          <w:ilvl w:val="0"/>
          <w:numId w:val="2"/>
        </w:numPr>
        <w:spacing w:after="80"/>
      </w:pPr>
      <w:r>
        <w:rPr>
          <w:rFonts w:ascii="Arial" w:cs="Arial" w:eastAsia="Arial" w:hAnsi="Arial"/>
          <w:sz w:val="24"/>
          <w:szCs w:val="24"/>
        </w:rPr>
        <w:t xml:space="preserve">Opacity — a risk score of 0.87 tells an analyst nothing about why a transaction was flagged, making it difficult to act on or appeal</w:t>
      </w:r>
    </w:p>
    <w:p>
      <w:pPr>
        <w:pStyle w:val="ListParagraph"/>
        <w:numPr>
          <w:ilvl w:val="0"/>
          <w:numId w:val="2"/>
        </w:numPr>
        <w:spacing w:after="80"/>
      </w:pPr>
      <w:r>
        <w:rPr>
          <w:rFonts w:ascii="Arial" w:cs="Arial" w:eastAsia="Arial" w:hAnsi="Arial"/>
          <w:sz w:val="24"/>
          <w:szCs w:val="24"/>
        </w:rPr>
        <w:t xml:space="preserve">Latency — manual fraud investigation takes 20–40 minutes per case; automated systems still require significant human review</w:t>
      </w:r>
    </w:p>
    <w:p>
      <w:pPr>
        <w:pStyle w:val="ListParagraph"/>
        <w:numPr>
          <w:ilvl w:val="0"/>
          <w:numId w:val="2"/>
        </w:numPr>
        <w:spacing w:after="80"/>
      </w:pPr>
      <w:r>
        <w:rPr>
          <w:rFonts w:ascii="Arial" w:cs="Arial" w:eastAsia="Arial" w:hAnsi="Arial"/>
          <w:sz w:val="24"/>
          <w:szCs w:val="24"/>
        </w:rPr>
        <w:t xml:space="preserve">Regulatory burden — filing Suspicious Activity Reports (SARs) is time-consuming, error-prone, and a major compliance bottleneck for financial institutions</w:t>
      </w:r>
    </w:p>
    <w:p>
      <w:pPr>
        <w:spacing w:after="160"/>
      </w:pPr>
      <w:r>
        <w:t xml:space="preserve"/>
      </w:r>
    </w:p>
    <w:p>
      <w:pPr>
        <w:spacing w:after="160"/>
      </w:pPr>
      <w:r>
        <w:rPr>
          <w:rFonts w:ascii="Arial" w:cs="Arial" w:eastAsia="Arial" w:hAnsi="Arial"/>
          <w:sz w:val="24"/>
          <w:szCs w:val="24"/>
        </w:rPr>
        <w:t xml:space="preserve">FraudSentinel addresses all three gaps simultaneously: it investigates autonomously, explains its reasoning in plain English, and drafts the SAR automatically.</w:t>
      </w:r>
    </w:p>
    <w:p>
      <w:pPr>
        <w:spacing w:after="160"/>
      </w:pPr>
      <w:r>
        <w:t xml:space="preserve"/>
      </w:r>
    </w:p>
    <w:p>
      <w:pPr>
        <w:pStyle w:val="Heading1"/>
      </w:pPr>
      <w:r>
        <w:t xml:space="preserve">Solution overview</w:t>
      </w:r>
    </w:p>
    <w:p>
      <w:pPr>
        <w:pStyle w:val="Heading2"/>
      </w:pPr>
      <w:r>
        <w:t xml:space="preserve">Core agent capability</w:t>
      </w:r>
    </w:p>
    <w:p>
      <w:pPr>
        <w:spacing w:after="160"/>
      </w:pPr>
      <w:r>
        <w:rPr>
          <w:rFonts w:ascii="Arial" w:cs="Arial" w:eastAsia="Arial" w:hAnsi="Arial"/>
          <w:sz w:val="24"/>
          <w:szCs w:val="24"/>
        </w:rPr>
        <w:t xml:space="preserve">The agent is triggered by an incoming transaction event. It executes the following multi-step investigation autonomously, with Gemini coordinating each step:</w:t>
      </w:r>
    </w:p>
    <w:p>
      <w:pPr>
        <w:pStyle w:val="ListParagraph"/>
        <w:numPr>
          <w:ilvl w:val="0"/>
          <w:numId w:val="3"/>
        </w:numPr>
        <w:spacing w:after="80"/>
      </w:pPr>
      <w:r>
        <w:rPr>
          <w:rFonts w:ascii="Arial" w:cs="Arial" w:eastAsia="Arial" w:hAnsi="Arial"/>
          <w:sz w:val="24"/>
          <w:szCs w:val="24"/>
        </w:rPr>
        <w:t xml:space="preserve">Ingests transaction metadata, device fingerprint, and behavioural signals</w:t>
      </w:r>
    </w:p>
    <w:p>
      <w:pPr>
        <w:pStyle w:val="ListParagraph"/>
        <w:numPr>
          <w:ilvl w:val="0"/>
          <w:numId w:val="3"/>
        </w:numPr>
        <w:spacing w:after="80"/>
      </w:pPr>
      <w:r>
        <w:rPr>
          <w:rFonts w:ascii="Arial" w:cs="Arial" w:eastAsia="Arial" w:hAnsi="Arial"/>
          <w:sz w:val="24"/>
          <w:szCs w:val="24"/>
        </w:rPr>
        <w:t xml:space="preserve">Queries historical account patterns for baseline comparison</w:t>
      </w:r>
    </w:p>
    <w:p>
      <w:pPr>
        <w:pStyle w:val="ListParagraph"/>
        <w:numPr>
          <w:ilvl w:val="0"/>
          <w:numId w:val="3"/>
        </w:numPr>
        <w:spacing w:after="80"/>
      </w:pPr>
      <w:r>
        <w:rPr>
          <w:rFonts w:ascii="Arial" w:cs="Arial" w:eastAsia="Arial" w:hAnsi="Arial"/>
          <w:sz w:val="24"/>
          <w:szCs w:val="24"/>
        </w:rPr>
        <w:t xml:space="preserve">Checks IP address and card number against live threat-intelligence feeds</w:t>
      </w:r>
    </w:p>
    <w:p>
      <w:pPr>
        <w:pStyle w:val="ListParagraph"/>
        <w:numPr>
          <w:ilvl w:val="0"/>
          <w:numId w:val="3"/>
        </w:numPr>
        <w:spacing w:after="80"/>
      </w:pPr>
      <w:r>
        <w:rPr>
          <w:rFonts w:ascii="Arial" w:cs="Arial" w:eastAsia="Arial" w:hAnsi="Arial"/>
          <w:sz w:val="24"/>
          <w:szCs w:val="24"/>
        </w:rPr>
        <w:t xml:space="preserve">Invokes the ML risk scorer to produce a confidence-weighted fraud probability</w:t>
      </w:r>
    </w:p>
    <w:p>
      <w:pPr>
        <w:pStyle w:val="ListParagraph"/>
        <w:numPr>
          <w:ilvl w:val="0"/>
          <w:numId w:val="3"/>
        </w:numPr>
        <w:spacing w:after="80"/>
      </w:pPr>
      <w:r>
        <w:rPr>
          <w:rFonts w:ascii="Arial" w:cs="Arial" w:eastAsia="Arial" w:hAnsi="Arial"/>
          <w:sz w:val="24"/>
          <w:szCs w:val="24"/>
        </w:rPr>
        <w:t xml:space="preserve">Applies compliance rule engine to flag regulatory policy violations</w:t>
      </w:r>
    </w:p>
    <w:p>
      <w:pPr>
        <w:pStyle w:val="ListParagraph"/>
        <w:numPr>
          <w:ilvl w:val="0"/>
          <w:numId w:val="3"/>
        </w:numPr>
        <w:spacing w:after="80"/>
      </w:pPr>
      <w:r>
        <w:rPr>
          <w:rFonts w:ascii="Arial" w:cs="Arial" w:eastAsia="Arial" w:hAnsi="Arial"/>
          <w:sz w:val="24"/>
          <w:szCs w:val="24"/>
        </w:rPr>
        <w:t xml:space="preserve">Synthesises all signals into a plain-English explanation</w:t>
      </w:r>
    </w:p>
    <w:p>
      <w:pPr>
        <w:pStyle w:val="ListParagraph"/>
        <w:numPr>
          <w:ilvl w:val="0"/>
          <w:numId w:val="3"/>
        </w:numPr>
        <w:spacing w:after="80"/>
      </w:pPr>
      <w:r>
        <w:rPr>
          <w:rFonts w:ascii="Arial" w:cs="Arial" w:eastAsia="Arial" w:hAnsi="Arial"/>
          <w:sz w:val="24"/>
          <w:szCs w:val="24"/>
        </w:rPr>
        <w:t xml:space="preserve">Renders a block/flag/allow decision and outputs a structured SAR draft</w:t>
      </w:r>
    </w:p>
    <w:p>
      <w:pPr>
        <w:spacing w:after="160"/>
      </w:pPr>
      <w:r>
        <w:t xml:space="preserve"/>
      </w:r>
    </w:p>
    <w:p>
      <w:pPr>
        <w:pStyle w:val="Heading2"/>
      </w:pPr>
      <w:r>
        <w:t xml:space="preserve">Arize MCP integration — the differentiator</w:t>
      </w:r>
    </w:p>
    <w:p>
      <w:pPr>
        <w:spacing w:after="160"/>
      </w:pPr>
      <w:r>
        <w:rPr>
          <w:rFonts w:ascii="Arial" w:cs="Arial" w:eastAsia="Arial" w:hAnsi="Arial"/>
          <w:sz w:val="24"/>
          <w:szCs w:val="24"/>
        </w:rPr>
        <w:t xml:space="preserve">Every step of the agent's reasoning is instrumented through the Arize MCP server, providing:</w:t>
      </w:r>
    </w:p>
    <w:p>
      <w:pPr>
        <w:pStyle w:val="ListParagraph"/>
        <w:numPr>
          <w:ilvl w:val="0"/>
          <w:numId w:val="2"/>
        </w:numPr>
        <w:spacing w:after="80"/>
      </w:pPr>
      <w:r>
        <w:rPr>
          <w:rFonts w:ascii="Arial" w:cs="Arial" w:eastAsia="Arial" w:hAnsi="Arial"/>
          <w:sz w:val="24"/>
          <w:szCs w:val="24"/>
        </w:rPr>
        <w:t xml:space="preserve">Trace and span logs for every tool call, scoring step, and LLM completion</w:t>
      </w:r>
    </w:p>
    <w:p>
      <w:pPr>
        <w:pStyle w:val="ListParagraph"/>
        <w:numPr>
          <w:ilvl w:val="0"/>
          <w:numId w:val="2"/>
        </w:numPr>
        <w:spacing w:after="80"/>
      </w:pPr>
      <w:r>
        <w:rPr>
          <w:rFonts w:ascii="Arial" w:cs="Arial" w:eastAsia="Arial" w:hAnsi="Arial"/>
          <w:sz w:val="24"/>
          <w:szCs w:val="24"/>
        </w:rPr>
        <w:t xml:space="preserve">Prompt monitoring that detects quality regression and hallucination risk in generated SAR text</w:t>
      </w:r>
    </w:p>
    <w:p>
      <w:pPr>
        <w:pStyle w:val="ListParagraph"/>
        <w:numPr>
          <w:ilvl w:val="0"/>
          <w:numId w:val="2"/>
        </w:numPr>
        <w:spacing w:after="80"/>
      </w:pPr>
      <w:r>
        <w:rPr>
          <w:rFonts w:ascii="Arial" w:cs="Arial" w:eastAsia="Arial" w:hAnsi="Arial"/>
          <w:sz w:val="24"/>
          <w:szCs w:val="24"/>
        </w:rPr>
        <w:t xml:space="preserve">Model drift detection that fires alerts when the incoming fraud score distribution shifts — indicating a novel attack pattern</w:t>
      </w:r>
    </w:p>
    <w:p>
      <w:pPr>
        <w:pStyle w:val="ListParagraph"/>
        <w:numPr>
          <w:ilvl w:val="0"/>
          <w:numId w:val="2"/>
        </w:numPr>
        <w:spacing w:after="80"/>
      </w:pPr>
      <w:r>
        <w:rPr>
          <w:rFonts w:ascii="Arial" w:cs="Arial" w:eastAsia="Arial" w:hAnsi="Arial"/>
          <w:sz w:val="24"/>
          <w:szCs w:val="24"/>
        </w:rPr>
        <w:t xml:space="preserve">A persistent audit trail that satisfies AML and KYC regulatory requirements</w:t>
      </w:r>
    </w:p>
    <w:p>
      <w:pPr>
        <w:spacing w:after="160"/>
      </w:pPr>
      <w:r>
        <w:t xml:space="preserve"/>
      </w:r>
    </w:p>
    <w:p>
      <w:pPr>
        <w:pStyle w:val="Heading1"/>
      </w:pPr>
      <w:r>
        <w:t xml:space="preserve">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User</w:t>
            </w:r>
          </w:p>
        </w:tc>
        <w:tc>
          <w:tcPr>
            <w:tcW w:type="dxa" w:w="3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Pain point solved</w:t>
            </w:r>
          </w:p>
        </w:tc>
        <w:tc>
          <w:tcPr>
            <w:tcW w:type="dxa" w:w="3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Primary benefit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333333"/>
                <w:sz w:val="22"/>
                <w:szCs w:val="22"/>
              </w:rPr>
              <w:t xml:space="preserve">Fraud analyst</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2"/>
                <w:szCs w:val="22"/>
              </w:rPr>
              <w:t xml:space="preserve">Spends hours manually reviewing flagged transactions</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2"/>
                <w:szCs w:val="22"/>
              </w:rPr>
              <w:t xml:space="preserve">2-second investigation with full reasoning chain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Compliance officer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SAR filing takes days and is error-prone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Auto-generated SAR draft, audit-ready from day one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333333"/>
                <w:sz w:val="22"/>
                <w:szCs w:val="22"/>
              </w:rPr>
              <w:t xml:space="preserve">ML engineer</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2"/>
                <w:szCs w:val="22"/>
              </w:rPr>
              <w:t xml:space="preserve">No visibility into model drift or prompt quality</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2"/>
                <w:szCs w:val="22"/>
              </w:rPr>
              <w:t xml:space="preserve">Arize dashboard with live drift alerts and trace 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Risk manager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Cannot audit or explain AI decisions to regulators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Complete explainable audit trail per transaction</w:t>
            </w:r>
          </w:p>
        </w:tc>
      </w:tr>
    </w:tbl>
    <w:p>
      <w:pPr>
        <w:spacing w:after="320"/>
      </w:pPr>
      <w:r>
        <w:t xml:space="preserve"/>
      </w:r>
    </w:p>
    <w:p>
      <w:pPr>
        <w:pStyle w:val="Heading1"/>
      </w:pPr>
      <w:r>
        <w:t xml:space="preserve">Judging criteria alignment</w:t>
      </w:r>
    </w:p>
    <w:p>
      <w:pPr>
        <w:pStyle w:val="Heading2"/>
      </w:pPr>
      <w:r>
        <w:t xml:space="preserve">Technological implementation</w:t>
      </w:r>
    </w:p>
    <w:p>
      <w:pPr>
        <w:spacing w:after="160"/>
      </w:pPr>
      <w:r>
        <w:rPr>
          <w:rFonts w:ascii="Arial" w:cs="Arial" w:eastAsia="Arial" w:hAnsi="Arial"/>
          <w:sz w:val="24"/>
          <w:szCs w:val="24"/>
        </w:rPr>
        <w:t xml:space="preserve">Arize MCP is integrated at every reasoning step, not bolted on as a reporting afterthought. The agent uses three distinct Arize capabilities: tracing, prompt monitoring, and drift detection. Google Cloud Agent Builder handles orchestration; Gemini provides reasoning; custom Python tools provide the financial domain logic.</w:t>
      </w:r>
    </w:p>
    <w:p>
      <w:pPr>
        <w:pStyle w:val="Heading2"/>
      </w:pPr>
      <w:r>
        <w:t xml:space="preserve">Design</w:t>
      </w:r>
    </w:p>
    <w:p>
      <w:pPr>
        <w:spacing w:after="160"/>
      </w:pPr>
      <w:r>
        <w:rPr>
          <w:rFonts w:ascii="Arial" w:cs="Arial" w:eastAsia="Arial" w:hAnsi="Arial"/>
          <w:sz w:val="24"/>
          <w:szCs w:val="24"/>
        </w:rPr>
        <w:t xml:space="preserve">The analyst dashboard presents investigations in real time — showing the agent's tool calls, reasoning steps, and final decision side by side. The Arize trace view is embedded directly in the UI so analysts can inspect the AI's reasoning without leaving the application.</w:t>
      </w:r>
    </w:p>
    <w:p>
      <w:pPr>
        <w:pStyle w:val="Heading2"/>
      </w:pPr>
      <w:r>
        <w:t xml:space="preserve">Potential impact</w:t>
      </w:r>
    </w:p>
    <w:p>
      <w:pPr>
        <w:spacing w:after="160"/>
      </w:pPr>
      <w:r>
        <w:rPr>
          <w:rFonts w:ascii="Arial" w:cs="Arial" w:eastAsia="Arial" w:hAnsi="Arial"/>
          <w:sz w:val="24"/>
          <w:szCs w:val="24"/>
        </w:rPr>
        <w:t xml:space="preserve">A single large bank processes over 100 million transactions per month. If FraudSentinel reduces manual review time from 30 minutes to 2 minutes per flagged transaction, and reduces SAR drafting time from 4 hours to 15 minutes, the labour savings at scale run into hundreds of analyst hours per week. The regulatory impact — explainable, auditable AI decisions — is increasingly mandated by financial regulators globally.</w:t>
      </w:r>
    </w:p>
    <w:p>
      <w:pPr>
        <w:pStyle w:val="Heading2"/>
      </w:pPr>
      <w:r>
        <w:t xml:space="preserve">Quality of idea</w:t>
      </w:r>
    </w:p>
    <w:p>
      <w:pPr>
        <w:spacing w:after="160"/>
      </w:pPr>
      <w:r>
        <w:rPr>
          <w:rFonts w:ascii="Arial" w:cs="Arial" w:eastAsia="Arial" w:hAnsi="Arial"/>
          <w:sz w:val="24"/>
          <w:szCs w:val="24"/>
        </w:rPr>
        <w:t xml:space="preserve">The combination of autonomous multi-step investigation, real-time Arize observability, and regulator-ready output is novel. Most hackathon fraud projects stop at a scored prediction. FraudSentinel treats the score as the beginning of the workflow, not the end.</w:t>
      </w:r>
    </w:p>
    <w:p>
      <w:pPr>
        <w:spacing w:after="160"/>
      </w:pPr>
      <w:r>
        <w:t xml:space="preserve"/>
      </w:r>
    </w:p>
    <w:p>
      <w:pPr>
        <w:pStyle w:val="Heading1"/>
      </w:pPr>
      <w: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Day</w:t>
            </w:r>
          </w:p>
        </w:tc>
        <w:tc>
          <w:tcPr>
            <w:tcW w:type="dxa" w:w="2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Date</w:t>
            </w:r>
          </w:p>
        </w:tc>
        <w:tc>
          <w:tcPr>
            <w:tcW w:type="dxa" w:w="5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Milestone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2"/>
                <w:szCs w:val="22"/>
              </w:rPr>
              <w:t xml:space="preserve">Day 1–2</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2"/>
                <w:szCs w:val="22"/>
              </w:rPr>
              <w:t xml:space="preserve">Jun 1–2</w:t>
            </w:r>
          </w:p>
        </w:tc>
        <w:tc>
          <w:tcPr>
            <w:tcW w:type="dxa" w:w="5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2"/>
                <w:szCs w:val="22"/>
              </w:rPr>
              <w:t xml:space="preserve">Project scaffold, environment setup, mock transaction generator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22"/>
                <w:szCs w:val="22"/>
              </w:rPr>
              <w:t xml:space="preserve">Day 3–4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Jun 3–4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Core agent tools: risk scorer, rule engine, threat feed, history lookup</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2"/>
                <w:szCs w:val="22"/>
              </w:rPr>
              <w:t xml:space="preserve">Day 5–6</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2"/>
                <w:szCs w:val="22"/>
              </w:rPr>
              <w:t xml:space="preserve">Jun 5–6</w:t>
            </w:r>
          </w:p>
        </w:tc>
        <w:tc>
          <w:tcPr>
            <w:tcW w:type="dxa" w:w="5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2"/>
                <w:szCs w:val="22"/>
              </w:rPr>
              <w:t xml:space="preserve">Gemini orchestration via Agent Builder; investigation prompt engineering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22"/>
                <w:szCs w:val="22"/>
              </w:rPr>
              <w:t xml:space="preserve">Day 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Jun 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Arize MCP integration: trace logging, drift monitors, prompt monitoring</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2"/>
                <w:szCs w:val="22"/>
              </w:rPr>
              <w:t xml:space="preserve">Day 8</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2"/>
                <w:szCs w:val="22"/>
              </w:rPr>
              <w:t xml:space="preserve">Jun 8</w:t>
            </w:r>
          </w:p>
        </w:tc>
        <w:tc>
          <w:tcPr>
            <w:tcW w:type="dxa" w:w="5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2"/>
                <w:szCs w:val="22"/>
              </w:rPr>
              <w:t xml:space="preserve">SAR draft generation; analyst dashboard UI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22"/>
                <w:szCs w:val="22"/>
              </w:rPr>
              <w:t xml:space="preserve">Day 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Jun 9</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End-to-end testing of all four demo scenarios; performance optimisation</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2"/>
                <w:szCs w:val="22"/>
              </w:rPr>
              <w:t xml:space="preserve">Day 10</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2"/>
                <w:szCs w:val="22"/>
              </w:rPr>
              <w:t xml:space="preserve">Jun 10</w:t>
            </w:r>
          </w:p>
        </w:tc>
        <w:tc>
          <w:tcPr>
            <w:tcW w:type="dxa" w:w="5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2"/>
                <w:szCs w:val="22"/>
              </w:rPr>
              <w:t xml:space="preserve">Demo video recording, Devpost submission, README polish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22"/>
                <w:szCs w:val="22"/>
              </w:rPr>
              <w:t xml:space="preserve">Jun 11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Deadline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Submission deadline 2:00 pm PDT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6A0" w:sz="6" w:space="1"/>
      </w:pBdr>
      <w:spacing w:after="120" w:before="360"/>
      <w:outlineLvl w:val="0"/>
    </w:pPr>
    <w:rPr>
      <w:rFonts w:ascii="Arial" w:cs="Arial" w:eastAsia="Arial" w:hAnsi="Arial"/>
      <w:b/>
      <w:bCs/>
      <w:color w:val="1A56A0"/>
      <w:sz w:val="36"/>
      <w:szCs w:val="36"/>
    </w:rPr>
  </w:style>
  <w:style w:type="paragraph" w:styleId="Heading2">
    <w:name w:val="Heading 2"/>
    <w:basedOn w:val="Normal"/>
    <w:next w:val="Normal"/>
    <w:qFormat/>
    <w:pPr>
      <w:spacing w:after="80" w:before="300"/>
      <w:outlineLvl w:val="1"/>
    </w:pPr>
    <w:rPr>
      <w:rFonts w:ascii="Arial" w:cs="Arial" w:eastAsia="Arial" w:hAnsi="Arial"/>
      <w:b/>
      <w:bCs/>
      <w:color w:val="1A56A0"/>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2026-06-01T09:15:09.467Z</dcterms:created>
  <dcterms:modified xsi:type="dcterms:W3CDTF">2026-06-01T09:15:09.467Z</dcterms:modified>
</cp:coreProperties>
</file>

<file path=docProps/custom.xml><?xml version="1.0" encoding="utf-8"?>
<Properties xmlns="http://schemas.openxmlformats.org/officeDocument/2006/custom-properties" xmlns:vt="http://schemas.openxmlformats.org/officeDocument/2006/docPropsVTypes"/>
</file>