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20"/>
      </w:pPr>
      <w:r>
        <w:t xml:space="preserve"/>
      </w:r>
    </w:p>
    <w:p>
      <w:pPr>
        <w:shd w:fill="1A56A0" w:val="clear"/>
        <w:spacing w:after="0"/>
        <w:jc w:val="center"/>
      </w:pPr>
      <w:r>
        <w:br/>
        <w:t xml:space="preserve"/>
      </w:r>
    </w:p>
    <w:p>
      <w:pPr>
        <w:shd w:fill="1A56A0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FraudSentinel</w:t>
      </w:r>
    </w:p>
    <w:p>
      <w:pPr>
        <w:shd w:fill="1A56A0" w:val="clear"/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color w:val="BDD7F5"/>
          <w:sz w:val="32"/>
          <w:szCs w:val="32"/>
        </w:rPr>
        <w:t xml:space="preserve">Technical Architecture</w:t>
      </w:r>
    </w:p>
    <w:p>
      <w:pPr>
        <w:shd w:fill="1A56A0" w:val="clear"/>
        <w:spacing w:after="0" w:before="0"/>
        <w:jc w:val="center"/>
      </w:pPr>
      <w:r>
        <w:br/>
        <w:t xml:space="preserve"/>
      </w:r>
    </w:p>
    <w:p>
      <w:pPr>
        <w:spacing w:after="16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System design, data flows, and component specifications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June 2026</w:t>
      </w:r>
    </w:p>
    <w:p>
      <w:pPr>
        <w:pBdr>
          <w:bottom w:val="single" w:color="DDDDDD" w:sz="4" w:space="1"/>
        </w:pBdr>
        <w:spacing w:after="200" w:before="20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System overview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FraudSentinel is a multi-layer agentic system. The orchestration layer (Google Cloud Agent Builder) coordinates Gemini with a set of specialised financial tools. The observability layer (Arize AI via MCP) instruments every reasoning step. The output layer produces structured decisions and compliance artefacts.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Component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160"/>
        <w:gridCol w:w="4680"/>
      </w:tblGrid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Component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Responsibility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Agent orchestrator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Google Cloud Agent Builder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Coordinates tool calls, manages multi-step plan, routes Gemini completions to the correct tool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Reasoning engine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Gemini 2.0 Flash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Interprets transaction context, selects tools, synthesises evidence, writes plain-English explanations and SAR text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Risk scorer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Python / scikit-learn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Computes a 0–1 fraud probability using an ML model trained on historical labelled transactions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Compliance rule engine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Python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Evaluates configurable policy rules (velocity checks, geolocation anomalies, amount thresholds)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Threat-feed client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Python / REST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Checks card numbers and IP addresses against live blocklists (e.g. IPQS, FraudGuard)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History lookup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Python / BigQuery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Retrieves 90-day account behaviour baseline for comparison with the current transaction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Arize tracer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Arize MCP server (Python)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Logs every span (tool call, LLM prompt/response, decision) to the Arize platform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Arize drift monitor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Arize Python SDK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Monitors incoming risk score distributions and fires alerts on statistically significant shifts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Arize prompt monitor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Arize MCP server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Evaluates SAR draft quality — coherence, completeness, factual grounding — using Arize's LLM evaluation framework</w:t>
            </w:r>
          </w:p>
        </w:tc>
      </w:tr>
      <w:tr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Analyst 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React + Vite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Real-time UI showing live investigations, agent reasoning steps, decision outcomes, and the embedded Arize trace view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</w:pPr>
      <w:r>
        <w:t xml:space="preserve">Data flow</w:t>
      </w:r>
    </w:p>
    <w:p>
      <w:pPr>
        <w:pStyle w:val="Heading2"/>
      </w:pPr>
      <w:r>
        <w:t xml:space="preserve">Happy path — clean transaction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Transaction event arrives via Pub/Sub (or mock HTTP POST in demo mode)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Orchestrator parses event; Gemini determines investigation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History lookup confirms normal behaviour baseline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Risk scorer returns score &lt; 0.3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Rule engine: no policy violations triggered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Threat feed: IP and card not on blocklist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Gemini synthesises: 'Transaction is consistent with established account behaviour. Risk: LOW.'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Decision: ALLOW. Arize span logged. No SAR generated.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Fraud path — blocked transaction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Transaction event arrives: $4,200 payment, card registered in UK, IP in Moldova, device never seen before, 3:17 am local time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History lookup: account has zero prior international transactions, average transaction $85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Risk scorer returns score 0.94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Rule engine: velocity flag (3 transactions in 2 minutes), geolocation anomaly flag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Threat feed: IP in high-risk ASN associated with fraud rings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Gemini synthesises: structured reasoning chain across all signals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Decision: BLOCK. SAR draft generated with all evidence. Full Arize trace logged.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Analyst dashboard updates in real time; Arize dashboard shows new span in investigation trace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Arize MCP integration detail</w:t>
      </w:r>
    </w:p>
    <w:p>
      <w:pPr>
        <w:pStyle w:val="Heading2"/>
      </w:pPr>
      <w:r>
        <w:t xml:space="preserve">Span structure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Each agent invocation produces a root span containing child spans for each tool call. The hierarchy is: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Root span: investigation — contains transaction ID, timestamp, final decision, overall latency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Child span: history_lookup — inputs: account_id, lookback_days; outputs: baseline stats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Child span: risk_scorer — inputs: feature vector; outputs: score, confidence interval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Child span: rule_engine — inputs: transaction; outputs: triggered rules list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Child span: threat_feed — inputs: ip, card_hash; outputs: blocklist hits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Child span: gemini_investigation — inputs: full context; outputs: reasoning text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Child span: gemini_sar_draft — inputs: evidence summary; outputs: SAR text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Drift monitor configuration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A PSI (Population Stability Index) monitor is configured on the risk_score output. Threshold: PSI &gt; 0.2 triggers an alert. This catches emerging attack vectors before they overwhelm the rule engine. Alerts are surfaced in both the Arize dashboard and the analyst UI.</w:t>
      </w:r>
    </w:p>
    <w:p>
      <w:pPr>
        <w:spacing w:after="160"/>
      </w:pPr>
      <w:r>
        <w:t xml:space="preserve"/>
      </w:r>
    </w:p>
    <w:p>
      <w:pPr>
        <w:pStyle w:val="Heading2"/>
      </w:pPr>
      <w:r>
        <w:t xml:space="preserve">Prompt quality monitor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Each SAR draft is evaluated by Arize's LLM-as-judge framework on three dimensions: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Factual grounding — does the SAR text accurately reflect the evidence in the span context?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Completeness — does the SAR cover all required FinCEN fields?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Coherence — is the narrative readable and unambiguous?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Scores below 0.75 on any dimension flag the SAR for mandatory human review before filing.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6A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Orchestration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Google Cloud Agent Builder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Low-code agent authoring with grounding and tool integration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LLM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Gemini 2.0 Flash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Fast inference; 1M context window for rich investigation context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Observability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Arize AI + MCP server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Mandatory partner integration; handles tracing, drift, and prompt QA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Agent backend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Python 3.11 + FastAPI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Hosts tool endpoints; called by Agent Builder via function-calling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Historical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BigQuery (or local Postgres)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90-day sliding window of account transactions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Streaming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Google Pub/Sub (or mock)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Transaction event ingestion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Dashboard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React 18 + Vite + TailwindCSS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Real-time analyst UI; WebSocket for live agent updates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2"/>
                <w:szCs w:val="22"/>
              </w:rPr>
              <w:t xml:space="preserve">ML model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56A0"/>
                <w:sz w:val="22"/>
                <w:szCs w:val="22"/>
              </w:rPr>
              <w:t xml:space="preserve">scikit-learn RandomForest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2"/>
                <w:szCs w:val="22"/>
              </w:rPr>
              <w:t xml:space="preserve">Pre-trained on synthetic labelled dataset; exported to ONNX</w:t>
            </w:r>
          </w:p>
        </w:tc>
      </w:tr>
    </w:tbl>
    <w:p>
      <w:pPr>
        <w:spacing w:after="320"/>
      </w:pPr>
      <w:r>
        <w:t xml:space="preserve"/>
      </w:r>
    </w:p>
    <w:p>
      <w:pPr>
        <w:pStyle w:val="Heading1"/>
      </w:pPr>
      <w:r>
        <w:t xml:space="preserve">Security considerations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All API keys stored in environment variables; never committed to the repository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Transaction data in demo mode uses fully synthetic records — no real PII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Arize traces are scoped to a single model ID and require API key authentication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The agent has read-only access to all data sources; it cannot initiate real payment blocks (the block decision is a signal only, consumed by a downstream system in production)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SAR drafts are stored ephemerally in memory; no PII persists beyond the request lifecycle in the demo</w:t>
      </w:r>
    </w:p>
    <w:p>
      <w:pPr>
        <w:spacing w:after="160"/>
      </w:pPr>
      <w:r>
        <w:t xml:space="preserve"/>
      </w:r>
    </w:p>
    <w:p>
      <w:pPr>
        <w:pStyle w:val="Heading1"/>
      </w:pPr>
      <w:r>
        <w:t xml:space="preserve">Scalability notes</w:t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The demo runs locally or on a single Cloud Run instance. For production scale: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Agent Builder scales horizontally with Cloud Run autoscaling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Risk scorer can be deployed to Vertex AI Endpoints for GPU-accelerated inference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Arize handles millions of spans per day in production deployments — no scalability concern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4"/>
          <w:szCs w:val="24"/>
        </w:rPr>
        <w:t xml:space="preserve">BigQuery partitioned by transaction date supports petabyte-scale historical lookups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A56A0" w:sz="6" w:space="1"/>
      </w:pBdr>
      <w:spacing w:after="120" w:before="360"/>
      <w:outlineLvl w:val="0"/>
    </w:pPr>
    <w:rPr>
      <w:rFonts w:ascii="Arial" w:cs="Arial" w:eastAsia="Arial" w:hAnsi="Arial"/>
      <w:b/>
      <w:bCs/>
      <w:color w:val="1A56A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00"/>
      <w:outlineLvl w:val="1"/>
    </w:pPr>
    <w:rPr>
      <w:rFonts w:ascii="Arial" w:cs="Arial" w:eastAsia="Arial" w:hAnsi="Arial"/>
      <w:b/>
      <w:bCs/>
      <w:color w:val="1A56A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2026-06-01T09:15:09.584Z</dcterms:created>
  <dcterms:modified xsi:type="dcterms:W3CDTF">2026-06-01T09:15:09.584Z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