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hd w:fill="1A56A0" w:val="clear"/>
        <w:spacing w:after="0"/>
        <w:jc w:val="center"/>
      </w:pPr>
      <w:r>
        <w:br/>
        <w:t xml:space="preserve"/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FraudSentinel</w:t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BDD7F5"/>
          <w:sz w:val="32"/>
          <w:szCs w:val="32"/>
        </w:rPr>
        <w:t xml:space="preserve">Devpost Submission Copy</w:t>
      </w:r>
    </w:p>
    <w:p>
      <w:pPr>
        <w:shd w:fill="1A56A0" w:val="clear"/>
        <w:spacing w:after="0" w:before="0"/>
        <w:jc w:val="center"/>
      </w:pPr>
      <w:r>
        <w:br/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All fields for the hackathon submission form — ready to paste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Project name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FraudSentinel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Tagline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AI fraud investigator that explains every decision — and files the paperwork.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Track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Arize Partner Track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What it does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FraudSentinel is a real-time fraud investigation agent that goes beyond a risk score. When a suspicious transaction arrives, the agent autonomously gathers evidence from multiple sources, reasons through the signals like a human analyst, and produces three outputs in under 2 seconds: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block / flag / allow decision with a plain-English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 analyst case report summarising all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regulator-ready Suspicious Activity Report (SAR) draft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Every step of the agent's reasoning — each tool call, LLM prompt, and output — is traced and monitored via the Arize MCP server, giving financial institutions the explainability and auditability that modern regulators require.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How we built it</w:t>
      </w:r>
    </w:p>
    <w:p>
      <w:pPr>
        <w:pStyle w:val="Heading2"/>
      </w:pPr>
      <w:r>
        <w:t xml:space="preserve">Orchestration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Google Cloud Agent Builder coordinates the agent's multi-step investigation plan. Gemini 2.0 Flash provides the reasoning core — interpreting transaction context, selecting which tools to invoke, synthesising evidence, and writing the SAR draft.</w:t>
      </w:r>
    </w:p>
    <w:p>
      <w:pPr>
        <w:pStyle w:val="Heading2"/>
      </w:pPr>
      <w:r>
        <w:t xml:space="preserve">Tools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Four Python tool services give the agent its investigative superpowers: a risk scorer (ML model outputting a 0–1 fraud probability), a compliance rule engine (velocity checks, geolocation flags, amount thresholds), a threat-feed client (live IP and card blocklist lookups), and a history lookup service (90-day account behaviour baseline from BigQuery).</w:t>
      </w:r>
    </w:p>
    <w:p>
      <w:pPr>
        <w:pStyle w:val="Heading2"/>
      </w:pPr>
      <w:r>
        <w:t xml:space="preserve">Arize MCP integration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Arize MCP server is integrated at every reasoning step. Each investigation produces a hierarchical trace: a root span with child spans for every tool call and LLM completion. On top of tracing, we configured a PSI drift monitor on the risk score distribution (alerts on PSI &gt; 0.2) and an LLM-as-judge prompt quality monitor that evaluates each SAR draft for factual grounding, completeness, and coherence.</w:t>
      </w:r>
    </w:p>
    <w:p>
      <w:pPr>
        <w:pStyle w:val="Heading2"/>
      </w:pPr>
      <w:r>
        <w:t xml:space="preserve">Analyst dashboard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React dashboard shows live investigations as they run — displaying the agent's tool call sequence, reasoning chain, decision, and a link to the Arize trace view, all in one screen.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Challenges we ran into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Designing the investigation prompt so that Gemini consistently produces structured, parseable reasoning chains across a wide variety of transaction scenarios — required several iterations of few-shot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Calibrating the Arize drift monitor threshold to balance sensitivity (catching real emerging attack patterns) with specificity (avoiding alert fatigue from normal statistical variation in transaction volume)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Keeping the full investigation — five tool calls, two LLM completions, Arize logging — under a 2-second wall-clock budget while running on a single Cloud Run instance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Accomplishments that we're proud 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Full end-to-end Arize observability: tracing, drift detection, and prompt quality monitoring all operating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SAR drafts that pass the Arize prompt quality monitor with coherence and completeness scores above 0.85 in all four demo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live demo that runs entirely in a browser — no local setup required for judges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What we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Arize's MCP server makes it surprisingly straightforward to add deep observability to an existing agent — the hardest part was defining a meaningful span taxonomy, not the integration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Multi-step agent prompts benefit enormously from explicit output schemas — telling Gemini the exact JSON structure you expect dramatically reduces parsing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Fraud is an adversarial domain — the drift monitor proved its value during testing when we injected a novel attack pattern and watched the alert fire within three minutes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What's next for FraudSentinel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Fine-tuning the risk scorer on a larger synthetic dataset to improve precision at the high-score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Adding a human-in-the-loop escalation path — the agent creates a case in a review queue for borderline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Integrating FinCEN's SAR e-filing API so approved drafts can be submitted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Extending the drift monitor to cover feature-level drift (not just output scores) using Arize's embedding monitoring capability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Built with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Google Cloud Agent Builder · Gemini 2.0 Flash · Arize AI · Arize MCP Server · Python 3.11 · FastAPI · scikit-learn · Google Pub/Sub · BigQuery · React 18 · Vite · TailwindCSS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Try it out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Live demo: </w:t>
      </w:r>
      <w:r>
        <w:rPr>
          <w:rFonts w:ascii="Arial" w:cs="Arial" w:eastAsia="Arial" w:hAnsi="Arial"/>
          <w:sz w:val="24"/>
          <w:szCs w:val="24"/>
        </w:rPr>
        <w:t xml:space="preserve">https://fraudsentinel-demo.run.app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GitHub: </w:t>
      </w:r>
      <w:r>
        <w:rPr>
          <w:rFonts w:ascii="Arial" w:cs="Arial" w:eastAsia="Arial" w:hAnsi="Arial"/>
          <w:sz w:val="24"/>
          <w:szCs w:val="24"/>
        </w:rPr>
        <w:t xml:space="preserve">https://github.com/your-username/fraudsentinel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Demo video: </w:t>
      </w:r>
      <w:r>
        <w:rPr>
          <w:rFonts w:ascii="Arial" w:cs="Arial" w:eastAsia="Arial" w:hAnsi="Arial"/>
          <w:sz w:val="24"/>
          <w:szCs w:val="24"/>
        </w:rPr>
        <w:t xml:space="preserve">https://youtu.be/your-video-id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0" w:sz="6" w:space="1"/>
      </w:pBdr>
      <w:spacing w:after="12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2026-06-01T09:15:09.661Z</dcterms:created>
  <dcterms:modified xsi:type="dcterms:W3CDTF">2026-06-01T09:15:09.661Z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