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pPr>
      <w:r>
        <w:rPr>
          <w:rFonts w:ascii="PingFang SC" w:hAnsi="PingFang SC" w:eastAsia="PingFang SC"/>
          <w:b/>
          <w:color w:val="1F4E79"/>
          <w:sz w:val="15"/>
        </w:rPr>
        <w:t>DUE DILIGENCE REPORT</w:t>
      </w:r>
    </w:p>
    <w:p>
      <w:pPr>
        <w:spacing w:before="80" w:after="40" w:line="240" w:lineRule="auto"/>
      </w:pPr>
      <w:r>
        <w:rPr>
          <w:rFonts w:ascii="PingFang SC" w:hAnsi="PingFang SC" w:eastAsia="PingFang SC"/>
          <w:b/>
          <w:color w:val="1F2933"/>
          <w:sz w:val="36"/>
        </w:rPr>
        <w:t>Corgi Insurance 尽调报告</w:t>
      </w:r>
    </w:p>
    <w:p>
      <w:pPr>
        <w:spacing w:before="0" w:after="120" w:line="240" w:lineRule="auto"/>
        <w:pBdr>
          <w:bottom w:val="single" w:sz="14" w:space="8" w:color="1F4E79"/>
        </w:pBdr>
      </w:pPr>
      <w:r>
        <w:rPr>
          <w:rFonts w:ascii="PingFang SC" w:hAnsi="PingFang SC" w:eastAsia="PingFang SC"/>
          <w:color w:val="667085"/>
          <w:sz w:val="17"/>
        </w:rPr>
        <w:t>专业排版版｜资料截止：2026 年 8 月 11 日</w:t>
      </w:r>
    </w:p>
    <w:p>
      <w:pPr>
        <w:pStyle w:val="Heading1"/>
        <w:keepNext/>
        <w:pageBreakBefore w:val="0"/>
        <w:spacing w:before="160" w:after="80" w:line="240" w:lineRule="auto"/>
      </w:pPr>
      <w:r>
        <w:rPr>
          <w:rFonts w:ascii="PingFang SC" w:hAnsi="PingFang SC" w:eastAsia="PingFang SC"/>
          <w:b/>
          <w:color w:val="1F4E79"/>
          <w:sz w:val="25"/>
        </w:rPr>
        <w:t>一、摘要</w:t>
      </w:r>
    </w:p>
    <w:p>
      <w:pPr>
        <w:spacing w:before="0" w:after="120" w:line="250" w:lineRule="auto"/>
      </w:pPr>
      <w:r>
        <w:rPr>
          <w:rFonts w:ascii="PingFang SC" w:hAnsi="PingFang SC" w:eastAsia="PingFang SC"/>
          <w:color w:val="1F2933"/>
          <w:sz w:val="18"/>
        </w:rPr>
        <w:t>Corgi 是一家 2024 年成立于旧金山的商业保险公司，客户为美国科技创业公司，两年内估值达到约 40 亿美元。公司对外定位为"AI 原生的全栈持牌承保方"。</w:t>
      </w:r>
    </w:p>
    <w:p>
      <w:pPr>
        <w:spacing w:before="0" w:after="120" w:line="250" w:lineRule="auto"/>
      </w:pPr>
      <w:r>
        <w:rPr>
          <w:rFonts w:ascii="PingFang SC" w:hAnsi="PingFang SC" w:eastAsia="PingFang SC"/>
          <w:color w:val="1F2933"/>
          <w:sz w:val="18"/>
        </w:rPr>
        <w:t>以下为本次尽调的六项主要事实。</w:t>
      </w:r>
    </w:p>
    <w:p>
      <w:pPr>
        <w:pStyle w:val="Heading3"/>
        <w:keepNext/>
        <w:pageBreakBefore w:val="0"/>
        <w:spacing w:before="100" w:after="60" w:line="240" w:lineRule="auto"/>
      </w:pPr>
      <w:r>
        <w:rPr>
          <w:rFonts w:ascii="PingFang SC" w:hAnsi="PingFang SC" w:eastAsia="PingFang SC"/>
          <w:b/>
          <w:color w:val="31556F"/>
          <w:sz w:val="18"/>
        </w:rPr>
        <w:t>1. 承保载体是风险自留组，而非通常意义上的保险公司</w:t>
      </w:r>
    </w:p>
    <w:p>
      <w:pPr>
        <w:spacing w:before="0" w:after="120" w:line="250" w:lineRule="auto"/>
      </w:pPr>
      <w:r>
        <w:rPr>
          <w:rFonts w:ascii="PingFang SC" w:hAnsi="PingFang SC" w:eastAsia="PingFang SC"/>
          <w:color w:val="1F2933"/>
          <w:sz w:val="18"/>
        </w:rPr>
        <w:t>Corgi Insurance Services, Inc. 本身持有保险生产商牌照，官网表述其"作为项目管理人，而非保险人"，不承担赔付责任。实际承保载体为亚利桑那州注册的 Technology Risk Retention Group（TRRG），一家风险自留组，无 AM Best 评级，不受州保障基金保护。</w:t>
      </w:r>
    </w:p>
    <w:p>
      <w:pPr>
        <w:spacing w:before="0" w:after="120" w:line="250" w:lineRule="auto"/>
      </w:pPr>
      <w:r>
        <w:rPr>
          <w:rFonts w:ascii="PingFang SC" w:hAnsi="PingFang SC" w:eastAsia="PingFang SC"/>
          <w:color w:val="1F2933"/>
          <w:sz w:val="18"/>
        </w:rPr>
        <w:t>风险自留组依 1986 年美国联邦《责任风险自留法》设立，其核心特权是只需在一个州持牌即可在全美展业。Corgi 覆盖 49 个州的展业范围建立在这一制度之上。</w:t>
      </w:r>
    </w:p>
    <w:p>
      <w:pPr>
        <w:pStyle w:val="Heading3"/>
        <w:keepNext/>
        <w:pageBreakBefore w:val="0"/>
        <w:spacing w:before="100" w:after="60" w:line="240" w:lineRule="auto"/>
      </w:pPr>
      <w:r>
        <w:rPr>
          <w:rFonts w:ascii="PingFang SC" w:hAnsi="PingFang SC" w:eastAsia="PingFang SC"/>
          <w:b/>
          <w:color w:val="31556F"/>
          <w:sz w:val="18"/>
        </w:rPr>
        <w:t>2. 公司披露的"ARR 四千万美元"，两家专业机构判断实为保费</w:t>
      </w:r>
    </w:p>
    <w:p>
      <w:pPr>
        <w:spacing w:before="0" w:after="120" w:line="250" w:lineRule="auto"/>
      </w:pPr>
      <w:r>
        <w:rPr>
          <w:rFonts w:ascii="PingFang SC" w:hAnsi="PingFang SC" w:eastAsia="PingFang SC"/>
          <w:color w:val="1F2933"/>
          <w:sz w:val="18"/>
        </w:rPr>
        <w:t>Corgi 官方新闻稿使用"年度经常性收入（ARR）"这一表述，未说明口径。行业媒体 The Insurer 与金融科技投研 Lex Sokolin 分别独立判断该数字实为已赚保费总额（GWP）。第三方研究机构 Sacra 的客户数与客均收入数据经算术验算，与保费口径吻合。</w:t>
      </w:r>
    </w:p>
    <w:p>
      <w:pPr>
        <w:spacing w:before="0" w:after="120" w:line="250" w:lineRule="auto"/>
      </w:pPr>
      <w:r>
        <w:rPr>
          <w:rFonts w:ascii="PingFang SC" w:hAnsi="PingFang SC" w:eastAsia="PingFang SC"/>
          <w:color w:val="1F2933"/>
          <w:sz w:val="18"/>
        </w:rPr>
        <w:t>公司从未披露赔付率、综合成本率、准备金及自留分出比例。</w:t>
      </w:r>
    </w:p>
    <w:p>
      <w:pPr>
        <w:pStyle w:val="Heading3"/>
        <w:keepNext/>
        <w:pageBreakBefore w:val="0"/>
        <w:spacing w:before="100" w:after="60" w:line="240" w:lineRule="auto"/>
      </w:pPr>
      <w:r>
        <w:rPr>
          <w:rFonts w:ascii="PingFang SC" w:hAnsi="PingFang SC" w:eastAsia="PingFang SC"/>
          <w:b/>
          <w:color w:val="31556F"/>
          <w:sz w:val="18"/>
        </w:rPr>
        <w:t>3. 再保对象为同一集团内的自保公司</w:t>
      </w:r>
    </w:p>
    <w:p>
      <w:pPr>
        <w:spacing w:before="0" w:after="120" w:line="250" w:lineRule="auto"/>
      </w:pPr>
      <w:r>
        <w:rPr>
          <w:rFonts w:ascii="PingFang SC" w:hAnsi="PingFang SC" w:eastAsia="PingFang SC"/>
          <w:color w:val="1F2933"/>
          <w:sz w:val="18"/>
        </w:rPr>
        <w:t>TRRG 承保后分保给 Corgi Reinsurance, Inc.，后者为亚利桑那州注册的自保公司，董事包含两位创始人，与 TRRG 共用同一法定代理人及注册地址。</w:t>
      </w:r>
    </w:p>
    <w:p>
      <w:pPr>
        <w:spacing w:before="0" w:after="120" w:line="250" w:lineRule="auto"/>
      </w:pPr>
      <w:r>
        <w:rPr>
          <w:rFonts w:ascii="PingFang SC" w:hAnsi="PingFang SC" w:eastAsia="PingFang SC"/>
          <w:color w:val="1F2933"/>
          <w:sz w:val="18"/>
        </w:rPr>
        <w:t>Corgi Reinsurance 公司章程第 2 条载明其"可分出再保险"，但是否实际向外部第三方转分保，公开渠道未查到记录。</w:t>
      </w:r>
    </w:p>
    <w:p>
      <w:pPr>
        <w:pStyle w:val="Heading3"/>
        <w:keepNext/>
        <w:pageBreakBefore w:val="0"/>
        <w:spacing w:before="100" w:after="60" w:line="240" w:lineRule="auto"/>
      </w:pPr>
      <w:r>
        <w:rPr>
          <w:rFonts w:ascii="PingFang SC" w:hAnsi="PingFang SC" w:eastAsia="PingFang SC"/>
          <w:b/>
          <w:color w:val="31556F"/>
          <w:sz w:val="18"/>
        </w:rPr>
        <w:t>4. 197 只 ETF 对应的是一个投资顾问实体与少数几个信托</w:t>
      </w:r>
    </w:p>
    <w:p>
      <w:pPr>
        <w:spacing w:before="0" w:after="120" w:line="250" w:lineRule="auto"/>
      </w:pPr>
      <w:r>
        <w:rPr>
          <w:rFonts w:ascii="PingFang SC" w:hAnsi="PingFang SC" w:eastAsia="PingFang SC"/>
          <w:color w:val="1F2933"/>
          <w:sz w:val="18"/>
        </w:rPr>
        <w:t>Corgi Strategies, LLC 为 SEC 注册投资顾问，Corgi ETF Trust I 等特拉华州法定信托为基金载体。一个法定信托可下设无限多个"系列"，每个系列即一只 ETF，共用同一套注册文件框架。牌照数量与产品数量之间不存在对应关系。</w:t>
      </w:r>
    </w:p>
    <w:p>
      <w:pPr>
        <w:pStyle w:val="Heading3"/>
        <w:keepNext/>
        <w:pageBreakBefore w:val="0"/>
        <w:spacing w:before="100" w:after="60" w:line="240" w:lineRule="auto"/>
      </w:pPr>
      <w:r>
        <w:rPr>
          <w:rFonts w:ascii="PingFang SC" w:hAnsi="PingFang SC" w:eastAsia="PingFang SC"/>
          <w:b/>
          <w:color w:val="31556F"/>
          <w:sz w:val="18"/>
        </w:rPr>
        <w:t>5. 客户购买保险的触发场景为交易前置条件</w:t>
      </w:r>
    </w:p>
    <w:p>
      <w:pPr>
        <w:spacing w:before="0" w:after="120" w:line="250" w:lineRule="auto"/>
      </w:pPr>
      <w:r>
        <w:rPr>
          <w:rFonts w:ascii="PingFang SC" w:hAnsi="PingFang SC" w:eastAsia="PingFang SC"/>
          <w:color w:val="1F2933"/>
          <w:sz w:val="18"/>
        </w:rPr>
        <w:t>据公司官网客户证言，购买动因集中于企业客户、房东或投资人要求出具保险凭证（COI）方可推进合同、租约或融资交割。对方的合规检查内容为险种、限额与有效期，不含承保方评级。</w:t>
      </w:r>
    </w:p>
    <w:p>
      <w:pPr>
        <w:pStyle w:val="Heading3"/>
        <w:keepNext/>
        <w:pageBreakBefore w:val="0"/>
        <w:spacing w:before="100" w:after="60" w:line="240" w:lineRule="auto"/>
      </w:pPr>
      <w:r>
        <w:rPr>
          <w:rFonts w:ascii="PingFang SC" w:hAnsi="PingFang SC" w:eastAsia="PingFang SC"/>
          <w:b/>
          <w:color w:val="31556F"/>
          <w:sz w:val="18"/>
        </w:rPr>
        <w:t>6. 三家实体均设于亚利桑那州</w:t>
      </w:r>
    </w:p>
    <w:p>
      <w:pPr>
        <w:spacing w:before="0" w:after="120" w:line="250" w:lineRule="auto"/>
      </w:pPr>
      <w:r>
        <w:rPr>
          <w:rFonts w:ascii="PingFang SC" w:hAnsi="PingFang SC" w:eastAsia="PingFang SC"/>
          <w:color w:val="1F2933"/>
          <w:sz w:val="18"/>
        </w:rPr>
        <w:t>TRRG（风险自留组）、Corgi Reinsurance（自保公司）、以及一家名称含"Law"的实体均在亚利桑那州注册。该州为美国风险自留组的主要注册地之一，自保公司法门槛较低（团体自保公司最低实缴资本与盈余合计 50 万美元），并自 2021 年起成为全美唯一完全允许非律师持有律所的辖区。</w:t>
      </w:r>
    </w:p>
    <w:p>
      <w:pPr>
        <w:pStyle w:val="Heading3"/>
        <w:keepNext/>
        <w:pageBreakBefore w:val="0"/>
        <w:spacing w:before="100" w:after="60" w:line="240" w:lineRule="auto"/>
      </w:pPr>
      <w:r>
        <w:rPr>
          <w:rFonts w:ascii="PingFang SC" w:hAnsi="PingFang SC" w:eastAsia="PingFang SC"/>
          <w:b/>
          <w:color w:val="31556F"/>
          <w:sz w:val="18"/>
        </w:rPr>
        <w:t>时间维度的说明</w:t>
      </w:r>
    </w:p>
    <w:p>
      <w:pPr>
        <w:spacing w:before="0" w:after="120" w:line="250" w:lineRule="auto"/>
      </w:pPr>
      <w:r>
        <w:rPr>
          <w:rFonts w:ascii="PingFang SC" w:hAnsi="PingFang SC" w:eastAsia="PingFang SC"/>
          <w:color w:val="1F2933"/>
          <w:sz w:val="18"/>
        </w:rPr>
        <w:t>Corgi 于 2025 年 7 月取得承保资格，至本报告完成时约 13 个月。责任险赔案通常在保单期结束后 2 至 5 年浮现，故其承保结果尚无数据可供检验。</w:t>
      </w:r>
    </w:p>
    <w:p>
      <w:pPr>
        <w:pStyle w:val="Heading1"/>
        <w:keepNext/>
        <w:pageBreakBefore w:val="0"/>
        <w:spacing w:before="160" w:after="80" w:line="240" w:lineRule="auto"/>
      </w:pPr>
      <w:r>
        <w:rPr>
          <w:rFonts w:ascii="PingFang SC" w:hAnsi="PingFang SC" w:eastAsia="PingFang SC"/>
          <w:b/>
          <w:color w:val="1F4E79"/>
          <w:sz w:val="25"/>
        </w:rPr>
        <w:t>二、公司概况</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项目</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内容</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成立时间</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2024 年</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总部</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旧金山 425 Bush St, Suite 500</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孵化</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Y Combinator Summer 2024（S24）批次</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创始人</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Nicolas "Nico" Laqua（CEO 兼 CTO）、Emily Z. Yuan（COO）</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员工</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约 70 人（2026 年初）增至约 250 人（YC 页面，含在招岗位）</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办公地</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旧金山、盐湖城、亚特兰大、芝加哥、达拉斯、纽约、伦敦</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客户规模</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约 4 万家，覆盖 49 个州（公司自述）</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最新估值</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约 40 亿美元（2026 年 7 月媒体报道，公司未正式官宣）</w:t>
            </w:r>
          </w:p>
        </w:tc>
      </w:tr>
    </w:tbl>
    <w:p>
      <w:pPr>
        <w:spacing w:after="80"/>
      </w:pPr>
    </w:p>
    <w:p>
      <w:pPr>
        <w:spacing w:before="0" w:after="120" w:line="250" w:lineRule="auto"/>
      </w:pPr>
      <w:r>
        <w:rPr>
          <w:rFonts w:ascii="PingFang SC" w:hAnsi="PingFang SC" w:eastAsia="PingFang SC"/>
          <w:color w:val="1F2933"/>
          <w:sz w:val="18"/>
        </w:rPr>
        <w:t>业务版图：保险（商业责任险，客户为科技创业公司）、资产管理（197 只 ETF，规模 8.801 亿美元，公开目标为 2026 年底达到 1000 只）、软件（Dataroom 文档共享产品），以及实体零售（旧金山与亚特兰大的 24 小时咖啡店）。</w:t>
      </w:r>
    </w:p>
    <w:p>
      <w:pPr>
        <w:pStyle w:val="Heading2"/>
        <w:keepNext/>
        <w:pageBreakBefore w:val="0"/>
        <w:spacing w:before="100" w:after="60" w:line="240" w:lineRule="auto"/>
      </w:pPr>
      <w:r>
        <w:rPr>
          <w:rFonts w:ascii="PingFang SC" w:hAnsi="PingFang SC" w:eastAsia="PingFang SC"/>
          <w:b/>
          <w:color w:val="1F4E79"/>
          <w:sz w:val="20"/>
        </w:rPr>
        <w:t>关键时间线</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时间</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事件</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2024</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公司成立，参加 YC S24 批次</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2025-07</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取得"完整监管批准"（公司表述）；Corgi Strategies 投资顾问实体成立</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2025-10-06</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Reinsurance, Inc. 在亚利桑那州注册</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2025-12-30</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在纳斯达克敲钟，首只 ETF（FDRS）上市</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2026-01-01</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TRRG 开始运营，由 Dane Management 管理</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2026-01-09</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公告 1.08 亿美元融资；称 ARR 超 4000 万美元</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2026-04-14</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起诉竞争对手 Vouch（商业秘密，特拉华联邦法院）</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2026-05-06</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公告 1.6 亿美元 B 轮（13 亿估值）；单日发行 34 只 ETF；同日起诉前员工</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2026-05-28</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公告 1.06 亿美元 B1 轮（26 亿估值）</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2026-07-22</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媒体报道新一轮融资，估值约 40 亿美元（未官宣）</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2026-08-06</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ETF 数量达 197 只，管理规模 8.801 亿美元</w:t>
            </w:r>
          </w:p>
        </w:tc>
      </w:tr>
    </w:tbl>
    <w:p>
      <w:pPr>
        <w:spacing w:after="80"/>
      </w:pPr>
    </w:p>
    <w:p>
      <w:pPr>
        <w:pStyle w:val="Heading1"/>
        <w:keepNext/>
        <w:pageBreakBefore w:val="0"/>
        <w:spacing w:before="160" w:after="80" w:line="240" w:lineRule="auto"/>
      </w:pPr>
      <w:r>
        <w:rPr>
          <w:rFonts w:ascii="PingFang SC" w:hAnsi="PingFang SC" w:eastAsia="PingFang SC"/>
          <w:b/>
          <w:color w:val="1F4E79"/>
          <w:sz w:val="25"/>
        </w:rPr>
        <w:t>三、创始人</w:t>
      </w:r>
    </w:p>
    <w:p>
      <w:pPr>
        <w:spacing w:before="0" w:after="120" w:line="250" w:lineRule="auto"/>
      </w:pPr>
      <w:r>
        <w:rPr>
          <w:rFonts w:ascii="PingFang SC" w:hAnsi="PingFang SC" w:eastAsia="PingFang SC"/>
          <w:color w:val="1F2933"/>
          <w:sz w:val="18"/>
        </w:rPr>
        <w:t>两位创始人在创办 Corgi 之前均无保险行业从业经历。这一点被多家媒体明确指出，两人本人亦不回避。</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Nicolas "Nico" Laqua</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Emily Z. Yuan</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职务</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联合创始人、CEO 兼 CTO</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联合创始人、COO</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出生</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1999 年 6 月至 2000 年 5 月之间（两个独立来源交叉验证）</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2001 年 6 月至 2002 年 6 月之间（仅一个年龄锚点）</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教育</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哥伦比亚大学，以 STEM 奖学金入读，神经科学方向</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斯坦福大学，大三期间退学，未毕业</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荣誉</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Forbes 30 Under 30（2024，消费科技）</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同左</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保险背景</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无</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无</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两人的创业经历</w:t>
      </w:r>
    </w:p>
    <w:p>
      <w:pPr>
        <w:spacing w:before="0" w:after="120" w:line="250" w:lineRule="auto"/>
      </w:pPr>
      <w:r>
        <w:rPr>
          <w:rFonts w:ascii="PingFang SC" w:hAnsi="PingFang SC" w:eastAsia="PingFang SC"/>
          <w:color w:val="1F2933"/>
          <w:sz w:val="18"/>
        </w:rPr>
        <w:t>两人的合作始于大学期间。Laqua 在哥伦比亚大学开发了一个社交应用，通过创业圈子认识了在斯坦福的 Yuan，请她协助在斯坦福推广。据 Yuan 本人陈述，她答应帮忙后"越陷越深"，该应用最终发展为公司。</w:t>
      </w:r>
    </w:p>
    <w:p>
      <w:pPr>
        <w:spacing w:before="0" w:after="120" w:line="250" w:lineRule="auto"/>
      </w:pPr>
      <w:r>
        <w:rPr>
          <w:rFonts w:ascii="PingFang SC" w:hAnsi="PingFang SC" w:eastAsia="PingFang SC"/>
          <w:color w:val="1F2933"/>
          <w:sz w:val="18"/>
        </w:rPr>
        <w:t>第一家：Picnic（约 2020 年至 2023 年下半年）。面向 Z 世代的兴趣社区社交应用，用户围绕剧集、音乐人、电影加入不同"circles"。初始资金 200 万美元。Yuan 在大三期间为此退学。</w:t>
      </w:r>
    </w:p>
    <w:p>
      <w:pPr>
        <w:spacing w:before="0" w:after="120" w:line="250" w:lineRule="auto"/>
      </w:pPr>
      <w:r>
        <w:rPr>
          <w:rFonts w:ascii="PingFang SC" w:hAnsi="PingFang SC" w:eastAsia="PingFang SC"/>
          <w:color w:val="1F2933"/>
          <w:sz w:val="18"/>
        </w:rPr>
        <w:t>第二家：Basket Entertainment（约 2023 年至 2024 年）。由 Picnic 转型而来的移动与 Roblox 游戏发行商，两人凭此入选 Forbes 30 Under 30。Laqua 于 2024 年离开。</w:t>
      </w:r>
    </w:p>
    <w:p>
      <w:pPr>
        <w:spacing w:before="0" w:after="120" w:line="250" w:lineRule="auto"/>
      </w:pPr>
      <w:r>
        <w:rPr>
          <w:rFonts w:ascii="PingFang SC" w:hAnsi="PingFang SC" w:eastAsia="PingFang SC"/>
          <w:color w:val="1F2933"/>
          <w:sz w:val="18"/>
        </w:rPr>
        <w:t>Forbes 官方档案记录 Basket 拥有 35 款以上游戏、1.5 亿月活用户，2023 年收入约 600 万美元，相当于每个月活用户年贡献约 4 美分。行业媒体 The Insurer 曾就此对比作过评述："Basket 报告约 600 万美元收入，却宣称拥有数亿用户。"</w:t>
      </w:r>
    </w:p>
    <w:p>
      <w:pPr>
        <w:spacing w:before="0" w:after="120" w:line="250" w:lineRule="auto"/>
      </w:pPr>
      <w:r>
        <w:rPr>
          <w:rFonts w:ascii="PingFang SC" w:hAnsi="PingFang SC" w:eastAsia="PingFang SC"/>
          <w:color w:val="1F2933"/>
          <w:sz w:val="18"/>
        </w:rPr>
        <w:t>Basket 时期另有两起法院记录：2023 年 11 月与 2024 年 7 月，公司两度在佛罗里达州中区联邦法院起诉同一名前游戏运营副总裁，指控其违反受托责任。两案结果未找到公开来源。</w:t>
      </w:r>
    </w:p>
    <w:p>
      <w:pPr>
        <w:spacing w:before="0" w:after="120" w:line="250" w:lineRule="auto"/>
      </w:pPr>
      <w:r>
        <w:rPr>
          <w:rFonts w:ascii="PingFang SC" w:hAnsi="PingFang SC" w:eastAsia="PingFang SC"/>
          <w:color w:val="1F2933"/>
          <w:sz w:val="18"/>
        </w:rPr>
        <w:t>Emily Yuan 目前同时担任 Corgi Insurance 首席运营官、Corgi Reinsurance 董事兼发起人，以及 Corgi ETF Trust I 的总裁兼首席执行官。两人的详细履历、早期非营利与出版经历，以及三条应予排除的流传说法，见附录一。</w:t>
      </w:r>
    </w:p>
    <w:p>
      <w:pPr>
        <w:pStyle w:val="Heading1"/>
        <w:keepNext/>
        <w:pageBreakBefore w:val="0"/>
        <w:spacing w:before="160" w:after="80" w:line="240" w:lineRule="auto"/>
      </w:pPr>
      <w:r>
        <w:rPr>
          <w:rFonts w:ascii="PingFang SC" w:hAnsi="PingFang SC" w:eastAsia="PingFang SC"/>
          <w:b/>
          <w:color w:val="1F4E79"/>
          <w:sz w:val="25"/>
        </w:rPr>
        <w:t>四、法律实体结构</w:t>
      </w:r>
    </w:p>
    <w:p>
      <w:pPr>
        <w:spacing w:before="0" w:after="120" w:line="250" w:lineRule="auto"/>
      </w:pPr>
      <w:r>
        <w:rPr>
          <w:rFonts w:ascii="PingFang SC" w:hAnsi="PingFang SC" w:eastAsia="PingFang SC"/>
          <w:color w:val="1F2933"/>
          <w:sz w:val="18"/>
        </w:rPr>
        <w:t>Corgi 对外以单一品牌呈现，实际由多个法律实体分层承担不同职能。</w:t>
      </w:r>
    </w:p>
    <w:p>
      <w:pPr>
        <w:pStyle w:val="Heading2"/>
        <w:keepNext/>
        <w:pageBreakBefore w:val="0"/>
        <w:spacing w:before="100" w:after="60" w:line="240" w:lineRule="auto"/>
      </w:pPr>
      <w:r>
        <w:rPr>
          <w:rFonts w:ascii="PingFang SC" w:hAnsi="PingFang SC" w:eastAsia="PingFang SC"/>
          <w:b/>
          <w:color w:val="1F4E79"/>
          <w:sz w:val="20"/>
        </w:rPr>
        <w:t>实体全景</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 xml:space="preserve">                          Corgi（母公司体系）</w:t>
            </w:r>
            <w:r>
              <w:br/>
            </w:r>
            <w:r>
              <w:rPr>
                <w:rFonts w:ascii="PingFang SC" w:hAnsi="PingFang SC" w:eastAsia="PingFang SC"/>
                <w:color w:val="1F2933"/>
                <w:sz w:val="14"/>
              </w:rPr>
              <w:t xml:space="preserve">        ┌───────────────────────┼───────────────────────┐</w:t>
            </w:r>
            <w:r>
              <w:br/>
            </w:r>
            <w:r>
              <w:rPr>
                <w:rFonts w:ascii="PingFang SC" w:hAnsi="PingFang SC" w:eastAsia="PingFang SC"/>
                <w:color w:val="1F2933"/>
                <w:sz w:val="14"/>
              </w:rPr>
              <w:t xml:space="preserve">     保险板块                资管板块                  其他</w:t>
            </w:r>
            <w:r>
              <w:br/>
            </w:r>
            <w:r>
              <w:rPr>
                <w:rFonts w:ascii="PingFang SC" w:hAnsi="PingFang SC" w:eastAsia="PingFang SC"/>
                <w:color w:val="1F2933"/>
                <w:sz w:val="14"/>
              </w:rPr>
              <w:t xml:space="preserve">        │                       │                       │</w:t>
            </w:r>
            <w:r>
              <w:br/>
            </w:r>
            <w:r>
              <w:rPr>
                <w:rFonts w:ascii="PingFang SC" w:hAnsi="PingFang SC" w:eastAsia="PingFang SC"/>
                <w:color w:val="1F2933"/>
                <w:sz w:val="14"/>
              </w:rPr>
              <w:t xml:space="preserve">  Corgi Insurance         Corgi Strategies, LLC    Corgi Law LLC</w:t>
            </w:r>
            <w:r>
              <w:br/>
            </w:r>
            <w:r>
              <w:rPr>
                <w:rFonts w:ascii="PingFang SC" w:hAnsi="PingFang SC" w:eastAsia="PingFang SC"/>
                <w:color w:val="1F2933"/>
                <w:sz w:val="14"/>
              </w:rPr>
              <w:t xml:space="preserve">  Services, Inc.          （SEC 注册投资顾问）      （亚利桑那，唯一</w:t>
            </w:r>
            <w:r>
              <w:br/>
            </w:r>
            <w:r>
              <w:rPr>
                <w:rFonts w:ascii="PingFang SC" w:hAnsi="PingFang SC" w:eastAsia="PingFang SC"/>
                <w:color w:val="1F2933"/>
                <w:sz w:val="14"/>
              </w:rPr>
              <w:t xml:space="preserve">  （生产商 / 项目管理人）        │                    董事 Emily Yuan）</w:t>
            </w:r>
            <w:r>
              <w:br/>
            </w:r>
            <w:r>
              <w:rPr>
                <w:rFonts w:ascii="PingFang SC" w:hAnsi="PingFang SC" w:eastAsia="PingFang SC"/>
                <w:color w:val="1F2933"/>
                <w:sz w:val="14"/>
              </w:rPr>
              <w:t xml:space="preserve">        │ 代表其承保             │ 担任顾问</w:t>
            </w:r>
            <w:r>
              <w:br/>
            </w:r>
            <w:r>
              <w:rPr>
                <w:rFonts w:ascii="PingFang SC" w:hAnsi="PingFang SC" w:eastAsia="PingFang SC"/>
                <w:color w:val="1F2933"/>
                <w:sz w:val="14"/>
              </w:rPr>
              <w:t xml:space="preserve">        ▼                       ▼</w:t>
            </w:r>
            <w:r>
              <w:br/>
            </w:r>
            <w:r>
              <w:rPr>
                <w:rFonts w:ascii="PingFang SC" w:hAnsi="PingFang SC" w:eastAsia="PingFang SC"/>
                <w:color w:val="1F2933"/>
                <w:sz w:val="14"/>
              </w:rPr>
              <w:t xml:space="preserve">  Technology Risk         Corgi ETF Trust I/II/III</w:t>
            </w:r>
            <w:r>
              <w:br/>
            </w:r>
            <w:r>
              <w:rPr>
                <w:rFonts w:ascii="PingFang SC" w:hAnsi="PingFang SC" w:eastAsia="PingFang SC"/>
                <w:color w:val="1F2933"/>
                <w:sz w:val="14"/>
              </w:rPr>
              <w:t xml:space="preserve">  Retention Group         197 只 ETF 系列</w:t>
            </w:r>
            <w:r>
              <w:br/>
            </w:r>
            <w:r>
              <w:rPr>
                <w:rFonts w:ascii="PingFang SC" w:hAnsi="PingFang SC" w:eastAsia="PingFang SC"/>
                <w:color w:val="1F2933"/>
                <w:sz w:val="14"/>
              </w:rPr>
              <w:t xml:space="preserve">  （亚利桑那州 RRG）</w:t>
            </w:r>
            <w:r>
              <w:br/>
            </w:r>
            <w:r>
              <w:rPr>
                <w:rFonts w:ascii="PingFang SC" w:hAnsi="PingFang SC" w:eastAsia="PingFang SC"/>
                <w:color w:val="1F2933"/>
                <w:sz w:val="14"/>
              </w:rPr>
              <w:t xml:space="preserve">  ★ 真正的承保方</w:t>
            </w:r>
            <w:r>
              <w:br/>
            </w:r>
            <w:r>
              <w:rPr>
                <w:rFonts w:ascii="PingFang SC" w:hAnsi="PingFang SC" w:eastAsia="PingFang SC"/>
                <w:color w:val="1F2933"/>
                <w:sz w:val="14"/>
              </w:rPr>
              <w:t xml:space="preserve">        │ 分保</w:t>
            </w:r>
            <w:r>
              <w:br/>
            </w:r>
            <w:r>
              <w:rPr>
                <w:rFonts w:ascii="PingFang SC" w:hAnsi="PingFang SC" w:eastAsia="PingFang SC"/>
                <w:color w:val="1F2933"/>
                <w:sz w:val="14"/>
              </w:rPr>
              <w:t xml:space="preserve">        ▼</w:t>
            </w:r>
            <w:r>
              <w:br/>
            </w:r>
            <w:r>
              <w:rPr>
                <w:rFonts w:ascii="PingFang SC" w:hAnsi="PingFang SC" w:eastAsia="PingFang SC"/>
                <w:color w:val="1F2933"/>
                <w:sz w:val="14"/>
              </w:rPr>
              <w:t xml:space="preserve">  Corgi Reinsurance, Inc.</w:t>
            </w:r>
            <w:r>
              <w:br/>
            </w:r>
            <w:r>
              <w:rPr>
                <w:rFonts w:ascii="PingFang SC" w:hAnsi="PingFang SC" w:eastAsia="PingFang SC"/>
                <w:color w:val="1F2933"/>
                <w:sz w:val="14"/>
              </w:rPr>
              <w:t xml:space="preserve">  （亚利桑那州自保公司）</w:t>
            </w:r>
            <w:r>
              <w:br/>
            </w:r>
            <w:r>
              <w:rPr>
                <w:rFonts w:ascii="PingFang SC" w:hAnsi="PingFang SC" w:eastAsia="PingFang SC"/>
                <w:color w:val="1F2933"/>
                <w:sz w:val="14"/>
              </w:rPr>
              <w:t xml:space="preserve">  ★ 同一体系内</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各实体定性</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实体</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角色与关键事实</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Insurance Services, Inc.</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保险生产商与项目管理人。持加州牌照号 6012791，官网明确表述其"作为项目管理人，而非保险人"。本身不承担赔付责任。公司称其生产者实体在 45 个美国司法辖区持牌。</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Technology Risk Retention Group（TRRG）</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承保载体。NAIC 代码 17763，亚利桑那州注册的风险自留组，由 Dane Management, LLC 管理，2026 年 1 月 1 日开始运营。无 AM Best 评级，不受州保障基金保护。</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Reinsurance, Inc.</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自保再保公司。NAIC 代码 17842，2025 年 10 月 6 日在亚利桑那州注册，实体类型登记为"本州保险人"。董事四人，包括两位创始人。与 TRRG 共用同一法定代理人及地址。</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Strategies, LLC</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SEC 注册投资顾问。特拉华州 LLC，2025 年 7 月成立，截至 2026 年 3 月 31 日管理规模 2717 万美元，担任 38 只已注册基金的顾问。</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风险自留组</w:t>
      </w:r>
    </w:p>
    <w:p>
      <w:pPr>
        <w:spacing w:before="0" w:after="120" w:line="250" w:lineRule="auto"/>
      </w:pPr>
      <w:r>
        <w:rPr>
          <w:rFonts w:ascii="PingFang SC" w:hAnsi="PingFang SC" w:eastAsia="PingFang SC"/>
          <w:color w:val="1F2933"/>
          <w:sz w:val="18"/>
        </w:rPr>
        <w:t>风险自留组（Risk Retention Group, RRG）是一群面临同类责任风险的企业共同拥有的责任保险公司，其成员既是股东，又是客户。法律依据为美国 1986 年联邦《责任风险自留法》。</w:t>
      </w:r>
    </w:p>
    <w:p>
      <w:pPr>
        <w:spacing w:before="0" w:after="120" w:line="250" w:lineRule="auto"/>
      </w:pPr>
      <w:r>
        <w:rPr>
          <w:rFonts w:ascii="PingFang SC" w:hAnsi="PingFang SC" w:eastAsia="PingFang SC"/>
          <w:color w:val="1F2933"/>
          <w:sz w:val="18"/>
        </w:rPr>
        <w:t>其核心特权是联邦法优先于州法：</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传统保险公司                    风险自留组</w:t>
            </w:r>
            <w:r>
              <w:br/>
            </w:r>
            <w:r>
              <w:rPr>
                <w:rFonts w:ascii="PingFang SC" w:hAnsi="PingFang SC" w:eastAsia="PingFang SC"/>
                <w:color w:val="1F2933"/>
                <w:sz w:val="14"/>
              </w:rPr>
              <w:t>─────────────────────────────────────────────────</w:t>
            </w:r>
            <w:r>
              <w:br/>
            </w:r>
            <w:r>
              <w:rPr>
                <w:rFonts w:ascii="PingFang SC" w:hAnsi="PingFang SC" w:eastAsia="PingFang SC"/>
                <w:color w:val="1F2933"/>
                <w:sz w:val="14"/>
              </w:rPr>
              <w:t>需拿 50 个州的牌照      →     只在 1 个州（注册地）持牌</w:t>
            </w:r>
            <w:r>
              <w:br/>
            </w:r>
            <w:r>
              <w:rPr>
                <w:rFonts w:ascii="PingFang SC" w:hAnsi="PingFang SC" w:eastAsia="PingFang SC"/>
                <w:color w:val="1F2933"/>
                <w:sz w:val="14"/>
              </w:rPr>
              <w:t xml:space="preserve">                              其余各州登记备案即可展业</w:t>
            </w:r>
            <w:r>
              <w:br/>
            </w:r>
            <w:r>
              <w:rPr>
                <w:rFonts w:ascii="PingFang SC" w:hAnsi="PingFang SC" w:eastAsia="PingFang SC"/>
                <w:color w:val="1F2933"/>
                <w:sz w:val="14"/>
              </w:rPr>
              <w:t>需 50 套费率报备        →     只对注册地监管机构负责</w:t>
            </w:r>
          </w:p>
        </w:tc>
      </w:tr>
    </w:tbl>
    <w:p>
      <w:pPr>
        <w:spacing w:after="80"/>
      </w:pPr>
    </w:p>
    <w:p>
      <w:pPr>
        <w:spacing w:before="0" w:after="120" w:line="250" w:lineRule="auto"/>
      </w:pPr>
      <w:r>
        <w:rPr>
          <w:rFonts w:ascii="PingFang SC" w:hAnsi="PingFang SC" w:eastAsia="PingFang SC"/>
          <w:color w:val="1F2933"/>
          <w:sz w:val="18"/>
        </w:rPr>
        <w:t>这一制度是 Corgi 在两年内覆盖 49 个州的基础。</w:t>
      </w:r>
    </w:p>
    <w:p>
      <w:pPr>
        <w:spacing w:before="0" w:after="120" w:line="250" w:lineRule="auto"/>
      </w:pPr>
      <w:r>
        <w:rPr>
          <w:rFonts w:ascii="PingFang SC" w:hAnsi="PingFang SC" w:eastAsia="PingFang SC"/>
          <w:color w:val="1F2933"/>
          <w:sz w:val="18"/>
        </w:rPr>
        <w:t>五条法定约束：只能承保责任险，不能做财产险、工伤险或个人险；投保人必须同时是所有者；成员必须"同质"，即从事相似业务、面临相似风险；不受州保障基金保护，破产时无兜底机制；通常没有评级，可能导致保单在部分场景不被对手方接受。</w:t>
      </w:r>
    </w:p>
    <w:p>
      <w:pPr>
        <w:spacing w:before="0" w:after="120" w:line="250" w:lineRule="auto"/>
      </w:pPr>
      <w:r>
        <w:rPr>
          <w:rFonts w:ascii="PingFang SC" w:hAnsi="PingFang SC" w:eastAsia="PingFang SC"/>
          <w:color w:val="1F2933"/>
          <w:sz w:val="18"/>
        </w:rPr>
        <w:t>关于"成员即所有者"，按联邦法，风险自留组的成员在法律上即为其全部保单持有人。购买 Corgi 保单者即成为 TRRG 的成员与共有人。四万家客户如何实际持股、购买时是否被显著告知这一点，未找到公开来源。</w:t>
      </w:r>
    </w:p>
    <w:p>
      <w:pPr>
        <w:pStyle w:val="Heading2"/>
        <w:keepNext/>
        <w:pageBreakBefore w:val="0"/>
        <w:spacing w:before="100" w:after="60" w:line="240" w:lineRule="auto"/>
      </w:pPr>
      <w:r>
        <w:rPr>
          <w:rFonts w:ascii="PingFang SC" w:hAnsi="PingFang SC" w:eastAsia="PingFang SC"/>
          <w:b/>
          <w:color w:val="1F4E79"/>
          <w:sz w:val="20"/>
        </w:rPr>
        <w:t>自我再保</w:t>
      </w:r>
    </w:p>
    <w:p>
      <w:pPr>
        <w:spacing w:before="0" w:after="120" w:line="250" w:lineRule="auto"/>
      </w:pPr>
      <w:r>
        <w:rPr>
          <w:rFonts w:ascii="PingFang SC" w:hAnsi="PingFang SC" w:eastAsia="PingFang SC"/>
          <w:color w:val="1F2933"/>
          <w:sz w:val="18"/>
        </w:rPr>
        <w:t>再保险的常规做法是把风险分给再保险人，从而将风险与资本压力转移至集团之外。Corgi 的安排为：</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 xml:space="preserve">   TRRG 承保</w:t>
            </w:r>
            <w:r>
              <w:br/>
            </w:r>
            <w:r>
              <w:rPr>
                <w:rFonts w:ascii="PingFang SC" w:hAnsi="PingFang SC" w:eastAsia="PingFang SC"/>
                <w:color w:val="1F2933"/>
                <w:sz w:val="14"/>
              </w:rPr>
              <w:t xml:space="preserve">      │ 分保</w:t>
            </w:r>
            <w:r>
              <w:br/>
            </w:r>
            <w:r>
              <w:rPr>
                <w:rFonts w:ascii="PingFang SC" w:hAnsi="PingFang SC" w:eastAsia="PingFang SC"/>
                <w:color w:val="1F2933"/>
                <w:sz w:val="14"/>
              </w:rPr>
              <w:t xml:space="preserve">      ▼</w:t>
            </w:r>
            <w:r>
              <w:br/>
            </w:r>
            <w:r>
              <w:rPr>
                <w:rFonts w:ascii="PingFang SC" w:hAnsi="PingFang SC" w:eastAsia="PingFang SC"/>
                <w:color w:val="1F2933"/>
                <w:sz w:val="14"/>
              </w:rPr>
              <w:t xml:space="preserve">   Corgi Reinsurance（同一体系内，董事为两位创始人）</w:t>
            </w:r>
            <w:r>
              <w:br/>
            </w:r>
            <w:r>
              <w:rPr>
                <w:rFonts w:ascii="PingFang SC" w:hAnsi="PingFang SC" w:eastAsia="PingFang SC"/>
                <w:color w:val="1F2933"/>
                <w:sz w:val="14"/>
              </w:rPr>
              <w:t xml:space="preserve">      │</w:t>
            </w:r>
            <w:r>
              <w:br/>
            </w:r>
            <w:r>
              <w:rPr>
                <w:rFonts w:ascii="PingFang SC" w:hAnsi="PingFang SC" w:eastAsia="PingFang SC"/>
                <w:color w:val="1F2933"/>
                <w:sz w:val="14"/>
              </w:rPr>
              <w:t xml:space="preserve">   ┌──┴────────────────────┐</w:t>
            </w:r>
            <w:r>
              <w:br/>
            </w:r>
            <w:r>
              <w:rPr>
                <w:rFonts w:ascii="PingFang SC" w:hAnsi="PingFang SC" w:eastAsia="PingFang SC"/>
                <w:color w:val="1F2933"/>
                <w:sz w:val="14"/>
              </w:rPr>
              <w:t xml:space="preserve">   │  风险未离开 Corgi 集团  │</w:t>
            </w:r>
            <w:r>
              <w:br/>
            </w:r>
            <w:r>
              <w:rPr>
                <w:rFonts w:ascii="PingFang SC" w:hAnsi="PingFang SC" w:eastAsia="PingFang SC"/>
                <w:color w:val="1F2933"/>
                <w:sz w:val="14"/>
              </w:rPr>
              <w:t xml:space="preserve">   └───────────────────────┘</w:t>
            </w:r>
          </w:p>
        </w:tc>
      </w:tr>
    </w:tbl>
    <w:p>
      <w:pPr>
        <w:spacing w:after="80"/>
      </w:pPr>
    </w:p>
    <w:p>
      <w:pPr>
        <w:spacing w:before="0" w:after="120" w:line="250" w:lineRule="auto"/>
      </w:pPr>
      <w:r>
        <w:rPr>
          <w:rFonts w:ascii="PingFang SC" w:hAnsi="PingFang SC" w:eastAsia="PingFang SC"/>
          <w:color w:val="1F2933"/>
          <w:sz w:val="18"/>
        </w:rPr>
        <w:t>Corgi Reinsurance 公司章程第 2 条载明，本公司作为自保保险人，"可承接来自关联保险人以及前置保险人的分入业务，可分出再保险"。章程授予的是权利，是否实际向外部第三方转分保、分出多少，公开渠道未查到记录。</w:t>
      </w:r>
    </w:p>
    <w:p>
      <w:pPr>
        <w:spacing w:before="0" w:after="120" w:line="250" w:lineRule="auto"/>
      </w:pPr>
      <w:r>
        <w:rPr>
          <w:rFonts w:ascii="PingFang SC" w:hAnsi="PingFang SC" w:eastAsia="PingFang SC"/>
          <w:color w:val="1F2933"/>
          <w:sz w:val="18"/>
        </w:rPr>
        <w:t>一处易被误读的数字：章程第 4 条载明"授权发行普通股一万股，每股面值一美元"。该一万美元为票面数字，非实缴资本。按《亚利桑那修订法典》第 20-1098.03 条，该州团体自保公司最低实缴资本与盈余合计为 50 万美元，且监管长官可视业务性质额外提高要求。实际资本数字章程中未体现。</w:t>
      </w:r>
    </w:p>
    <w:p>
      <w:pPr>
        <w:spacing w:before="0" w:after="120" w:line="250" w:lineRule="auto"/>
      </w:pPr>
      <w:r>
        <w:rPr>
          <w:rFonts w:ascii="PingFang SC" w:hAnsi="PingFang SC" w:eastAsia="PingFang SC"/>
          <w:color w:val="1F2933"/>
          <w:sz w:val="18"/>
        </w:rPr>
        <w:t>在 AI 责任险领域，新进入者（如 Armilla、AIUC、Testudo）通常承担技术评估与分销角色，资本风险由劳合社辛迪加与慕尼黑再保险等老牌再保人承担。Corgi 的安排与此不同。</w:t>
      </w:r>
    </w:p>
    <w:p>
      <w:pPr>
        <w:pStyle w:val="Heading2"/>
        <w:keepNext/>
        <w:pageBreakBefore w:val="0"/>
        <w:spacing w:before="100" w:after="60" w:line="240" w:lineRule="auto"/>
      </w:pPr>
      <w:r>
        <w:rPr>
          <w:rFonts w:ascii="PingFang SC" w:hAnsi="PingFang SC" w:eastAsia="PingFang SC"/>
          <w:b/>
          <w:color w:val="1F4E79"/>
          <w:sz w:val="20"/>
        </w:rPr>
        <w:t>辖区分布</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实体</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所利用的亚利桑那州制度</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Technology Risk Retention Group</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风险自留组制度（联邦《责任风险自留法》与亚利桑那自保法）</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Reinsurance, Inc.</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自保公司制度（《亚利桑那修订法典》第 20 编第 14 章）</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Law LLC</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该州自 2021 年起为全美唯一完全允许非律师持有律所的辖区（详见附录三）</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一条待核实的信息</w:t>
      </w:r>
    </w:p>
    <w:p>
      <w:pPr>
        <w:spacing w:before="0" w:after="120" w:line="250" w:lineRule="auto"/>
      </w:pPr>
      <w:r>
        <w:rPr>
          <w:rFonts w:ascii="PingFang SC" w:hAnsi="PingFang SC" w:eastAsia="PingFang SC"/>
          <w:color w:val="1F2933"/>
          <w:sz w:val="18"/>
        </w:rPr>
        <w:t>Corgi 招聘启事称其保险业务涵盖"风险自留组、自保公司和一家准入保险公司"。这与"全部业务经风险自留组承保"的理解不符。另有多方报道称其花费约 3500 万美元收购了一家有数十年历史的持牌保险公司，监管流程约 18 个月，但未找到独立的监管或交易文件核实。</w:t>
      </w:r>
    </w:p>
    <w:p>
      <w:pPr>
        <w:pStyle w:val="Heading1"/>
        <w:keepNext/>
        <w:pageBreakBefore w:val="0"/>
        <w:spacing w:before="160" w:after="80" w:line="240" w:lineRule="auto"/>
      </w:pPr>
      <w:r>
        <w:rPr>
          <w:rFonts w:ascii="PingFang SC" w:hAnsi="PingFang SC" w:eastAsia="PingFang SC"/>
          <w:b/>
          <w:color w:val="1F4E79"/>
          <w:sz w:val="25"/>
        </w:rPr>
        <w:t>五、保险业务</w:t>
      </w:r>
    </w:p>
    <w:p>
      <w:pPr>
        <w:pStyle w:val="Heading2"/>
        <w:keepNext/>
        <w:pageBreakBefore w:val="0"/>
        <w:spacing w:before="100" w:after="60" w:line="240" w:lineRule="auto"/>
      </w:pPr>
      <w:r>
        <w:rPr>
          <w:rFonts w:ascii="PingFang SC" w:hAnsi="PingFang SC" w:eastAsia="PingFang SC"/>
          <w:b/>
          <w:color w:val="1F4E79"/>
          <w:sz w:val="20"/>
        </w:rPr>
        <w:t>产品线</w:t>
      </w:r>
    </w:p>
    <w:p>
      <w:pPr>
        <w:spacing w:before="0" w:after="120" w:line="250" w:lineRule="auto"/>
      </w:pPr>
      <w:r>
        <w:rPr>
          <w:rFonts w:ascii="PingFang SC" w:hAnsi="PingFang SC" w:eastAsia="PingFang SC"/>
          <w:color w:val="1F2933"/>
          <w:sz w:val="18"/>
        </w:rPr>
        <w:t>全部为商业责任险，与风险自留组"只能承保责任险"的法定约束一致。</w:t>
      </w:r>
    </w:p>
    <w:p>
      <w:pPr>
        <w:spacing w:before="0" w:after="120" w:line="250" w:lineRule="auto"/>
      </w:pPr>
      <w:r>
        <w:rPr>
          <w:rFonts w:ascii="PingFang SC" w:hAnsi="PingFang SC" w:eastAsia="PingFang SC"/>
          <w:color w:val="1F2933"/>
          <w:sz w:val="18"/>
        </w:rPr>
        <w:t>主力险种包括商业综合责任险（第三方人身伤害与财产损失）、董监高责任险（董事高管因经营决策被起诉的赔偿与法律费用）、科技错误与遗漏责任险（技术产品或服务出错导致客户经济损失）、网络安全责任险、AI 及算法责任险（模型输出错误、算法歧视、幻觉、训练数据侵权），以及雇佣实务责任险。另有媒体责任险、受托责任险、雇佣及非自有车辆险与陈述保证保险。</w:t>
      </w:r>
    </w:p>
    <w:p>
      <w:pPr>
        <w:spacing w:before="0" w:after="120" w:line="250" w:lineRule="auto"/>
      </w:pPr>
      <w:r>
        <w:rPr>
          <w:rFonts w:ascii="PingFang SC" w:hAnsi="PingFang SC" w:eastAsia="PingFang SC"/>
          <w:color w:val="1F2933"/>
          <w:sz w:val="18"/>
        </w:rPr>
        <w:t>另有货运卡车保险（2026 年 7 月）、体育与娱乐、社区协会业务线，以及租客险平台 Beagle（由另一家风险自留组 YRIG 承保）。</w:t>
      </w:r>
    </w:p>
    <w:p>
      <w:pPr>
        <w:spacing w:before="0" w:after="120" w:line="250" w:lineRule="auto"/>
      </w:pPr>
      <w:r>
        <w:rPr>
          <w:rFonts w:ascii="PingFang SC" w:hAnsi="PingFang SC" w:eastAsia="PingFang SC"/>
          <w:color w:val="1F2933"/>
          <w:sz w:val="18"/>
        </w:rPr>
        <w:t>已公开客户包括 Deel（HR 与薪酬平台）、Artisan、Eragon。</w:t>
      </w:r>
    </w:p>
    <w:p>
      <w:pPr>
        <w:pStyle w:val="Heading2"/>
        <w:keepNext/>
        <w:pageBreakBefore w:val="0"/>
        <w:spacing w:before="100" w:after="60" w:line="240" w:lineRule="auto"/>
      </w:pPr>
      <w:r>
        <w:rPr>
          <w:rFonts w:ascii="PingFang SC" w:hAnsi="PingFang SC" w:eastAsia="PingFang SC"/>
          <w:b/>
          <w:color w:val="1F4E79"/>
          <w:sz w:val="20"/>
        </w:rPr>
        <w:t>购买动因</w:t>
      </w:r>
    </w:p>
    <w:p>
      <w:pPr>
        <w:spacing w:before="0" w:after="120" w:line="250" w:lineRule="auto"/>
      </w:pPr>
      <w:r>
        <w:rPr>
          <w:rFonts w:ascii="PingFang SC" w:hAnsi="PingFang SC" w:eastAsia="PingFang SC"/>
          <w:color w:val="1F2933"/>
          <w:sz w:val="18"/>
        </w:rPr>
        <w:t>商业交易中被要求提供的是保险凭证（Certificate of Insurance, COI），一页纸，载明投保险种、限额、保单起止与承保方。它是保单存在的证明，而非保单本身。</w:t>
      </w:r>
    </w:p>
    <w:p>
      <w:pPr>
        <w:spacing w:before="0" w:after="120" w:line="250" w:lineRule="auto"/>
      </w:pPr>
      <w:r>
        <w:rPr>
          <w:rFonts w:ascii="PingFang SC" w:hAnsi="PingFang SC" w:eastAsia="PingFang SC"/>
          <w:color w:val="1F2933"/>
          <w:sz w:val="18"/>
        </w:rPr>
        <w:t>这类交易存在一个角色分布：</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 xml:space="preserve">  ┌──────────────┐   ① 要求提供保险凭证  ┌────────────────────┐</w:t>
            </w:r>
            <w:r>
              <w:br/>
            </w:r>
            <w:r>
              <w:rPr>
                <w:rFonts w:ascii="PingFang SC" w:hAnsi="PingFang SC" w:eastAsia="PingFang SC"/>
                <w:color w:val="1F2933"/>
                <w:sz w:val="14"/>
              </w:rPr>
              <w:t xml:space="preserve">  │  创业公司      │ ◄──────────────────  │  企业客户 / 房东     │</w:t>
            </w:r>
            <w:r>
              <w:br/>
            </w:r>
            <w:r>
              <w:rPr>
                <w:rFonts w:ascii="PingFang SC" w:hAnsi="PingFang SC" w:eastAsia="PingFang SC"/>
                <w:color w:val="1F2933"/>
                <w:sz w:val="14"/>
              </w:rPr>
              <w:t xml:space="preserve">  │              │                      │  / 投资人            │</w:t>
            </w:r>
            <w:r>
              <w:br/>
            </w:r>
            <w:r>
              <w:rPr>
                <w:rFonts w:ascii="PingFang SC" w:hAnsi="PingFang SC" w:eastAsia="PingFang SC"/>
                <w:color w:val="1F2933"/>
                <w:sz w:val="14"/>
              </w:rPr>
              <w:t xml:space="preserve">  │  付钱的人      │   ② 提交保险凭证      │                    │</w:t>
            </w:r>
            <w:r>
              <w:br/>
            </w:r>
            <w:r>
              <w:rPr>
                <w:rFonts w:ascii="PingFang SC" w:hAnsi="PingFang SC" w:eastAsia="PingFang SC"/>
                <w:color w:val="1F2933"/>
                <w:sz w:val="14"/>
              </w:rPr>
              <w:t xml:space="preserve">  │              │ ───────────────────► │  实际受保障的一方     │</w:t>
            </w:r>
            <w:r>
              <w:br/>
            </w:r>
            <w:r>
              <w:rPr>
                <w:rFonts w:ascii="PingFang SC" w:hAnsi="PingFang SC" w:eastAsia="PingFang SC"/>
                <w:color w:val="1F2933"/>
                <w:sz w:val="14"/>
              </w:rPr>
              <w:t xml:space="preserve">  └──────────────┘                      └────────────────────┘</w:t>
            </w:r>
          </w:p>
        </w:tc>
      </w:tr>
    </w:tbl>
    <w:p>
      <w:pPr>
        <w:spacing w:after="80"/>
      </w:pPr>
    </w:p>
    <w:p>
      <w:pPr>
        <w:spacing w:before="0" w:after="120" w:line="250" w:lineRule="auto"/>
      </w:pPr>
      <w:r>
        <w:rPr>
          <w:rFonts w:ascii="PingFang SC" w:hAnsi="PingFang SC" w:eastAsia="PingFang SC"/>
          <w:color w:val="1F2933"/>
          <w:sz w:val="18"/>
        </w:rPr>
        <w:t>创业公司的购买目的是取得合同、办公场地或融资交割，保险是达成这些交易的前置条件。实际担心风险的是提出要求的一方：企业客户关注供应商数据泄露的赔付责任，房东关注租客造成财产损失的赔付责任，投资人关注公司被起诉时董事的个人责任。这些方是保单的实际受益方，但不支付保费。</w:t>
      </w:r>
    </w:p>
    <w:p>
      <w:pPr>
        <w:spacing w:before="0" w:after="120" w:line="250" w:lineRule="auto"/>
      </w:pPr>
      <w:r>
        <w:rPr>
          <w:rFonts w:ascii="PingFang SC" w:hAnsi="PingFang SC" w:eastAsia="PingFang SC"/>
          <w:color w:val="1F2933"/>
          <w:sz w:val="18"/>
        </w:rPr>
        <w:t>合规检查的内容：对方核对的是投保人名称、险种、限额（合同常写明"CGL 不低于 100 万美元"）与有效期，通常不核对承保方评级或财务稳健性。</w:t>
      </w:r>
    </w:p>
    <w:p>
      <w:pPr>
        <w:spacing w:before="0" w:after="120" w:line="250" w:lineRule="auto"/>
      </w:pPr>
      <w:r>
        <w:rPr>
          <w:rFonts w:ascii="PingFang SC" w:hAnsi="PingFang SC" w:eastAsia="PingFang SC"/>
          <w:color w:val="1F2933"/>
          <w:sz w:val="18"/>
        </w:rPr>
        <w:t>时间维度的差异：未能取得保险凭证是当期发生、概率确定、可立即感知的损失；保障不充分则是数年后可能发生、概率较低的损失。</w:t>
      </w:r>
    </w:p>
    <w:p>
      <w:pPr>
        <w:spacing w:before="0" w:after="120" w:line="250" w:lineRule="auto"/>
      </w:pPr>
      <w:r>
        <w:rPr>
          <w:rFonts w:ascii="PingFang SC" w:hAnsi="PingFang SC" w:eastAsia="PingFang SC"/>
          <w:color w:val="1F2933"/>
          <w:sz w:val="18"/>
        </w:rPr>
        <w:t>据公司官网客户证言，购买者反馈集中于出单速度，例如"Corgi 团队在几分钟内搞定了我拿下第一份七位数企业合同所需的全部保险要求"、"Corgi 给我报价和保单证书快到我特地去确认了一下是不是真的"。证言中未涉及风险覆盖范围、定价合理性或理赔可靠性。</w:t>
      </w:r>
    </w:p>
    <w:p>
      <w:pPr>
        <w:spacing w:before="0" w:after="120" w:line="250" w:lineRule="auto"/>
      </w:pPr>
      <w:r>
        <w:rPr>
          <w:rFonts w:ascii="PingFang SC" w:hAnsi="PingFang SC" w:eastAsia="PingFang SC"/>
          <w:color w:val="1F2933"/>
          <w:sz w:val="18"/>
        </w:rPr>
        <w:t>判断"刚性场景"的三条问题：不购买该保险，另一笔交易能否达成；提出要求的一方与支付保费的一方是否为同一主体；对方检查的是凭证本身还是承保方资质。</w:t>
      </w:r>
    </w:p>
    <w:p>
      <w:pPr>
        <w:pStyle w:val="Heading2"/>
        <w:keepNext/>
        <w:pageBreakBefore w:val="0"/>
        <w:spacing w:before="100" w:after="60" w:line="240" w:lineRule="auto"/>
      </w:pPr>
      <w:r>
        <w:rPr>
          <w:rFonts w:ascii="PingFang SC" w:hAnsi="PingFang SC" w:eastAsia="PingFang SC"/>
          <w:b/>
          <w:color w:val="1F4E79"/>
          <w:sz w:val="20"/>
        </w:rPr>
        <w:t>产品结构与未披露指标</w:t>
      </w:r>
    </w:p>
    <w:p>
      <w:pPr>
        <w:spacing w:before="0" w:after="120" w:line="250" w:lineRule="auto"/>
      </w:pPr>
      <w:r>
        <w:rPr>
          <w:rFonts w:ascii="PingFang SC" w:hAnsi="PingFang SC" w:eastAsia="PingFang SC"/>
          <w:color w:val="1F2933"/>
          <w:sz w:val="18"/>
        </w:rPr>
        <w:t>据保险从业者的公开拆解，Corgi 的商业综合责任险采用事故发生制，而科技错误与遗漏险、网络险、董监高责任险等长尾险种基本或完全采用索赔提出制。事故发生制的责任尾部可长达数十年，索赔提出制则每年清算，风险不累积。</w:t>
      </w:r>
    </w:p>
    <w:p>
      <w:pPr>
        <w:spacing w:before="0" w:after="120" w:line="250" w:lineRule="auto"/>
      </w:pPr>
      <w:r>
        <w:rPr>
          <w:rFonts w:ascii="PingFang SC" w:hAnsi="PingFang SC" w:eastAsia="PingFang SC"/>
          <w:color w:val="1F2933"/>
          <w:sz w:val="18"/>
        </w:rPr>
        <w:t>Corgi 从未披露赔付率、综合成本率、准备金，以及自留与分出比例。</w:t>
      </w:r>
    </w:p>
    <w:p>
      <w:pPr>
        <w:pStyle w:val="Heading1"/>
        <w:keepNext/>
        <w:pageBreakBefore w:val="0"/>
        <w:spacing w:before="160" w:after="80" w:line="240" w:lineRule="auto"/>
      </w:pPr>
      <w:r>
        <w:rPr>
          <w:rFonts w:ascii="PingFang SC" w:hAnsi="PingFang SC" w:eastAsia="PingFang SC"/>
          <w:b/>
          <w:color w:val="1F4E79"/>
          <w:sz w:val="25"/>
        </w:rPr>
        <w:t>六、资产管理业务</w:t>
      </w:r>
    </w:p>
    <w:p>
      <w:pPr>
        <w:pStyle w:val="Heading2"/>
        <w:keepNext/>
        <w:pageBreakBefore w:val="0"/>
        <w:spacing w:before="100" w:after="60" w:line="240" w:lineRule="auto"/>
      </w:pPr>
      <w:r>
        <w:rPr>
          <w:rFonts w:ascii="PingFang SC" w:hAnsi="PingFang SC" w:eastAsia="PingFang SC"/>
          <w:b/>
          <w:color w:val="1F4E79"/>
          <w:sz w:val="20"/>
        </w:rPr>
        <w:t>现状</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项目</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数值</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说明</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ETF 数量</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197 只</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截至 2026 年 8 月 6 日，官网数据</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管理规模</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8.801 亿美元</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同上</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产品构成</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 倍杠杆 125 只、缓冲型 36 只、主题型 30 只、固定收益 6 只</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费率</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0.20%–0.35%</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主题型；缓冲型 0.40%，临时减免至 0.30%。系统性低于同业</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公开目标</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1000 只</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 年底</w:t>
            </w:r>
          </w:p>
        </w:tc>
      </w:tr>
    </w:tbl>
    <w:p>
      <w:pPr>
        <w:spacing w:after="80"/>
      </w:pPr>
    </w:p>
    <w:p>
      <w:pPr>
        <w:spacing w:before="0" w:after="120" w:line="250" w:lineRule="auto"/>
      </w:pPr>
      <w:r>
        <w:rPr>
          <w:rFonts w:ascii="PingFang SC" w:hAnsi="PingFang SC" w:eastAsia="PingFang SC"/>
          <w:color w:val="1F2933"/>
          <w:sz w:val="18"/>
        </w:rPr>
        <w:t>发行节奏：2025 年 12 月 30 日首只 ETF 上市，2026 年 5 月 6 日单日发行 34 只（当时为史上最大单日集体发行），6 月 2 日再发 35 只。年内已发 187 只，约占同期全美 882 只新发 ETF 的五分之一。</w:t>
      </w:r>
    </w:p>
    <w:p>
      <w:pPr>
        <w:pStyle w:val="Heading2"/>
        <w:keepNext/>
        <w:pageBreakBefore w:val="0"/>
        <w:spacing w:before="100" w:after="60" w:line="240" w:lineRule="auto"/>
      </w:pPr>
      <w:r>
        <w:rPr>
          <w:rFonts w:ascii="PingFang SC" w:hAnsi="PingFang SC" w:eastAsia="PingFang SC"/>
          <w:b/>
          <w:color w:val="1F4E79"/>
          <w:sz w:val="20"/>
        </w:rPr>
        <w:t>五层牌照结构</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① Corgi Strategies, LLC ──► SEC 注册投资顾问（管理资产并收取费用的资格）</w:t>
            </w:r>
            <w:r>
              <w:br/>
            </w:r>
            <w:r>
              <w:rPr>
                <w:rFonts w:ascii="PingFang SC" w:hAnsi="PingFang SC" w:eastAsia="PingFang SC"/>
                <w:color w:val="1F2933"/>
                <w:sz w:val="14"/>
              </w:rPr>
              <w:t xml:space="preserve">        │ 担任投资顾问</w:t>
            </w:r>
            <w:r>
              <w:br/>
            </w:r>
            <w:r>
              <w:rPr>
                <w:rFonts w:ascii="PingFang SC" w:hAnsi="PingFang SC" w:eastAsia="PingFang SC"/>
                <w:color w:val="1F2933"/>
                <w:sz w:val="14"/>
              </w:rPr>
              <w:t>② Corgi ETF Trust I/II/III ──► 1940 年《投资公司法》注册（811-24117）</w:t>
            </w:r>
            <w:r>
              <w:br/>
            </w:r>
            <w:r>
              <w:rPr>
                <w:rFonts w:ascii="PingFang SC" w:hAnsi="PingFang SC" w:eastAsia="PingFang SC"/>
                <w:color w:val="1F2933"/>
                <w:sz w:val="14"/>
              </w:rPr>
              <w:t xml:space="preserve">        │ 份额公开发行</w:t>
            </w:r>
            <w:r>
              <w:br/>
            </w:r>
            <w:r>
              <w:rPr>
                <w:rFonts w:ascii="PingFang SC" w:hAnsi="PingFang SC" w:eastAsia="PingFang SC"/>
                <w:color w:val="1F2933"/>
                <w:sz w:val="14"/>
              </w:rPr>
              <w:t>③ 份额注册 ──────────────► 1933 年《证券法》注册（333-289838）</w:t>
            </w:r>
            <w:r>
              <w:br/>
            </w:r>
            <w:r>
              <w:rPr>
                <w:rFonts w:ascii="PingFang SC" w:hAnsi="PingFang SC" w:eastAsia="PingFang SC"/>
                <w:color w:val="1F2933"/>
                <w:sz w:val="14"/>
              </w:rPr>
              <w:t xml:space="preserve">        │ 承销分销</w:t>
            </w:r>
            <w:r>
              <w:br/>
            </w:r>
            <w:r>
              <w:rPr>
                <w:rFonts w:ascii="PingFang SC" w:hAnsi="PingFang SC" w:eastAsia="PingFang SC"/>
                <w:color w:val="1F2933"/>
                <w:sz w:val="14"/>
              </w:rPr>
              <w:t>④ Paralel Distributors ───► SEC 注册券商 + FINRA 会员（与 Corgi 无关联）</w:t>
            </w:r>
            <w:r>
              <w:br/>
            </w:r>
            <w:r>
              <w:rPr>
                <w:rFonts w:ascii="PingFang SC" w:hAnsi="PingFang SC" w:eastAsia="PingFang SC"/>
                <w:color w:val="1F2933"/>
                <w:sz w:val="14"/>
              </w:rPr>
              <w:t xml:space="preserve">        │</w:t>
            </w:r>
            <w:r>
              <w:br/>
            </w:r>
            <w:r>
              <w:rPr>
                <w:rFonts w:ascii="PingFang SC" w:hAnsi="PingFang SC" w:eastAsia="PingFang SC"/>
                <w:color w:val="1F2933"/>
                <w:sz w:val="14"/>
              </w:rPr>
              <w:t>⑤ Nasdaq / Cboe BZX ─────► 交易所上市</w:t>
            </w:r>
          </w:p>
        </w:tc>
      </w:tr>
    </w:tbl>
    <w:p>
      <w:pPr>
        <w:spacing w:after="80"/>
      </w:pPr>
    </w:p>
    <w:p>
      <w:pPr>
        <w:spacing w:before="0" w:after="120" w:line="250" w:lineRule="auto"/>
      </w:pPr>
      <w:r>
        <w:rPr>
          <w:rFonts w:ascii="PingFang SC" w:hAnsi="PingFang SC" w:eastAsia="PingFang SC"/>
          <w:color w:val="1F2933"/>
          <w:sz w:val="18"/>
        </w:rPr>
        <w:t>牌照层为一个注册投资顾问与少数几个信托，产品层可持续增设。一个特拉华州法定信托可下设无限多个"系列"，每个系列即一只 ETF，共用同一套注册文件框架，新增基金不需要重新注册信托。</w:t>
      </w:r>
    </w:p>
    <w:p>
      <w:pPr>
        <w:spacing w:before="0" w:after="120" w:line="250" w:lineRule="auto"/>
      </w:pPr>
      <w:r>
        <w:rPr>
          <w:rFonts w:ascii="PingFang SC" w:hAnsi="PingFang SC" w:eastAsia="PingFang SC"/>
          <w:color w:val="1F2933"/>
          <w:sz w:val="18"/>
        </w:rPr>
        <w:t>除投资顾问外，其余环节全部外包：分销由 Paralel Distributors 承担，行政管理、基金会计、过户代理与托管由美国合众银行全球基金服务承担，审计由 Tait, Weller &amp; Baker 承担。部分产品的指数由无关联第三方拥有；Founder-Led 系列的指数由 Corgi Strategies 自有并免版税授权给信托使用，构成须由董事会审查的关联交易。</w:t>
      </w:r>
    </w:p>
    <w:p>
      <w:pPr>
        <w:pStyle w:val="Heading2"/>
        <w:keepNext/>
        <w:pageBreakBefore w:val="0"/>
        <w:spacing w:before="100" w:after="60" w:line="240" w:lineRule="auto"/>
      </w:pPr>
      <w:r>
        <w:rPr>
          <w:rFonts w:ascii="PingFang SC" w:hAnsi="PingFang SC" w:eastAsia="PingFang SC"/>
          <w:b/>
          <w:color w:val="1F4E79"/>
          <w:sz w:val="20"/>
        </w:rPr>
        <w:t>治理结构</w:t>
      </w:r>
    </w:p>
    <w:p>
      <w:pPr>
        <w:spacing w:before="0" w:after="120" w:line="250" w:lineRule="auto"/>
      </w:pPr>
      <w:r>
        <w:rPr>
          <w:rFonts w:ascii="PingFang SC" w:hAnsi="PingFang SC" w:eastAsia="PingFang SC"/>
          <w:color w:val="1F2933"/>
          <w:sz w:val="18"/>
        </w:rPr>
        <w:t>ETF 治理的法定控制点为董事会与首席合规官。董事会每年审批投资顾问协议、监督估值方法、审查关联交易；首席合规官由 1940 年法强制要求，且只能由董事会任免。</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姓名</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出生年</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职位与过去五年主要职业</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Conor M. Murray</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1983</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首席独立受托人。OpenInvest 联合创始人兼 CEO（现为摩根大通旗下公司）</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Bryant C. Lee</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1984</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独立受托人。Vaero CEO 兼联合创始人；Cognition IP 联合创始人与 CEO</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Jennifer X. Benson</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1998</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独立受托人。Leonis Capital 合伙人；曾任 OpenAI 研究员、Epoch AI 研究员</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Nicolas S. Laqua</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利害关系受托人（因与投资顾问的关联）</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Emily Z. Yuan</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利害关系受托人；同时担任信托总裁兼首席执行官</w:t>
            </w:r>
          </w:p>
        </w:tc>
      </w:tr>
    </w:tbl>
    <w:p>
      <w:pPr>
        <w:spacing w:after="80"/>
      </w:pPr>
    </w:p>
    <w:p>
      <w:pPr>
        <w:spacing w:before="0" w:after="120" w:line="250" w:lineRule="auto"/>
      </w:pPr>
      <w:r>
        <w:rPr>
          <w:rFonts w:ascii="PingFang SC" w:hAnsi="PingFang SC" w:eastAsia="PingFang SC"/>
          <w:color w:val="1F2933"/>
          <w:sz w:val="18"/>
        </w:rPr>
        <w:t>三位独立受托人的职业背景均为科技创业领域，公开履历中未见传统基金治理、证券合规或资产管理监督经历。其监督对象为 197 只基金，其中 125 只为每日重置的 2 倍杠杆产品。</w:t>
      </w:r>
    </w:p>
    <w:p>
      <w:pPr>
        <w:spacing w:before="0" w:after="120" w:line="250" w:lineRule="auto"/>
      </w:pPr>
      <w:r>
        <w:rPr>
          <w:rFonts w:ascii="PingFang SC" w:hAnsi="PingFang SC" w:eastAsia="PingFang SC"/>
          <w:color w:val="1F2933"/>
          <w:sz w:val="18"/>
        </w:rPr>
        <w:t>董事会自述其成员集体带来"技术与数据系统、公司金融与资本市场、创业形成与成长投资，以及风险监督与投资管理监督"经验。</w:t>
      </w:r>
    </w:p>
    <w:p>
      <w:pPr>
        <w:spacing w:before="0" w:after="120" w:line="250" w:lineRule="auto"/>
      </w:pPr>
      <w:r>
        <w:rPr>
          <w:rFonts w:ascii="PingFang SC" w:hAnsi="PingFang SC" w:eastAsia="PingFang SC"/>
          <w:color w:val="1F2933"/>
          <w:sz w:val="18"/>
        </w:rPr>
        <w:t>首席合规官职位在信托章程中被列为必设高管，并在指数许可协议、分销协议、子顾问协议中被赋予调阅权、审查权与现场尽调权，但姓名未查到。</w:t>
      </w:r>
    </w:p>
    <w:p>
      <w:pPr>
        <w:pStyle w:val="Heading2"/>
        <w:keepNext/>
        <w:pageBreakBefore w:val="0"/>
        <w:spacing w:before="100" w:after="60" w:line="240" w:lineRule="auto"/>
      </w:pPr>
      <w:r>
        <w:rPr>
          <w:rFonts w:ascii="PingFang SC" w:hAnsi="PingFang SC" w:eastAsia="PingFang SC"/>
          <w:b/>
          <w:color w:val="1F4E79"/>
          <w:sz w:val="20"/>
        </w:rPr>
        <w:t>规模与费用结构</w:t>
      </w:r>
    </w:p>
    <w:p>
      <w:pPr>
        <w:spacing w:before="0" w:after="120" w:line="250" w:lineRule="auto"/>
      </w:pPr>
      <w:r>
        <w:rPr>
          <w:rFonts w:ascii="PingFang SC" w:hAnsi="PingFang SC" w:eastAsia="PingFang SC"/>
          <w:color w:val="1F2933"/>
          <w:sz w:val="18"/>
        </w:rPr>
        <w:t>管理规模高度集中：光刻与半导体光子学 ETF 一只即达 4.174 亿美元，占总量约 47%；其余 196 只合计约 4.63 亿美元，平均每只约 240 万美元。行业中一只 ETF 通常需要 5000 万至 1 亿美元规模方能覆盖自身固定成本。</w:t>
      </w:r>
    </w:p>
    <w:p>
      <w:pPr>
        <w:spacing w:before="0" w:after="120" w:line="250" w:lineRule="auto"/>
      </w:pPr>
      <w:r>
        <w:rPr>
          <w:rFonts w:ascii="PingFang SC" w:hAnsi="PingFang SC" w:eastAsia="PingFang SC"/>
          <w:color w:val="1F2933"/>
          <w:sz w:val="18"/>
        </w:rPr>
        <w:t>这些基金采用单一管理费结构，顾问收取一个打包费率，并须从中支付基金几乎全部费用，包括托管、行政、基金会计、过户代理、分销、审计与上市费用。按约 8.8 亿规模、平均 0.3% 费率估算，年度管理费收入约 264 万美元。</w:t>
      </w:r>
    </w:p>
    <w:p>
      <w:pPr>
        <w:spacing w:before="0" w:after="120" w:line="250" w:lineRule="auto"/>
      </w:pPr>
      <w:r>
        <w:rPr>
          <w:rFonts w:ascii="PingFang SC" w:hAnsi="PingFang SC" w:eastAsia="PingFang SC"/>
          <w:color w:val="1F2933"/>
          <w:sz w:val="18"/>
        </w:rPr>
        <w:t>费率对比：机器人与人形机器人 ETF 收 0.35%，对标产品 Global X BOTZ 收 0.68%；Magnificent 7 ETF 收 0.20%，对标 Roundhill MAGS 收 0.30%；AI 网络安全 ETF 收 0.35%，对标 First Trust CIBR 收 0.58%。</w:t>
      </w:r>
    </w:p>
    <w:p>
      <w:pPr>
        <w:spacing w:before="0" w:after="120" w:line="250" w:lineRule="auto"/>
      </w:pPr>
      <w:r>
        <w:rPr>
          <w:rFonts w:ascii="PingFang SC" w:hAnsi="PingFang SC" w:eastAsia="PingFang SC"/>
          <w:color w:val="1F2933"/>
          <w:sz w:val="18"/>
        </w:rPr>
        <w:t>彭博高级 ETF 分析师 Eric Balchunas 曾以"意面加农炮"形容大量发行产品的做法。行业媒体 etf.com 评价 Corgi 为"这一做法的终极案例"，并指出其以风险投资资金压低费率抢占市场，同时提及绝大多数 ETF 从未积累到有意义的规模。</w:t>
      </w:r>
    </w:p>
    <w:p>
      <w:pPr>
        <w:pStyle w:val="Heading1"/>
        <w:keepNext/>
        <w:pageBreakBefore w:val="0"/>
        <w:spacing w:before="160" w:after="80" w:line="240" w:lineRule="auto"/>
      </w:pPr>
      <w:r>
        <w:rPr>
          <w:rFonts w:ascii="PingFang SC" w:hAnsi="PingFang SC" w:eastAsia="PingFang SC"/>
          <w:b/>
          <w:color w:val="1F4E79"/>
          <w:sz w:val="25"/>
        </w:rPr>
        <w:t>七、财务数据与"四千万美元"的含义</w:t>
      </w:r>
    </w:p>
    <w:p>
      <w:pPr>
        <w:pStyle w:val="Heading2"/>
        <w:keepNext/>
        <w:pageBreakBefore w:val="0"/>
        <w:spacing w:before="100" w:after="60" w:line="240" w:lineRule="auto"/>
      </w:pPr>
      <w:r>
        <w:rPr>
          <w:rFonts w:ascii="PingFang SC" w:hAnsi="PingFang SC" w:eastAsia="PingFang SC"/>
          <w:b/>
          <w:color w:val="1F4E79"/>
          <w:sz w:val="20"/>
        </w:rPr>
        <w:t>公司的表述</w:t>
      </w:r>
    </w:p>
    <w:p>
      <w:pPr>
        <w:spacing w:before="0" w:after="120" w:line="250" w:lineRule="auto"/>
      </w:pPr>
      <w:r>
        <w:rPr>
          <w:rFonts w:ascii="PingFang SC" w:hAnsi="PingFang SC" w:eastAsia="PingFang SC"/>
          <w:color w:val="1F2933"/>
          <w:sz w:val="18"/>
        </w:rPr>
        <w:t>Corgi 官方新闻稿（2026 年 1 月 9 日）原文为：自 2025 年 7 月取得完整监管批准以来，年度经常性收入（ARR）超过 4000 万美元。</w:t>
      </w:r>
    </w:p>
    <w:p>
      <w:pPr>
        <w:spacing w:before="0" w:after="120" w:line="250" w:lineRule="auto"/>
      </w:pPr>
      <w:r>
        <w:rPr>
          <w:rFonts w:ascii="PingFang SC" w:hAnsi="PingFang SC" w:eastAsia="PingFang SC"/>
          <w:color w:val="1F2933"/>
          <w:sz w:val="18"/>
        </w:rPr>
        <w:t>公司始终使用"ARR"这一表述，未说明属保费还是净收入。转载该说法的路透社、Reinsurance News、Insurance Business 等媒体均原样沿用。</w:t>
      </w:r>
    </w:p>
    <w:p>
      <w:pPr>
        <w:pStyle w:val="Heading2"/>
        <w:keepNext/>
        <w:pageBreakBefore w:val="0"/>
        <w:spacing w:before="100" w:after="60" w:line="240" w:lineRule="auto"/>
      </w:pPr>
      <w:r>
        <w:rPr>
          <w:rFonts w:ascii="PingFang SC" w:hAnsi="PingFang SC" w:eastAsia="PingFang SC"/>
          <w:b/>
          <w:color w:val="1F4E79"/>
          <w:sz w:val="20"/>
        </w:rPr>
        <w:t>两个独立专业来源的判断</w:t>
      </w:r>
    </w:p>
    <w:p>
      <w:pPr>
        <w:spacing w:before="0" w:after="120" w:line="250" w:lineRule="auto"/>
      </w:pPr>
      <w:r>
        <w:rPr>
          <w:rFonts w:ascii="PingFang SC" w:hAnsi="PingFang SC" w:eastAsia="PingFang SC"/>
          <w:color w:val="1F2933"/>
          <w:sz w:val="18"/>
        </w:rPr>
        <w:t>行业媒体 The Insurer（2026 年 6 月）指出：保险科技公司惯常作为 ARR 报告的，是"已赚保费总额"，即扣除再保、准备金和获取成本之前的全部账单金额，而非该标签所暗示的经常性收入。</w:t>
      </w:r>
    </w:p>
    <w:p>
      <w:pPr>
        <w:spacing w:before="0" w:after="120" w:line="250" w:lineRule="auto"/>
      </w:pPr>
      <w:r>
        <w:rPr>
          <w:rFonts w:ascii="PingFang SC" w:hAnsi="PingFang SC" w:eastAsia="PingFang SC"/>
          <w:color w:val="1F2933"/>
          <w:sz w:val="18"/>
        </w:rPr>
        <w:t>金融科技投研 Lex Sokolin（2026 年 6 月）的表述为：四千万美元 ARR 约合每月 400 万美元，这是保费；公司不披露赔付率、综合成本率，也不披露自留与分出的比例。</w:t>
      </w:r>
    </w:p>
    <w:p>
      <w:pPr>
        <w:spacing w:before="0" w:after="120" w:line="250" w:lineRule="auto"/>
      </w:pPr>
      <w:r>
        <w:rPr>
          <w:rFonts w:ascii="PingFang SC" w:hAnsi="PingFang SC" w:eastAsia="PingFang SC"/>
          <w:color w:val="1F2933"/>
          <w:sz w:val="18"/>
        </w:rPr>
        <w:t>两个来源相互独立，专业背景分别为保险业与金融科技投研。</w:t>
      </w:r>
    </w:p>
    <w:p>
      <w:pPr>
        <w:pStyle w:val="Heading2"/>
        <w:keepNext/>
        <w:pageBreakBefore w:val="0"/>
        <w:spacing w:before="100" w:after="60" w:line="240" w:lineRule="auto"/>
      </w:pPr>
      <w:r>
        <w:rPr>
          <w:rFonts w:ascii="PingFang SC" w:hAnsi="PingFang SC" w:eastAsia="PingFang SC"/>
          <w:b/>
          <w:color w:val="1F4E79"/>
          <w:sz w:val="20"/>
        </w:rPr>
        <w:t>算术验证</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第三方研究机构 Sacra 数据：4 万余活跃客户，客均年收入约 1,000 美元</w:t>
            </w:r>
            <w:r>
              <w:br/>
            </w:r>
            <w:r>
              <w:rPr>
                <w:rFonts w:ascii="PingFang SC" w:hAnsi="PingFang SC" w:eastAsia="PingFang SC"/>
                <w:color w:val="1F2933"/>
                <w:sz w:val="14"/>
              </w:rPr>
            </w:r>
            <w:r>
              <w:br/>
            </w:r>
            <w:r>
              <w:rPr>
                <w:rFonts w:ascii="PingFang SC" w:hAnsi="PingFang SC" w:eastAsia="PingFang SC"/>
                <w:color w:val="1F2933"/>
                <w:sz w:val="14"/>
              </w:rPr>
              <w:t>验算：40,000 × $1,000 = $40,000,000   与 ARR 数字吻合</w:t>
            </w:r>
            <w:r>
              <w:br/>
            </w:r>
            <w:r>
              <w:rPr>
                <w:rFonts w:ascii="PingFang SC" w:hAnsi="PingFang SC" w:eastAsia="PingFang SC"/>
                <w:color w:val="1F2933"/>
                <w:sz w:val="14"/>
              </w:rPr>
            </w:r>
            <w:r>
              <w:br/>
            </w:r>
            <w:r>
              <w:rPr>
                <w:rFonts w:ascii="PingFang SC" w:hAnsi="PingFang SC" w:eastAsia="PingFang SC"/>
                <w:color w:val="1F2933"/>
                <w:sz w:val="14"/>
              </w:rPr>
              <w:t>这 1,000 美元的性质：</w:t>
            </w:r>
            <w:r>
              <w:br/>
            </w:r>
            <w:r>
              <w:rPr>
                <w:rFonts w:ascii="PingFang SC" w:hAnsi="PingFang SC" w:eastAsia="PingFang SC"/>
                <w:color w:val="1F2933"/>
                <w:sz w:val="14"/>
              </w:rPr>
              <w:t xml:space="preserve">  若为保费   种子期创业公司年付千元级保费，与实际投保规模相符</w:t>
            </w:r>
            <w:r>
              <w:br/>
            </w:r>
            <w:r>
              <w:rPr>
                <w:rFonts w:ascii="PingFang SC" w:hAnsi="PingFang SC" w:eastAsia="PingFang SC"/>
                <w:color w:val="1F2933"/>
                <w:sz w:val="14"/>
              </w:rPr>
              <w:t xml:space="preserve">  若为佣金   按 15–20% 佣金率倒推，单客户保费需达 5,000–7,000 美元，</w:t>
            </w:r>
            <w:r>
              <w:br/>
            </w:r>
            <w:r>
              <w:rPr>
                <w:rFonts w:ascii="PingFang SC" w:hAnsi="PingFang SC" w:eastAsia="PingFang SC"/>
                <w:color w:val="1F2933"/>
                <w:sz w:val="14"/>
              </w:rPr>
              <w:t xml:space="preserve">             高于种子期公司的实际投保规模</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保费与收入的区别</w:t>
      </w:r>
    </w:p>
    <w:p>
      <w:pPr>
        <w:spacing w:before="0" w:after="120" w:line="250" w:lineRule="auto"/>
      </w:pPr>
      <w:r>
        <w:rPr>
          <w:rFonts w:ascii="PingFang SC" w:hAnsi="PingFang SC" w:eastAsia="PingFang SC"/>
          <w:color w:val="1F2933"/>
          <w:sz w:val="18"/>
        </w:rPr>
        <w:t>保险公司收到的保费，其中相当部分需用于赔付，并非公司的收入。一份保单收 100 元保费，其中可能有 60 至 90 元最终以赔款形式付出。</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 xml:space="preserve">   软件公司的 4000 万美元收入        保险公司的 4000 万美元保费</w:t>
            </w:r>
            <w:r>
              <w:br/>
            </w:r>
            <w:r>
              <w:rPr>
                <w:rFonts w:ascii="PingFang SC" w:hAnsi="PingFang SC" w:eastAsia="PingFang SC"/>
                <w:color w:val="1F2933"/>
                <w:sz w:val="14"/>
              </w:rPr>
              <w:t xml:space="preserve">   │                               │</w:t>
            </w:r>
            <w:r>
              <w:br/>
            </w:r>
            <w:r>
              <w:rPr>
                <w:rFonts w:ascii="PingFang SC" w:hAnsi="PingFang SC" w:eastAsia="PingFang SC"/>
                <w:color w:val="1F2933"/>
                <w:sz w:val="14"/>
              </w:rPr>
              <w:t xml:space="preserve">   └─► 基本都是自己的                ├─► 赔款（60–90%，Corgi 未披露）</w:t>
            </w:r>
            <w:r>
              <w:br/>
            </w:r>
            <w:r>
              <w:rPr>
                <w:rFonts w:ascii="PingFang SC" w:hAnsi="PingFang SC" w:eastAsia="PingFang SC"/>
                <w:color w:val="1F2933"/>
                <w:sz w:val="14"/>
              </w:rPr>
              <w:t xml:space="preserve">       毛利率 70–90%                 ├─► 准备金</w:t>
            </w:r>
            <w:r>
              <w:br/>
            </w:r>
            <w:r>
              <w:rPr>
                <w:rFonts w:ascii="PingFang SC" w:hAnsi="PingFang SC" w:eastAsia="PingFang SC"/>
                <w:color w:val="1F2933"/>
                <w:sz w:val="14"/>
              </w:rPr>
              <w:t xml:space="preserve">                                     ├─► 获取成本</w:t>
            </w:r>
            <w:r>
              <w:br/>
            </w:r>
            <w:r>
              <w:rPr>
                <w:rFonts w:ascii="PingFang SC" w:hAnsi="PingFang SC" w:eastAsia="PingFang SC"/>
                <w:color w:val="1F2933"/>
                <w:sz w:val="14"/>
              </w:rPr>
              <w:t xml:space="preserve">                                     └─► 剩余部分方为公司所得</w:t>
            </w:r>
          </w:p>
        </w:tc>
      </w:tr>
    </w:tbl>
    <w:p>
      <w:pPr>
        <w:spacing w:after="80"/>
      </w:pP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说法</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数字</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说明</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"26 亿估值 / 4000 万收入 = 65 倍市销率"</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65×</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该算法适用于软件公司，不适用于保险公司</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"26 亿估值 / 4000 万保费"</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65× 保费</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与实际口径相符</w:t>
            </w:r>
          </w:p>
        </w:tc>
      </w:tr>
    </w:tbl>
    <w:p>
      <w:pPr>
        <w:spacing w:after="80"/>
      </w:pPr>
    </w:p>
    <w:p>
      <w:pPr>
        <w:spacing w:before="0" w:after="120" w:line="250" w:lineRule="auto"/>
      </w:pPr>
      <w:r>
        <w:rPr>
          <w:rFonts w:ascii="PingFang SC" w:hAnsi="PingFang SC" w:eastAsia="PingFang SC"/>
          <w:color w:val="1F2933"/>
          <w:sz w:val="18"/>
        </w:rPr>
        <w:t>建议的对外措辞：Corgi 自称 ARR 超过 4000 万美元；保险行业专业媒体判断该数字实为保费口径，公司从未澄清。并须补充：Corgi 从未披露赔付率、综合成本率、准备金及自留分出比例。</w:t>
      </w:r>
    </w:p>
    <w:p>
      <w:pPr>
        <w:pStyle w:val="Heading2"/>
        <w:keepNext/>
        <w:pageBreakBefore w:val="0"/>
        <w:spacing w:before="100" w:after="60" w:line="240" w:lineRule="auto"/>
      </w:pPr>
      <w:r>
        <w:rPr>
          <w:rFonts w:ascii="PingFang SC" w:hAnsi="PingFang SC" w:eastAsia="PingFang SC"/>
          <w:b/>
          <w:color w:val="1F4E79"/>
          <w:sz w:val="20"/>
        </w:rPr>
        <w:t>其他财务数据</w:t>
      </w:r>
    </w:p>
    <w:p>
      <w:pPr>
        <w:spacing w:before="0" w:after="120" w:line="250" w:lineRule="auto"/>
      </w:pPr>
      <w:r>
        <w:rPr>
          <w:rFonts w:ascii="PingFang SC" w:hAnsi="PingFang SC" w:eastAsia="PingFang SC"/>
          <w:color w:val="1F2933"/>
          <w:sz w:val="18"/>
        </w:rPr>
        <w:t>以下均为公司自述，无审计：2026 年 5 月曾称"annualized revenue"约 1 亿美元，与 1 月的四千万口径存在差异；2026 年 7 月有消息源称年底 run rate 目标 4.5 亿美元，属预测；客户流失率低于 1%；创始人称"上月已盈利"，公司称 2026 年 EBITDA 转正。</w:t>
      </w:r>
    </w:p>
    <w:p>
      <w:pPr>
        <w:pStyle w:val="Heading1"/>
        <w:keepNext/>
        <w:pageBreakBefore w:val="0"/>
        <w:spacing w:before="160" w:after="80" w:line="240" w:lineRule="auto"/>
      </w:pPr>
      <w:r>
        <w:rPr>
          <w:rFonts w:ascii="PingFang SC" w:hAnsi="PingFang SC" w:eastAsia="PingFang SC"/>
          <w:b/>
          <w:color w:val="1F4E79"/>
          <w:sz w:val="25"/>
        </w:rPr>
        <w:t>八、融资历史</w:t>
      </w:r>
    </w:p>
    <w:tbl>
      <w:tblPr>
        <w:tblW w:type="auto" w:w="0"/>
        <w:jc w:val="left"/>
        <w:tblLayout w:type="fixed"/>
        <w:tblLook w:firstColumn="1" w:firstRow="1" w:lastColumn="0" w:lastRow="0" w:noHBand="0" w:noVBand="1" w:val="04A0"/>
      </w:tblPr>
      <w:tblGrid>
        <w:gridCol w:w="2091"/>
        <w:gridCol w:w="2091"/>
        <w:gridCol w:w="2091"/>
        <w:gridCol w:w="2091"/>
        <w:gridCol w:w="2091"/>
      </w:tblGrid>
      <w:tr>
        <w:tc>
          <w:tcPr>
            <w:tcW w:type="dxa" w:w="1512"/>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4"/>
              </w:rPr>
              <w:t>时间</w:t>
            </w:r>
          </w:p>
        </w:tc>
        <w:tc>
          <w:tcPr>
            <w:tcW w:type="dxa" w:w="180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4"/>
              </w:rPr>
              <w:t>轮次</w:t>
            </w:r>
          </w:p>
        </w:tc>
        <w:tc>
          <w:tcPr>
            <w:tcW w:type="dxa" w:w="2232"/>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4"/>
              </w:rPr>
              <w:t>金额</w:t>
            </w:r>
          </w:p>
        </w:tc>
        <w:tc>
          <w:tcPr>
            <w:tcW w:type="dxa" w:w="230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4"/>
              </w:rPr>
              <w:t>估值</w:t>
            </w:r>
          </w:p>
        </w:tc>
        <w:tc>
          <w:tcPr>
            <w:tcW w:type="dxa" w:w="244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4"/>
              </w:rPr>
              <w:t>领投</w:t>
            </w:r>
          </w:p>
        </w:tc>
      </w:tr>
      <w:tr>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2026-01-09</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Series A（含种子）</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1.08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约 6.3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PitchBook 估值</w:t>
            </w:r>
          </w:p>
        </w:tc>
      </w:tr>
      <w:tr>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2026-05-06</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Series B</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1.60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13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TCV</w:t>
            </w:r>
          </w:p>
        </w:tc>
      </w:tr>
      <w:tr>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2026-05-28</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Series B1</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1.06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26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TCV</w:t>
            </w:r>
          </w:p>
        </w:tc>
      </w:tr>
      <w:tr>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2026-07-22</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B2 延伸轮</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未披露</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约 40 亿美元</w:t>
            </w:r>
          </w:p>
        </w:tc>
        <w:tc>
          <w:tcPr>
            <w:tcW w:type="dxa" w:w="2091"/>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4"/>
              </w:rPr>
              <w:t>未披露，公司未官宣</w:t>
            </w:r>
          </w:p>
        </w:tc>
      </w:tr>
    </w:tbl>
    <w:p>
      <w:pPr>
        <w:spacing w:after="80"/>
      </w:pPr>
    </w:p>
    <w:p>
      <w:pPr>
        <w:spacing w:before="0" w:after="120" w:line="250" w:lineRule="auto"/>
      </w:pPr>
      <w:r>
        <w:rPr>
          <w:rFonts w:ascii="PingFang SC" w:hAnsi="PingFang SC" w:eastAsia="PingFang SC"/>
          <w:color w:val="1F2933"/>
          <w:sz w:val="18"/>
        </w:rPr>
        <w:t>累计融资：已公告三轮算术和为 1.08 + 1.60 + 1.06 = 3.74 亿美元；The Insurer 报道为 3.78 亿美元，差额 400 万美元原因未找到说明。建议对外采用 3.74 亿美元，该数字可自行验算。</w:t>
      </w:r>
    </w:p>
    <w:p>
      <w:pPr>
        <w:spacing w:before="0" w:after="120" w:line="250" w:lineRule="auto"/>
      </w:pPr>
      <w:r>
        <w:rPr>
          <w:rFonts w:ascii="PingFang SC" w:hAnsi="PingFang SC" w:eastAsia="PingFang SC"/>
          <w:color w:val="1F2933"/>
          <w:sz w:val="18"/>
        </w:rPr>
        <w:t>主要投资方：Series A 参与方包括 Y Combinator、Kindred Ventures、Contrary、Glade Brook Capital、Leblon Capital、SV Angel 等。Series B 与 B1 均由 TCV 领投，跟投方包括 Oliver Jung、Leblon Capital、Kindred Ventures、Zone 2 Ventures、Nordstar、OurCrowd 等。B1 轮仅向现有投资人开放。</w:t>
      </w:r>
    </w:p>
    <w:p>
      <w:pPr>
        <w:spacing w:before="0" w:after="120" w:line="250" w:lineRule="auto"/>
      </w:pPr>
      <w:r>
        <w:rPr>
          <w:rFonts w:ascii="PingFang SC" w:hAnsi="PingFang SC" w:eastAsia="PingFang SC"/>
          <w:color w:val="1F2933"/>
          <w:sz w:val="18"/>
        </w:rPr>
        <w:t>另据 Business Insider 报道（2026 年 8 月），马云与虞锋创立的云锋基金投资约 3000 万美元，估值 40 亿美元，为云锋首笔已知的美国风险投资交易。该消息为单一来源经转述，未经 Corgi 官宣。</w:t>
      </w:r>
    </w:p>
    <w:p>
      <w:pPr>
        <w:spacing w:before="0" w:after="120" w:line="250" w:lineRule="auto"/>
      </w:pPr>
      <w:r>
        <w:rPr>
          <w:rFonts w:ascii="PingFang SC" w:hAnsi="PingFang SC" w:eastAsia="PingFang SC"/>
          <w:color w:val="1F2933"/>
          <w:sz w:val="18"/>
        </w:rPr>
        <w:t>估值批评：金融科技投研 Lex Sokolin 的论点为，保险公司收取的保费大部分需用于赔付，按净收入口径通常只值三倍倍数；Corgi 在约 4000 万美元保费上取得 26 亿估值，相当于约 65 倍保费。他并指出，近 57% 股权已由优先股投资人持有，退出估值低于 5 亿美元对这些投资人即构成失败；三周内由同一批投资人将估值翻倍，是"同一双手把同一资产从一个口袋换到另一个口袋，每次写上更大的数字"。TechCrunch 与该分析均指出，Series B 与 B1 的投资人名单基本相同。</w:t>
      </w:r>
    </w:p>
    <w:p>
      <w:pPr>
        <w:pStyle w:val="Heading1"/>
        <w:keepNext/>
        <w:pageBreakBefore w:val="0"/>
        <w:spacing w:before="160" w:after="80" w:line="240" w:lineRule="auto"/>
      </w:pPr>
      <w:r>
        <w:rPr>
          <w:rFonts w:ascii="PingFang SC" w:hAnsi="PingFang SC" w:eastAsia="PingFang SC"/>
          <w:b/>
          <w:color w:val="1F4E79"/>
          <w:sz w:val="25"/>
        </w:rPr>
        <w:t>九、争议与法律事项</w:t>
      </w:r>
    </w:p>
    <w:p>
      <w:pPr>
        <w:spacing w:before="0" w:after="120" w:line="250" w:lineRule="auto"/>
      </w:pPr>
      <w:r>
        <w:rPr>
          <w:rFonts w:ascii="PingFang SC" w:hAnsi="PingFang SC" w:eastAsia="PingFang SC"/>
          <w:color w:val="1F2933"/>
          <w:sz w:val="18"/>
        </w:rPr>
        <w:t>Corgi 目前同时在四条战线诉讼。</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事项</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概要</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起诉 Vouch（商业秘密）</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 年 4 月立案于特拉华联邦法院。指控竞争对手法务高管设立空壳公司、冒充投保人走完全套核保流程后退保，窃取定价架构与核保逻辑。Vouch 已提出驳回与强制仲裁动议，称涉案材料"发给每一位客户、无保密标记"，并反指 Corgi 联合创始人于 2024 年先探了 Vouch 的报价流程。尚无实体裁决。</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起诉前员工（Matcha）</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起诉三名离职员工创立竞品，指控窃取专有技术与"监管 playbook"。最初在阿拉巴马起诉被驳回后转至特拉华。另就维基百科条目删除单独起诉，该案于 1.6 亿美元 B 轮交割当日提起。对方否认并指其为"欺凌战术"与择地起诉。</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Beagle 诉 AppFolio（反垄断）</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2025 年 12 月立案于加州北区联邦法院。关联公司 Beagle 指控物管软件商在其抢占保险产品市场后切断平台访问，主张违反《谢尔曼法》。</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风险自留组结构合规质疑</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有行业分析指出，联邦法要求风险自留组成员为"面临相似风险的同质群体"，而将 AI 初创、硬件公司、营销自动化公司等风险特征不同的企业纳入同一风险自留组可能与这一要求存在张力。相关背景：NAIC 数据显示风险自留组失败率接近准入保险公司的两倍；222 家有正保费的风险自留组中仅 44 家拥有 AM Best 评级。</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Dataroom 抄袭争议</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2026 年 6 月发布文档共享产品后，被 Papermark 指控逐字复制功能措辞、违反开源许可。Corgi 否认使用其代码，但承认过度依赖"vibe coding"，并向对方发出停止侵害函。</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企业文化争议</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创始人公开要求七天工作制、长期睡在办公室；有前员工在评价平台反映发薪延迟。</w:t>
            </w:r>
          </w:p>
        </w:tc>
      </w:tr>
    </w:tbl>
    <w:p>
      <w:pPr>
        <w:spacing w:after="80"/>
      </w:pPr>
    </w:p>
    <w:p>
      <w:pPr>
        <w:pStyle w:val="Heading1"/>
        <w:keepNext/>
        <w:pageBreakBefore w:val="0"/>
        <w:spacing w:before="160" w:after="80" w:line="240" w:lineRule="auto"/>
      </w:pPr>
      <w:r>
        <w:rPr>
          <w:rFonts w:ascii="PingFang SC" w:hAnsi="PingFang SC" w:eastAsia="PingFang SC"/>
          <w:b/>
          <w:color w:val="1F4E79"/>
          <w:sz w:val="25"/>
        </w:rPr>
        <w:t>十、结构性风险</w:t>
      </w:r>
    </w:p>
    <w:p>
      <w:pPr>
        <w:pStyle w:val="Heading2"/>
        <w:keepNext/>
        <w:pageBreakBefore w:val="0"/>
        <w:spacing w:before="100" w:after="60" w:line="240" w:lineRule="auto"/>
      </w:pPr>
      <w:r>
        <w:rPr>
          <w:rFonts w:ascii="PingFang SC" w:hAnsi="PingFang SC" w:eastAsia="PingFang SC"/>
          <w:b/>
          <w:color w:val="1F4E79"/>
          <w:sz w:val="20"/>
        </w:rPr>
        <w:t>承保方资质要求的敏感性</w:t>
      </w:r>
    </w:p>
    <w:p>
      <w:pPr>
        <w:spacing w:before="0" w:after="120" w:line="250" w:lineRule="auto"/>
      </w:pPr>
      <w:r>
        <w:rPr>
          <w:rFonts w:ascii="PingFang SC" w:hAnsi="PingFang SC" w:eastAsia="PingFang SC"/>
          <w:color w:val="1F2933"/>
          <w:sz w:val="18"/>
        </w:rPr>
        <w:t>若采购方在合规清单中加入"承保方需具备 AM Best A- 或以上评级"一条，Corgi 现有的承保载体将不符合要求。AM Best 是保险业主要的财务实力评级机构，A- 是常见的合同门槛线，大型企业与银行的标准合同模板中经常包含该条款。Corgi 的保单由风险自留组出具，无评级，且不受州保障基金保护。</w:t>
      </w:r>
    </w:p>
    <w:p>
      <w:pPr>
        <w:spacing w:before="0" w:after="120" w:line="250" w:lineRule="auto"/>
      </w:pPr>
      <w:r>
        <w:rPr>
          <w:rFonts w:ascii="PingFang SC" w:hAnsi="PingFang SC" w:eastAsia="PingFang SC"/>
          <w:color w:val="1F2933"/>
          <w:sz w:val="18"/>
        </w:rPr>
        <w:t>目前其客户以早期创业公司为主，对手方多为同类企业或小型房东。随着客户规模扩大，对手方的合规标准存在提高的可能。</w:t>
      </w:r>
    </w:p>
    <w:p>
      <w:pPr>
        <w:pStyle w:val="Heading2"/>
        <w:keepNext/>
        <w:pageBreakBefore w:val="0"/>
        <w:spacing w:before="100" w:after="60" w:line="240" w:lineRule="auto"/>
      </w:pPr>
      <w:r>
        <w:rPr>
          <w:rFonts w:ascii="PingFang SC" w:hAnsi="PingFang SC" w:eastAsia="PingFang SC"/>
          <w:b/>
          <w:color w:val="1F4E79"/>
          <w:sz w:val="20"/>
        </w:rPr>
        <w:t>风险清单</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风险</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机理</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何时可观察</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定价准确性</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责任险赔案滞后 2 至 5 年，公司无历史损失数据可依</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2027–2029</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资金池承受力</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单笔巨额赔案发生时无保障基金兜底，损失由成员承担</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任何时点</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风险转移的实际状况</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自我再保结构；是否存在外部转分保未知</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大额赔案发生时</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同质性合规</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成员风险异质性与联邦法要求之间的张力</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监管审查时</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资本消耗</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增长带来准备金需求上升，同时补贴其他业务线</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持续</w:t>
            </w:r>
          </w:p>
        </w:tc>
      </w:tr>
    </w:tbl>
    <w:p>
      <w:pPr>
        <w:spacing w:after="80"/>
      </w:pPr>
    </w:p>
    <w:p>
      <w:pPr>
        <w:spacing w:before="0" w:after="120" w:line="250" w:lineRule="auto"/>
      </w:pPr>
      <w:r>
        <w:rPr>
          <w:rFonts w:ascii="PingFang SC" w:hAnsi="PingFang SC" w:eastAsia="PingFang SC"/>
          <w:color w:val="1F2933"/>
          <w:sz w:val="18"/>
        </w:rPr>
        <w:t>另有两项非承保风险：估值方面，约 65 倍保费的倍数意味着增长放缓或出现大额赔案时存在重估压力；治理方面，ETF 板块独立受托人的公开履历与所监督资产的复杂度之间存在落差。</w:t>
      </w:r>
    </w:p>
    <w:p>
      <w:pPr>
        <w:pStyle w:val="Heading1"/>
        <w:keepNext/>
        <w:pageBreakBefore w:val="0"/>
        <w:spacing w:before="160" w:after="80" w:line="240" w:lineRule="auto"/>
      </w:pPr>
      <w:r>
        <w:rPr>
          <w:rFonts w:ascii="PingFang SC" w:hAnsi="PingFang SC" w:eastAsia="PingFang SC"/>
          <w:b/>
          <w:color w:val="1F4E79"/>
          <w:sz w:val="25"/>
        </w:rPr>
        <w:t>附录一　创始人详细履历</w:t>
      </w:r>
    </w:p>
    <w:p>
      <w:pPr>
        <w:pStyle w:val="Heading2"/>
        <w:keepNext/>
        <w:pageBreakBefore w:val="0"/>
        <w:spacing w:before="100" w:after="60" w:line="240" w:lineRule="auto"/>
      </w:pPr>
      <w:r>
        <w:rPr>
          <w:rFonts w:ascii="PingFang SC" w:hAnsi="PingFang SC" w:eastAsia="PingFang SC"/>
          <w:b/>
          <w:color w:val="1F4E79"/>
          <w:sz w:val="20"/>
        </w:rPr>
        <w:t>Nicolas "Nico" Laqua</w:t>
      </w:r>
    </w:p>
    <w:p>
      <w:pPr>
        <w:spacing w:before="0" w:after="120" w:line="250" w:lineRule="auto"/>
      </w:pPr>
      <w:r>
        <w:rPr>
          <w:rFonts w:ascii="PingFang SC" w:hAnsi="PingFang SC" w:eastAsia="PingFang SC"/>
          <w:color w:val="1F2933"/>
          <w:sz w:val="18"/>
        </w:rPr>
        <w:t>加州圣地亚哥长大。哥伦比亚大学以 STEM 奖学金入读，神经科学方向。据 Forbes 一手采访，其为"一位语言学教授和一位保险公司律师之子"。另有聚合站称其父职业生涯为某保险集团律师，未获一手来源佐证，引用时应省略公司名。</w:t>
      </w:r>
    </w:p>
    <w:p>
      <w:pPr>
        <w:spacing w:before="0" w:after="120" w:line="250" w:lineRule="auto"/>
      </w:pPr>
      <w:r>
        <w:rPr>
          <w:rFonts w:ascii="PingFang SC" w:hAnsi="PingFang SC" w:eastAsia="PingFang SC"/>
          <w:color w:val="1F2933"/>
          <w:sz w:val="18"/>
        </w:rPr>
        <w:t>年龄推算：</w:t>
      </w:r>
    </w:p>
    <w:tbl>
      <w:tblPr>
        <w:tblW w:type="auto" w:w="0"/>
        <w:jc w:val="left"/>
        <w:tblLayout w:type="fixed"/>
        <w:tblLook w:firstColumn="1" w:firstRow="1" w:lastColumn="0" w:lastRow="0" w:noHBand="0" w:noVBand="1" w:val="04A0"/>
      </w:tblPr>
      <w:tblGrid>
        <w:gridCol w:w="10454"/>
      </w:tblGrid>
      <w:tr>
        <w:tc>
          <w:tcPr>
            <w:tcW w:type="dxa" w:w="10296"/>
            <w:shd w:fill="FAFBFC"/>
            <w:tcBorders>
              <w:top w:val="single" w:sz="4" w:space="0" w:color="D0D7DE"/>
              <w:left w:val="single" w:sz="4" w:space="0" w:color="D0D7DE"/>
              <w:bottom w:val="single" w:sz="4" w:space="0" w:color="D0D7DE"/>
              <w:right w:val="single" w:sz="4" w:space="0" w:color="D0D7DE"/>
            </w:tcBorders>
            <w:tcMar>
              <w:top w:w="75" w:type="dxa"/>
              <w:start w:w="120" w:type="dxa"/>
              <w:bottom w:w="75" w:type="dxa"/>
              <w:end w:w="120" w:type="dxa"/>
            </w:tcMar>
          </w:tcPr>
          <w:p>
            <w:pPr>
              <w:spacing w:before="0" w:after="0" w:line="252" w:lineRule="auto"/>
            </w:pPr>
            <w:r>
              <w:rPr>
                <w:rFonts w:ascii="PingFang SC" w:hAnsi="PingFang SC" w:eastAsia="PingFang SC"/>
                <w:color w:val="1F2933"/>
                <w:sz w:val="14"/>
              </w:rPr>
              <w:t>锚点 A：2023-06-23 报道时 23 岁  → 生于 1999-06-24 至 2000-06-23</w:t>
            </w:r>
            <w:r>
              <w:br/>
            </w:r>
            <w:r>
              <w:rPr>
                <w:rFonts w:ascii="PingFang SC" w:hAnsi="PingFang SC" w:eastAsia="PingFang SC"/>
                <w:color w:val="1F2933"/>
                <w:sz w:val="14"/>
              </w:rPr>
              <w:t>锚点 B：2026-05-06 报道时 26 岁  → 生于 1999-05-07 至 2000-05-06</w:t>
            </w:r>
            <w:r>
              <w:br/>
            </w:r>
            <w:r>
              <w:rPr>
                <w:rFonts w:ascii="PingFang SC" w:hAnsi="PingFang SC" w:eastAsia="PingFang SC"/>
                <w:color w:val="1F2933"/>
                <w:sz w:val="14"/>
              </w:rPr>
              <w:t>交集                             → 生于 1999-06-24 至 2000-05-06</w:t>
            </w:r>
          </w:p>
        </w:tc>
      </w:tr>
    </w:tbl>
    <w:p>
      <w:pPr>
        <w:spacing w:after="80"/>
      </w:pPr>
    </w:p>
    <w:p>
      <w:pPr>
        <w:spacing w:before="0" w:after="120" w:line="250" w:lineRule="auto"/>
      </w:pPr>
      <w:r>
        <w:rPr>
          <w:rFonts w:ascii="PingFang SC" w:hAnsi="PingFang SC" w:eastAsia="PingFang SC"/>
          <w:color w:val="1F2933"/>
          <w:sz w:val="18"/>
        </w:rPr>
        <w:t>两个独立来源交叉验证一致。</w:t>
      </w:r>
    </w:p>
    <w:p>
      <w:pPr>
        <w:spacing w:before="0" w:after="120" w:line="250" w:lineRule="auto"/>
      </w:pPr>
      <w:r>
        <w:rPr>
          <w:rFonts w:ascii="PingFang SC" w:hAnsi="PingFang SC" w:eastAsia="PingFang SC"/>
          <w:color w:val="1F2933"/>
          <w:sz w:val="18"/>
        </w:rPr>
        <w:t>创业动机的三条叙事线索（均为本人自述）：其一，父亲是保险律师，从小目睹行业低效，"一指禅打字"是其反复使用的桥段；其二，ChatGPT-3.5 出现后判断"保险是最大的以文字为基础的行业"；其三，经营 Basket 时投保体验不佳。</w:t>
      </w:r>
    </w:p>
    <w:p>
      <w:pPr>
        <w:spacing w:before="0" w:after="120" w:line="250" w:lineRule="auto"/>
      </w:pPr>
      <w:r>
        <w:rPr>
          <w:rFonts w:ascii="PingFang SC" w:hAnsi="PingFang SC" w:eastAsia="PingFang SC"/>
          <w:color w:val="1F2933"/>
          <w:sz w:val="18"/>
        </w:rPr>
        <w:t>公开表述：在 20VC 播客上称"如果你的休息日固定是周六周日，你在 Corgi 就没有位置"，自称已保持七天工作七年；多数夜晚睡在办公室，每晚睡三至四小时；称每月 Anthropic 账单约 40 万美元；曾表示支撑 26 亿美元估值的公司"大概"还算不上正当。</w:t>
      </w:r>
    </w:p>
    <w:p>
      <w:pPr>
        <w:pStyle w:val="Heading2"/>
        <w:keepNext/>
        <w:pageBreakBefore w:val="0"/>
        <w:spacing w:before="100" w:after="60" w:line="240" w:lineRule="auto"/>
      </w:pPr>
      <w:r>
        <w:rPr>
          <w:rFonts w:ascii="PingFang SC" w:hAnsi="PingFang SC" w:eastAsia="PingFang SC"/>
          <w:b/>
          <w:color w:val="1F4E79"/>
          <w:sz w:val="20"/>
        </w:rPr>
        <w:t>Emily Z. Yuan</w:t>
      </w:r>
    </w:p>
    <w:p>
      <w:pPr>
        <w:spacing w:before="0" w:after="120" w:line="250" w:lineRule="auto"/>
      </w:pPr>
      <w:r>
        <w:rPr>
          <w:rFonts w:ascii="PingFang SC" w:hAnsi="PingFang SC" w:eastAsia="PingFang SC"/>
          <w:color w:val="1F2933"/>
          <w:sz w:val="18"/>
        </w:rPr>
        <w:t>年龄推算：2023 年 6 月 23 日报道时 21 岁，推算生于 2001 年 6 月至 2002 年 6 月之间。仅一个年龄锚点，无第二来源交叉验证。</w:t>
      </w:r>
    </w:p>
    <w:p>
      <w:pPr>
        <w:spacing w:before="0" w:after="120" w:line="250" w:lineRule="auto"/>
      </w:pPr>
      <w:r>
        <w:rPr>
          <w:rFonts w:ascii="PingFang SC" w:hAnsi="PingFang SC" w:eastAsia="PingFang SC"/>
          <w:color w:val="1F2933"/>
          <w:sz w:val="18"/>
        </w:rPr>
        <w:t>早期履历：高中期间创办学生饮食失调意识组织（SEDAA）与国际非营利机构 Paper Bridges，后者通过书信、关爱包裹与教育课程支持孤儿及弱势儿童，2023 年报道时已有逾 100 个分会。2019 年 12 月出版《Beyond a Bake Sale》（ISBN 9781641373784），主题为学生社会创业。担任斯坦福大学最大本科商科社团学生商业协会主席。</w:t>
      </w:r>
    </w:p>
    <w:p>
      <w:pPr>
        <w:spacing w:before="0" w:after="120" w:line="250" w:lineRule="auto"/>
      </w:pPr>
      <w:r>
        <w:rPr>
          <w:rFonts w:ascii="PingFang SC" w:hAnsi="PingFang SC" w:eastAsia="PingFang SC"/>
          <w:color w:val="1F2933"/>
          <w:sz w:val="18"/>
        </w:rPr>
        <w:t>退学年份存在冲突：本人自述"19 岁暑期加入 Picnic，20 岁、大三读了三分之一时退学"（指向 2021 年），而 Forbes 官方档案称 2020 年。两者无法同时成立，建议表述为"大三期间退学"，回避年份。专业亦有冲突：其 2019 年著作作者简介写明攻读管理科学与工程，2023 年报道则称计算机科学，建议不写专业。</w:t>
      </w:r>
    </w:p>
    <w:p>
      <w:pPr>
        <w:spacing w:before="0" w:after="120" w:line="250" w:lineRule="auto"/>
      </w:pPr>
      <w:r>
        <w:rPr>
          <w:rFonts w:ascii="PingFang SC" w:hAnsi="PingFang SC" w:eastAsia="PingFang SC"/>
          <w:color w:val="1F2933"/>
          <w:sz w:val="18"/>
        </w:rPr>
        <w:t>关于其担任 ETF 信托首席执行官：ETF 信托无员工，高管由投资顾问方人员兼任是行业常态，且 1940 年《投资公司法》对基金高管无资格要求，此职位属行政安排而非投资职位。但签署 1933 年法项下的注册说明书意味着依《证券法》第 11 条承担个人民事责任，若存在重大不实陈述或遗漏，签署人可被直接起诉。</w:t>
      </w:r>
    </w:p>
    <w:p>
      <w:pPr>
        <w:pStyle w:val="Heading2"/>
        <w:keepNext/>
        <w:pageBreakBefore w:val="0"/>
        <w:spacing w:before="100" w:after="60" w:line="240" w:lineRule="auto"/>
      </w:pPr>
      <w:r>
        <w:rPr>
          <w:rFonts w:ascii="PingFang SC" w:hAnsi="PingFang SC" w:eastAsia="PingFang SC"/>
          <w:b/>
          <w:color w:val="1F4E79"/>
          <w:sz w:val="20"/>
        </w:rPr>
        <w:t>三条应排除的流传说法</w:t>
      </w:r>
    </w:p>
    <w:p>
      <w:pPr>
        <w:pStyle w:val="ListNumber"/>
        <w:spacing w:before="0" w:after="80" w:line="269" w:lineRule="auto"/>
      </w:pPr>
      <w:r>
        <w:rPr>
          <w:rFonts w:ascii="PingFang SC" w:hAnsi="PingFang SC" w:eastAsia="PingFang SC"/>
          <w:color w:val="1F2933"/>
          <w:sz w:val="20"/>
        </w:rPr>
        <w:t>"Nico Laqua 曾任 Green Mountain Aquaculture 创始工程师，与诺贝尔奖得主 Hamilton Smith 共事"。该表述以逐字相同的形式出现在同一段播客嘉宾简介中并被多平台转载，属同一份自供简历的多次复制，不构成多来源。该公司无任何工商登记、官网或独立报道。</w:t>
      </w:r>
    </w:p>
    <w:p>
      <w:pPr>
        <w:pStyle w:val="ListNumber"/>
        <w:spacing w:before="0" w:after="80" w:line="269" w:lineRule="auto"/>
      </w:pPr>
      <w:r>
        <w:rPr>
          <w:rFonts w:ascii="PingFang SC" w:hAnsi="PingFang SC" w:eastAsia="PingFang SC"/>
          <w:color w:val="1F2933"/>
          <w:sz w:val="20"/>
        </w:rPr>
        <w:t>"Emily Yuan 是前 OpenAI 产品经理"。仅见于一个疑似 AI 生成的页面，与其自述的完整时间线不符。</w:t>
      </w:r>
    </w:p>
    <w:p>
      <w:pPr>
        <w:pStyle w:val="ListNumber"/>
        <w:spacing w:before="0" w:after="80" w:line="269" w:lineRule="auto"/>
      </w:pPr>
      <w:r>
        <w:rPr>
          <w:rFonts w:ascii="PingFang SC" w:hAnsi="PingFang SC" w:eastAsia="PingFang SC"/>
          <w:color w:val="1F2933"/>
          <w:sz w:val="20"/>
        </w:rPr>
        <w:t>"Picnic 累计融资 1 亿美元"（Tracxn 数据）。几乎确定是同名的另一家公司。本报告对象的 Picnic 初始资金为 200 万美元。</w:t>
      </w:r>
    </w:p>
    <w:p>
      <w:pPr>
        <w:pStyle w:val="Heading1"/>
        <w:keepNext/>
        <w:pageBreakBefore w:val="0"/>
        <w:spacing w:before="160" w:after="80" w:line="240" w:lineRule="auto"/>
      </w:pPr>
      <w:r>
        <w:rPr>
          <w:rFonts w:ascii="PingFang SC" w:hAnsi="PingFang SC" w:eastAsia="PingFang SC"/>
          <w:b/>
          <w:color w:val="1F4E79"/>
          <w:sz w:val="25"/>
        </w:rPr>
        <w:t>附录二　Corgi Reinsurance 公司章程要点</w:t>
      </w:r>
    </w:p>
    <w:p>
      <w:pPr>
        <w:spacing w:before="0" w:after="120" w:line="250" w:lineRule="auto"/>
      </w:pPr>
      <w:r>
        <w:rPr>
          <w:rFonts w:ascii="PingFang SC" w:hAnsi="PingFang SC" w:eastAsia="PingFang SC"/>
          <w:color w:val="1F2933"/>
          <w:sz w:val="18"/>
        </w:rPr>
        <w:t>一手来源：亚利桑那州工商登记，实体 ID 23892247，2025 年 10 月 2 日签署、10 月 6 日备案。</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条款</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内容</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第 2 条　目的</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依《亚利桑那修订法典》第 20 编第 14 章组织为自保保险人；仅在第 20-1098.11 与 20-1098.01 条允许范围内经营再保险业务；可承接来自关联保险人以及前置保险人的分入业务；可分出再保险。</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第 4 条　授权资本</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有权发行普通股一万股，每股面值一美元。此为票面数字，非实缴资本。</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第 7 条　法定代理人</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Dane Management, LLC，凤凰城 4539 N 22nd St., Suite #5341（与 TRRG 同址）。</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第 9 条　董事会</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3 至 15 人，初始 4 人：Emily Z. Yuan、Nicolas S. Laqua（均登记地址为旧金山 473 Pine St）、Larry J. Cohen（凤凰城）、Seth Heber Beddes（南盐湖城）。至少一名须为亚利桑那州居民，每年至少在该州开会一次。</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披露证书</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重罪与破产相关四项问询全部答"否"，由 Emily Yuan 以发起人身份签署。</w:t>
            </w:r>
          </w:p>
        </w:tc>
      </w:tr>
    </w:tbl>
    <w:p>
      <w:pPr>
        <w:spacing w:after="80"/>
      </w:pPr>
    </w:p>
    <w:p>
      <w:pPr>
        <w:spacing w:before="0" w:after="120" w:line="250" w:lineRule="auto"/>
      </w:pPr>
      <w:r>
        <w:rPr>
          <w:rFonts w:ascii="PingFang SC" w:hAnsi="PingFang SC" w:eastAsia="PingFang SC"/>
          <w:color w:val="1F2933"/>
          <w:sz w:val="18"/>
        </w:rPr>
        <w:t>其他登记信息：实体类型为 Domestic Insurer（本州保险人），状态 Active，存续期永久。Seth Heber Beddes 同时代表 Dane Management, LLC 签署了法定代理人接受书（2025-09-29）。</w:t>
      </w:r>
    </w:p>
    <w:p>
      <w:pPr>
        <w:pStyle w:val="Heading1"/>
        <w:keepNext/>
        <w:pageBreakBefore w:val="0"/>
        <w:spacing w:before="160" w:after="80" w:line="240" w:lineRule="auto"/>
      </w:pPr>
      <w:r>
        <w:rPr>
          <w:rFonts w:ascii="PingFang SC" w:hAnsi="PingFang SC" w:eastAsia="PingFang SC"/>
          <w:b/>
          <w:color w:val="1F4E79"/>
          <w:sz w:val="25"/>
        </w:rPr>
        <w:t>附录三　Corgi Law LLC</w:t>
      </w:r>
    </w:p>
    <w:p>
      <w:pPr>
        <w:spacing w:before="0" w:after="120" w:line="250" w:lineRule="auto"/>
      </w:pPr>
      <w:r>
        <w:rPr>
          <w:rFonts w:ascii="PingFang SC" w:hAnsi="PingFang SC" w:eastAsia="PingFang SC"/>
          <w:color w:val="1F2933"/>
          <w:sz w:val="18"/>
        </w:rPr>
        <w:t>在亚利桑那州工商登记中存在名为 Corgi Law LLC 的实体，唯一董事与成员为 Emily Yuan。</w:t>
      </w:r>
    </w:p>
    <w:p>
      <w:pPr>
        <w:spacing w:before="0" w:after="120" w:line="250" w:lineRule="auto"/>
      </w:pPr>
      <w:r>
        <w:rPr>
          <w:rFonts w:ascii="PingFang SC" w:hAnsi="PingFang SC" w:eastAsia="PingFang SC"/>
          <w:color w:val="1F2933"/>
          <w:sz w:val="18"/>
        </w:rPr>
        <w:t>需要区分的两个步骤：在亚利桑那州工商登记注册一家名称含"Law"的公司，与取得该州最高法院的替代性商业结构（ABS）律所牌照，是两件事。前者名称不受限制，几无实质审查；后者由最高法院 ABS 委员会审批，须披露持股超 10% 或有决策权的人、接受信用与犯罪记录审查、任命亚利桑那州执业律师担任合规律师、强制内审、每两年重新申请，最高可处 100 万美元民事罚款。</w:t>
      </w:r>
    </w:p>
    <w:p>
      <w:pPr>
        <w:spacing w:before="0" w:after="120" w:line="250" w:lineRule="auto"/>
      </w:pPr>
      <w:r>
        <w:rPr>
          <w:rFonts w:ascii="PingFang SC" w:hAnsi="PingFang SC" w:eastAsia="PingFang SC"/>
          <w:color w:val="1F2933"/>
          <w:sz w:val="18"/>
        </w:rPr>
        <w:t>目前仅能确认工商注册这一步，是否持有 ABS 牌照未查到记录。在确认之前，不宜将该实体称为"Corgi 的律所"。</w:t>
      </w:r>
    </w:p>
    <w:p>
      <w:pPr>
        <w:spacing w:before="0" w:after="120" w:line="250" w:lineRule="auto"/>
      </w:pPr>
      <w:r>
        <w:rPr>
          <w:rFonts w:ascii="PingFang SC" w:hAnsi="PingFang SC" w:eastAsia="PingFang SC"/>
          <w:color w:val="1F2933"/>
          <w:sz w:val="18"/>
        </w:rPr>
        <w:t>制度背景：美国绝大多数司法辖区适用《美国律师协会职业行为示范规则》第 5.4 条，禁止律师与非律师分享律师费、禁止非律师持有律所所有权。亚利桑那州自 2021 年起完全废除该规则，成为全美唯一完全允许非律师拥有律所的辖区。华盛顿特区有限制更多的修改版，犹他州为沙盒试点。已知的重量级持牌者包括毕马威旗下的 KPMG Law US, LLC，为美国首家四大会计师事务所旗下律所。</w:t>
      </w:r>
    </w:p>
    <w:p>
      <w:pPr>
        <w:spacing w:before="0" w:after="120" w:line="250" w:lineRule="auto"/>
      </w:pPr>
      <w:r>
        <w:rPr>
          <w:rFonts w:ascii="PingFang SC" w:hAnsi="PingFang SC" w:eastAsia="PingFang SC"/>
          <w:color w:val="1F2933"/>
          <w:sz w:val="18"/>
        </w:rPr>
        <w:t>与风险自留组的一处差别：ABS 资格不具备跨州效力。德克萨斯州伦理委员会已出具意见，认为律师不得加入允许非律师持股的律所，即便该律所所在州允许；加利福尼亚州已通过 AB 931，限制加州律师与州外 ABS 关联律师之间的费用分成。风险自留组有 1986 年联邦法的优先效力支撑，可以跨州；ABS 无联邦法背书。</w:t>
      </w:r>
    </w:p>
    <w:p>
      <w:pPr>
        <w:pStyle w:val="Heading1"/>
        <w:keepNext/>
        <w:pageBreakBefore w:val="0"/>
        <w:spacing w:before="160" w:after="80" w:line="240" w:lineRule="auto"/>
      </w:pPr>
      <w:r>
        <w:rPr>
          <w:rFonts w:ascii="PingFang SC" w:hAnsi="PingFang SC" w:eastAsia="PingFang SC"/>
          <w:b/>
          <w:color w:val="1F4E79"/>
          <w:sz w:val="25"/>
        </w:rPr>
        <w:t>附录四　其他业务</w:t>
      </w:r>
    </w:p>
    <w:p>
      <w:pPr>
        <w:spacing w:before="0" w:after="120" w:line="250" w:lineRule="auto"/>
      </w:pPr>
      <w:r>
        <w:rPr>
          <w:rFonts w:ascii="PingFang SC" w:hAnsi="PingFang SC" w:eastAsia="PingFang SC"/>
          <w:color w:val="1F2933"/>
          <w:sz w:val="18"/>
        </w:rPr>
        <w:t>Corgi Cafe：旗舰店 2026 年 2 月开在旧金山金融区总部所在的 9 Claude Lane，YC 校友八折；第二家 2026 年 7 月开在亚特兰大 Atlanta Tech Village，为首个加州外门店。Gazetteer（2026 年 4 月）报道其亏损运营且未带来主业转化，公司高管则于 6 月表示旧金山店已盈利，两者存在冲突。相关岗位年薪 14 至 22 万美元，公司目标为"六个月内开 100 家"。</w:t>
      </w:r>
    </w:p>
    <w:p>
      <w:pPr>
        <w:spacing w:before="0" w:after="120" w:line="250" w:lineRule="auto"/>
      </w:pPr>
      <w:r>
        <w:rPr>
          <w:rFonts w:ascii="PingFang SC" w:hAnsi="PingFang SC" w:eastAsia="PingFang SC"/>
          <w:color w:val="1F2933"/>
          <w:sz w:val="18"/>
        </w:rPr>
        <w:t>其他：2026 年 4 月在旧金山推出围绕 YC 的免费社区巴士；2026 年 3 月 30 日收购域名 corgi.com，金额未披露；公司吉祥物为柯基犬 Trudy，Forbes 称其为价值 16,000 美元的犬只，办公室设有提醒员工喂食遛狗的机器人。</w:t>
      </w:r>
    </w:p>
    <w:p>
      <w:pPr>
        <w:pStyle w:val="Heading1"/>
        <w:keepNext/>
        <w:pageBreakBefore w:val="0"/>
        <w:spacing w:before="160" w:after="80" w:line="240" w:lineRule="auto"/>
      </w:pPr>
      <w:r>
        <w:rPr>
          <w:rFonts w:ascii="PingFang SC" w:hAnsi="PingFang SC" w:eastAsia="PingFang SC"/>
          <w:b/>
          <w:color w:val="1F4E79"/>
          <w:sz w:val="25"/>
        </w:rPr>
        <w:t>附录五　证据缺口</w:t>
      </w:r>
    </w:p>
    <w:p>
      <w:pPr>
        <w:spacing w:before="0" w:after="120" w:line="250" w:lineRule="auto"/>
      </w:pPr>
      <w:r>
        <w:rPr>
          <w:rFonts w:ascii="PingFang SC" w:hAnsi="PingFang SC" w:eastAsia="PingFang SC"/>
          <w:color w:val="1F2933"/>
          <w:sz w:val="18"/>
        </w:rPr>
        <w:t>以下问题在本报告完成时未找到公开来源，按重要性排列：</w:t>
      </w:r>
    </w:p>
    <w:p>
      <w:pPr>
        <w:pStyle w:val="ListNumber"/>
        <w:spacing w:before="0" w:after="80" w:line="269" w:lineRule="auto"/>
      </w:pPr>
      <w:r>
        <w:rPr>
          <w:rFonts w:ascii="PingFang SC" w:hAnsi="PingFang SC" w:eastAsia="PingFang SC"/>
          <w:color w:val="1F2933"/>
          <w:sz w:val="20"/>
        </w:rPr>
        <w:t>Corgi Reinsurance 是否实际向外部第三方转分保，这决定风险是否离开集团</w:t>
      </w:r>
    </w:p>
    <w:p>
      <w:pPr>
        <w:pStyle w:val="ListNumber"/>
        <w:spacing w:before="0" w:after="80" w:line="269" w:lineRule="auto"/>
      </w:pPr>
      <w:r>
        <w:rPr>
          <w:rFonts w:ascii="PingFang SC" w:hAnsi="PingFang SC" w:eastAsia="PingFang SC"/>
          <w:color w:val="1F2933"/>
          <w:sz w:val="20"/>
        </w:rPr>
        <w:t>招聘启事提到的"准入保险公司"是哪一家</w:t>
      </w:r>
    </w:p>
    <w:p>
      <w:pPr>
        <w:pStyle w:val="ListNumber"/>
        <w:spacing w:before="0" w:after="80" w:line="269" w:lineRule="auto"/>
      </w:pPr>
      <w:r>
        <w:rPr>
          <w:rFonts w:ascii="PingFang SC" w:hAnsi="PingFang SC" w:eastAsia="PingFang SC"/>
          <w:color w:val="1F2933"/>
          <w:sz w:val="20"/>
        </w:rPr>
        <w:t>TRRG 与 Corgi Reinsurance 的实缴资本、盈余、分保比例与合约类型</w:t>
      </w:r>
    </w:p>
    <w:p>
      <w:pPr>
        <w:pStyle w:val="ListNumber"/>
        <w:spacing w:before="0" w:after="80" w:line="269" w:lineRule="auto"/>
      </w:pPr>
      <w:r>
        <w:rPr>
          <w:rFonts w:ascii="PingFang SC" w:hAnsi="PingFang SC" w:eastAsia="PingFang SC"/>
          <w:color w:val="1F2933"/>
          <w:sz w:val="20"/>
        </w:rPr>
        <w:t>赔付率、综合成本率、准备金，任何时点、任何口径</w:t>
      </w:r>
    </w:p>
    <w:p>
      <w:pPr>
        <w:pStyle w:val="ListNumber"/>
        <w:spacing w:before="0" w:after="80" w:line="269" w:lineRule="auto"/>
      </w:pPr>
      <w:r>
        <w:rPr>
          <w:rFonts w:ascii="PingFang SC" w:hAnsi="PingFang SC" w:eastAsia="PingFang SC"/>
          <w:color w:val="1F2933"/>
          <w:sz w:val="20"/>
        </w:rPr>
        <w:t>四万家客户如何实际持股；购买保单时是否被显著告知其成为所有者</w:t>
      </w:r>
    </w:p>
    <w:p>
      <w:pPr>
        <w:pStyle w:val="ListNumber"/>
        <w:spacing w:before="0" w:after="80" w:line="269" w:lineRule="auto"/>
      </w:pPr>
      <w:r>
        <w:rPr>
          <w:rFonts w:ascii="PingFang SC" w:hAnsi="PingFang SC" w:eastAsia="PingFang SC"/>
          <w:color w:val="1F2933"/>
          <w:sz w:val="20"/>
        </w:rPr>
        <w:t>ETF 信托首席合规官的姓名与履历</w:t>
      </w:r>
    </w:p>
    <w:p>
      <w:pPr>
        <w:pStyle w:val="ListNumber"/>
        <w:spacing w:before="0" w:after="80" w:line="269" w:lineRule="auto"/>
      </w:pPr>
      <w:r>
        <w:rPr>
          <w:rFonts w:ascii="PingFang SC" w:hAnsi="PingFang SC" w:eastAsia="PingFang SC"/>
          <w:color w:val="1F2933"/>
          <w:sz w:val="20"/>
        </w:rPr>
        <w:t>占产品线 63% 的 125 只杠杆 ETF 所走的监管路径（Rule 6c-11 不覆盖杠杆与反向 ETF）</w:t>
      </w:r>
    </w:p>
    <w:p>
      <w:pPr>
        <w:pStyle w:val="ListNumber"/>
        <w:spacing w:before="0" w:after="80" w:line="269" w:lineRule="auto"/>
      </w:pPr>
      <w:r>
        <w:rPr>
          <w:rFonts w:ascii="PingFang SC" w:hAnsi="PingFang SC" w:eastAsia="PingFang SC"/>
          <w:color w:val="1F2933"/>
          <w:sz w:val="20"/>
        </w:rPr>
        <w:t>Corgi Law LLC 是否持有 ABS 牌照，及其章程经营目的条款内容</w:t>
      </w:r>
    </w:p>
    <w:p>
      <w:pPr>
        <w:pStyle w:val="ListNumber"/>
        <w:spacing w:before="0" w:after="80" w:line="269" w:lineRule="auto"/>
      </w:pPr>
      <w:r>
        <w:rPr>
          <w:rFonts w:ascii="PingFang SC" w:hAnsi="PingFang SC" w:eastAsia="PingFang SC"/>
          <w:color w:val="1F2933"/>
          <w:sz w:val="20"/>
        </w:rPr>
        <w:t>约 3500 万美元收购持牌保险公司的独立核实</w:t>
      </w:r>
    </w:p>
    <w:p>
      <w:pPr>
        <w:pStyle w:val="ListNumber"/>
        <w:spacing w:before="0" w:after="80" w:line="269" w:lineRule="auto"/>
      </w:pPr>
      <w:r>
        <w:rPr>
          <w:rFonts w:ascii="PingFang SC" w:hAnsi="PingFang SC" w:eastAsia="PingFang SC"/>
          <w:color w:val="1F2933"/>
          <w:sz w:val="20"/>
        </w:rPr>
        <w:t>累计融资 3.74 亿与 3.78 亿之间 400 万美元差额的构成</w:t>
      </w:r>
    </w:p>
    <w:p>
      <w:pPr>
        <w:pStyle w:val="ListNumber"/>
        <w:spacing w:before="0" w:after="80" w:line="269" w:lineRule="auto"/>
      </w:pPr>
      <w:r>
        <w:rPr>
          <w:rFonts w:ascii="PingFang SC" w:hAnsi="PingFang SC" w:eastAsia="PingFang SC"/>
          <w:color w:val="1F2933"/>
          <w:sz w:val="20"/>
        </w:rPr>
        <w:t>Corgi ETF Trust II 的子顾问是谁、覆盖哪些基金</w:t>
      </w:r>
    </w:p>
    <w:p>
      <w:pPr>
        <w:pStyle w:val="ListNumber"/>
        <w:spacing w:before="0" w:after="80" w:line="269" w:lineRule="auto"/>
      </w:pPr>
      <w:r>
        <w:rPr>
          <w:rFonts w:ascii="PingFang SC" w:hAnsi="PingFang SC" w:eastAsia="PingFang SC"/>
          <w:color w:val="1F2933"/>
          <w:sz w:val="20"/>
        </w:rPr>
        <w:t>Basket 两起 Cannata 诉讼的结果</w:t>
      </w:r>
    </w:p>
    <w:p>
      <w:pPr>
        <w:pStyle w:val="Heading1"/>
        <w:keepNext/>
        <w:pageBreakBefore w:val="0"/>
        <w:spacing w:before="160" w:after="80" w:line="240" w:lineRule="auto"/>
      </w:pPr>
      <w:r>
        <w:rPr>
          <w:rFonts w:ascii="PingFang SC" w:hAnsi="PingFang SC" w:eastAsia="PingFang SC"/>
          <w:b/>
          <w:color w:val="1F4E79"/>
          <w:sz w:val="25"/>
        </w:rPr>
        <w:t>附录六　资料可靠性说明</w:t>
      </w:r>
    </w:p>
    <w:p>
      <w:pPr>
        <w:spacing w:before="0" w:after="120" w:line="250" w:lineRule="auto"/>
      </w:pPr>
      <w:r>
        <w:rPr>
          <w:rFonts w:ascii="PingFang SC" w:hAnsi="PingFang SC" w:eastAsia="PingFang SC"/>
          <w:color w:val="1F2933"/>
          <w:sz w:val="18"/>
        </w:rPr>
        <w:t>本报告正文未使用符号化的分级标注，改以文字直接说明来源性质。判断每条信息证据强度的原则如下：</w:t>
      </w:r>
    </w:p>
    <w:p>
      <w:pPr>
        <w:pStyle w:val="ListBullet"/>
        <w:spacing w:before="0" w:after="80" w:line="269" w:lineRule="auto"/>
      </w:pPr>
      <w:r>
        <w:rPr>
          <w:rFonts w:ascii="PingFang SC" w:hAnsi="PingFang SC" w:eastAsia="PingFang SC"/>
          <w:color w:val="1F2933"/>
          <w:sz w:val="20"/>
        </w:rPr>
        <w:t>凡表述为"公司自称""据其披露""公司表述"者，均为 Corgi 或其投资方提供、未经审计或第三方独立验证的信息。ARR 四千万美元、四万家客户、覆盖 49 个州、客户流失率低于 1%、已实现盈利，全部属于此类。</w:t>
      </w:r>
    </w:p>
    <w:p>
      <w:pPr>
        <w:pStyle w:val="ListBullet"/>
        <w:spacing w:before="0" w:after="80" w:line="269" w:lineRule="auto"/>
      </w:pPr>
      <w:r>
        <w:rPr>
          <w:rFonts w:ascii="PingFang SC" w:hAnsi="PingFang SC" w:eastAsia="PingFang SC"/>
          <w:color w:val="1F2933"/>
          <w:sz w:val="20"/>
        </w:rPr>
        <w:t>凡引用监管备案、法院文件、工商登记、出版记录者，为一手证据。本报告的法律实体结构、ETF 牌照结构、董事会构成、诉讼案情均属此类。</w:t>
      </w:r>
    </w:p>
    <w:p>
      <w:pPr>
        <w:pStyle w:val="ListBullet"/>
        <w:spacing w:before="0" w:after="80" w:line="269" w:lineRule="auto"/>
      </w:pPr>
      <w:r>
        <w:rPr>
          <w:rFonts w:ascii="PingFang SC" w:hAnsi="PingFang SC" w:eastAsia="PingFang SC"/>
          <w:color w:val="1F2933"/>
          <w:sz w:val="20"/>
        </w:rPr>
        <w:t>凡表述为"未找到公开来源"者，为明确的证据缺口，不以行业惯例或常识填补。</w:t>
      </w:r>
    </w:p>
    <w:p>
      <w:pPr>
        <w:pStyle w:val="ListBullet"/>
        <w:spacing w:before="0" w:after="80" w:line="269" w:lineRule="auto"/>
      </w:pPr>
      <w:r>
        <w:rPr>
          <w:rFonts w:ascii="PingFang SC" w:hAnsi="PingFang SC" w:eastAsia="PingFang SC"/>
          <w:color w:val="1F2933"/>
          <w:sz w:val="20"/>
        </w:rPr>
        <w:t>多个网站转载同一段自供简介不构成多来源。本报告对此类情形一律按单一来源处理，并在附录一中列出三条据此排除的流传说法。</w:t>
      </w:r>
    </w:p>
    <w:p>
      <w:pPr>
        <w:pStyle w:val="Heading2"/>
        <w:keepNext/>
        <w:pageBreakBefore w:val="0"/>
        <w:spacing w:before="100" w:after="60" w:line="240" w:lineRule="auto"/>
      </w:pPr>
      <w:r>
        <w:rPr>
          <w:rFonts w:ascii="PingFang SC" w:hAnsi="PingFang SC" w:eastAsia="PingFang SC"/>
          <w:b/>
          <w:color w:val="1F4E79"/>
          <w:sz w:val="20"/>
        </w:rPr>
        <w:t>信息冲突汇总</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项目</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冲突内容</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建议处理</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Emily Yuan 退学年份</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本人自述指向 2021 年，Forbes 称 2020 年</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表述为"大三期间退学"，回避年份</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Emily Yuan 斯坦福专业</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管理科学与工程（2019 年著作简介）／计算机科学（2023 年报道）</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不写专业</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Basket 月活</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1.5 亿（Forbes 官方）／2 亿以上（其他来源）</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取保守值，注明系公司自称</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ARR 口径与数额</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4000 万（2026 年 1 月）／约 1 亿"annualized revenue"（5 月）</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均标注为公司自述</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累计融资</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3.74 亿（算术和）／3.78 亿（The Insurer）</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取 3.74 亿，可验算</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咖啡店盈亏</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4 月报道称亏损／6 月高管称已盈利</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并列呈现</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公司自身身份</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官网称 carrier／监管记录显示承保方为风险自留组</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以监管记录为准</w:t>
            </w:r>
          </w:p>
        </w:tc>
      </w:tr>
    </w:tbl>
    <w:p>
      <w:pPr>
        <w:spacing w:after="80"/>
      </w:pPr>
    </w:p>
    <w:p>
      <w:pPr>
        <w:pStyle w:val="Heading1"/>
        <w:keepNext/>
        <w:pageBreakBefore w:val="0"/>
        <w:spacing w:before="160" w:after="80" w:line="240" w:lineRule="auto"/>
      </w:pPr>
      <w:r>
        <w:rPr>
          <w:rFonts w:ascii="PingFang SC" w:hAnsi="PingFang SC" w:eastAsia="PingFang SC"/>
          <w:b/>
          <w:color w:val="1F4E79"/>
          <w:sz w:val="25"/>
        </w:rPr>
        <w:t>附录七　查证路径</w:t>
      </w:r>
    </w:p>
    <w:p>
      <w:pPr>
        <w:pStyle w:val="Heading2"/>
        <w:keepNext/>
        <w:pageBreakBefore w:val="0"/>
        <w:spacing w:before="100" w:after="60" w:line="240" w:lineRule="auto"/>
      </w:pPr>
      <w:r>
        <w:rPr>
          <w:rFonts w:ascii="PingFang SC" w:hAnsi="PingFang SC" w:eastAsia="PingFang SC"/>
          <w:b/>
          <w:color w:val="1F4E79"/>
          <w:sz w:val="20"/>
        </w:rPr>
        <w:t>证券与资管</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用途</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网址</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查什么</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SEC 全部报送文件</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sec.gov/edgar</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ETF Trust I，CIK 2078265</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投资顾问牌照</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adviserinfo.sec.gov</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搜 Corgi Strategies，含纪律处分记录</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券商牌照</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brokercheck.finra.org</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搜 Paralel Distributors</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特拉华实体</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icis.corp.delaware.gov</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Strategies、Corgi ETF Trust</w:t>
            </w:r>
          </w:p>
        </w:tc>
      </w:tr>
    </w:tbl>
    <w:p>
      <w:pPr>
        <w:spacing w:after="80"/>
      </w:pPr>
    </w:p>
    <w:p>
      <w:pPr>
        <w:spacing w:before="0" w:after="120" w:line="250" w:lineRule="auto"/>
      </w:pPr>
      <w:r>
        <w:rPr>
          <w:rFonts w:ascii="PingFang SC" w:hAnsi="PingFang SC" w:eastAsia="PingFang SC"/>
          <w:color w:val="1F2933"/>
          <w:sz w:val="18"/>
        </w:rPr>
        <w:t>在 EDGAR 中查看 CORRESP（公司致 SEC）与 UPLOAD（SEC 意见函）两类文件，可了解监管机构关注的问题。</w:t>
      </w:r>
    </w:p>
    <w:p>
      <w:pPr>
        <w:pStyle w:val="Heading2"/>
        <w:keepNext/>
        <w:pageBreakBefore w:val="0"/>
        <w:spacing w:before="100" w:after="60" w:line="240" w:lineRule="auto"/>
      </w:pPr>
      <w:r>
        <w:rPr>
          <w:rFonts w:ascii="PingFang SC" w:hAnsi="PingFang SC" w:eastAsia="PingFang SC"/>
          <w:b/>
          <w:color w:val="1F4E79"/>
          <w:sz w:val="20"/>
        </w:rPr>
        <w:t>保险</w:t>
      </w:r>
    </w:p>
    <w:tbl>
      <w:tblPr>
        <w:tblW w:type="auto" w:w="0"/>
        <w:jc w:val="left"/>
        <w:tblLayout w:type="fixed"/>
        <w:tblLook w:firstColumn="1" w:firstRow="1" w:lastColumn="0" w:lastRow="0" w:noHBand="0" w:noVBand="1" w:val="04A0"/>
      </w:tblPr>
      <w:tblGrid>
        <w:gridCol w:w="3485"/>
        <w:gridCol w:w="3485"/>
        <w:gridCol w:w="3485"/>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用途</w:t>
            </w:r>
          </w:p>
        </w:tc>
        <w:tc>
          <w:tcPr>
            <w:tcW w:type="dxa" w:w="43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网址</w:t>
            </w:r>
          </w:p>
        </w:tc>
        <w:tc>
          <w:tcPr>
            <w:tcW w:type="dxa" w:w="4031"/>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查什么</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亚利桑那工商登记</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ecorp.azcc.gov</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章程全文可免费下载 PDF</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亚利桑那保险厅</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difi.az.gov</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TRRG 与 Corgi Reinsurance 的资本与偿付能力</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NAIC</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content.naic.org/cis；sbs.naic.org</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保险公司基本信息、财务概况、投诉记录</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代理人牌照</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nipr.com</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Corgi Insurance Services 各州生产商牌照</w:t>
            </w:r>
          </w:p>
        </w:tc>
      </w:tr>
      <w:tr>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保险公司评级</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web.ambest.com</w:t>
            </w:r>
          </w:p>
        </w:tc>
        <w:tc>
          <w:tcPr>
            <w:tcW w:type="dxa" w:w="3485"/>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查 TRRG 会返回无评级</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律所与司法</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用途</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网址</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亚利桑那 ABS 持牌名录</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azcourts.gov，搜 Alternative Business Structures</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亚利桑那律协 ABS 说明</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azbar.org，practice-2-0 栏目</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联邦法院案件（免费）</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courtlistener.com；dockets.justia.com</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联邦法院案件（官方）</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pacer.uscourts.gov</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三条检索经验</w:t>
      </w:r>
    </w:p>
    <w:p>
      <w:pPr>
        <w:spacing w:before="0" w:after="120" w:line="250" w:lineRule="auto"/>
      </w:pPr>
      <w:r>
        <w:rPr>
          <w:rFonts w:ascii="PingFang SC" w:hAnsi="PingFang SC" w:eastAsia="PingFang SC"/>
          <w:color w:val="1F2933"/>
          <w:sz w:val="18"/>
        </w:rPr>
        <w:t>第一，查法定实体全名，不查品牌名。 检索"Corgi Re"会被大量无关结果淹没，且媒体报道从不点名，只写"Corgi 自己体系内的一家自保公司"。须使用完整法定名称 Corgi Reinsurance, Inc.。</w:t>
      </w:r>
    </w:p>
    <w:p>
      <w:pPr>
        <w:spacing w:before="0" w:after="120" w:line="250" w:lineRule="auto"/>
      </w:pPr>
      <w:r>
        <w:rPr>
          <w:rFonts w:ascii="PingFang SC" w:hAnsi="PingFang SC" w:eastAsia="PingFang SC"/>
          <w:color w:val="1F2933"/>
          <w:sz w:val="18"/>
        </w:rPr>
        <w:t>第二，直接进入官方数据库。 州工商登记、SEC EDGAR、DIFI 这类数据库的搜索引擎索引质量较差。</w:t>
      </w:r>
    </w:p>
    <w:p>
      <w:pPr>
        <w:spacing w:before="0" w:after="120" w:line="250" w:lineRule="auto"/>
      </w:pPr>
      <w:r>
        <w:rPr>
          <w:rFonts w:ascii="PingFang SC" w:hAnsi="PingFang SC" w:eastAsia="PingFang SC"/>
          <w:color w:val="1F2933"/>
          <w:sz w:val="18"/>
        </w:rPr>
        <w:t>第三，顺着服务商与地址反查。 Dane Management, LLC 同时是 TRRG 与 Corgi Reinsurance 的法定代理人，在工商登记中检索该代理人名称，可找出其管理的全部实体。检索地址 4539 N 22nd St., Suite #5341 效果相同。</w:t>
      </w:r>
    </w:p>
    <w:p>
      <w:pPr>
        <w:pStyle w:val="Heading1"/>
        <w:keepNext/>
        <w:pageBreakBefore w:val="0"/>
        <w:spacing w:before="160" w:after="80" w:line="240" w:lineRule="auto"/>
      </w:pPr>
      <w:r>
        <w:rPr>
          <w:rFonts w:ascii="PingFang SC" w:hAnsi="PingFang SC" w:eastAsia="PingFang SC"/>
          <w:b/>
          <w:color w:val="1F4E79"/>
          <w:sz w:val="25"/>
        </w:rPr>
        <w:t>附录八　术语表</w:t>
      </w:r>
    </w:p>
    <w:p>
      <w:pPr>
        <w:pStyle w:val="Heading2"/>
        <w:keepNext/>
        <w:pageBreakBefore w:val="0"/>
        <w:spacing w:before="100" w:after="60" w:line="240" w:lineRule="auto"/>
      </w:pPr>
      <w:r>
        <w:rPr>
          <w:rFonts w:ascii="PingFang SC" w:hAnsi="PingFang SC" w:eastAsia="PingFang SC"/>
          <w:b/>
          <w:color w:val="1F4E79"/>
          <w:sz w:val="20"/>
        </w:rPr>
        <w:t>保险</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术语</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含义</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COI</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Certificate of Insurance，保险凭证。证明保单存在的一页纸，不是保单本身</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赔付率（Loss Ratio）</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赔付支出 ÷ 保费。反映定价准确性</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费用率（Expense Ratio）</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运营成本 ÷ 保费。反映运营效率</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综合成本率</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赔付率与费用率之和。超过 100% 即承保亏损</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GWP</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Gross Written Premium，已赚保费总额。扣除再保、准备金、获取成本前的全部账单金额</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长尾（long tail）</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赔案在保单期结束后很久才浮现，责任险常见 2 至 5 年</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Occurrence</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事故发生制。事故发生在保单期内即赔，责任尾部极长</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Claims-made</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索赔提出制。索赔提出在保单期内才赔，责任尾部较短</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抗辩义务</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保险公司须出资聘请律师替被保险人应诉，即便最终无需赔付</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RRG</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Risk Retention Group，风险自留组。投保人即所有者，一州持牌全美展业，不受保障基金保护</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LRRA</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Liability Risk Retention Act，15 U.S.C. §3901。风险自留组的联邦法律依据</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Captive（自保公司）</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企业自行设立、主要承保本集团风险的保险实体</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Fronting</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前置承保。持牌保司出具保单，风险实质由他方承担</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Retrocession（转分保）</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再保险人将风险再度分出</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州保障基金</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保险公司破产时替其赔付保单持有人的兜底机制。风险自留组不在保护范围</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AM Best</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保险业主要的财务实力评级机构。A- 是常见合同门槛</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Admitted / Non-admitted</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是否在该州完整持牌、费率是否须报批、是否受保障基金保护</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资管</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术语</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含义</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RIA</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Registered Investment Adviser，SEC 注册投资顾问</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Form ADV</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投资顾问注册表格。登记制，无资本金要求</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系列信托（Series Trust）</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一个信托下设无限多个"系列"，每个系列即一只基金</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Rule 6c-11</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2019 年 ETF 规则。取消普通 ETF 的逐案豁免要求，不覆盖杠杆与反向 ETF</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Rule 485(a)</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注册说明书修订的自动生效机制，提交后 75 天自动生效</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Rule 38a-1</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强制要求基金设首席合规官，且只能由董事会任免</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单一管理费（unitary fee）</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顾问收取一个打包费率，并从中支付基金几乎全部费用</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利害关系人（interested person）</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1940 年法术语，指与投资顾问有关联、无法独立行使监督职能的人</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自指数化（self-indexing）</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顾问同时拥有基金所追踪的指数</w:t>
            </w:r>
          </w:p>
        </w:tc>
      </w:tr>
    </w:tbl>
    <w:p>
      <w:pPr>
        <w:spacing w:after="80"/>
      </w:pPr>
    </w:p>
    <w:p>
      <w:pPr>
        <w:pStyle w:val="Heading2"/>
        <w:keepNext/>
        <w:pageBreakBefore w:val="0"/>
        <w:spacing w:before="100" w:after="60" w:line="240" w:lineRule="auto"/>
      </w:pPr>
      <w:r>
        <w:rPr>
          <w:rFonts w:ascii="PingFang SC" w:hAnsi="PingFang SC" w:eastAsia="PingFang SC"/>
          <w:b/>
          <w:color w:val="1F4E79"/>
          <w:sz w:val="20"/>
        </w:rPr>
        <w:t>法律</w:t>
      </w:r>
    </w:p>
    <w:tbl>
      <w:tblPr>
        <w:tblW w:type="auto" w:w="0"/>
        <w:jc w:val="left"/>
        <w:tblLayout w:type="fixed"/>
        <w:tblLook w:firstColumn="1" w:firstRow="1" w:lastColumn="0" w:lastRow="0" w:noHBand="0" w:noVBand="1" w:val="04A0"/>
      </w:tblPr>
      <w:tblGrid>
        <w:gridCol w:w="5227"/>
        <w:gridCol w:w="5227"/>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术语</w:t>
            </w:r>
          </w:p>
        </w:tc>
        <w:tc>
          <w:tcPr>
            <w:tcW w:type="dxa" w:w="792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PingFang SC" w:hAnsi="PingFang SC" w:eastAsia="PingFang SC"/>
                <w:b/>
                <w:color w:val="1F2933"/>
                <w:sz w:val="15"/>
              </w:rPr>
              <w:t>含义</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ABS</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Alternative Business Structure。亚利桑那州自 2021 年起允许非律师拥有律所的制度</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ABA Model Rule 5.4</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禁止律师与非律师分享律师费、禁止非律师持有律所所有权，美国绝大多数州适用</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DTSA</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Defend Trade Secrets Act，联邦商业秘密保护法</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联邦法优先（preemption）</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联邦法效力高于州法。风险自留组免于逐州持牌的法律基础</w:t>
            </w:r>
          </w:p>
        </w:tc>
      </w:tr>
      <w:tr>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《证券法》第 11 条</w:t>
            </w:r>
          </w:p>
        </w:tc>
        <w:tc>
          <w:tcPr>
            <w:tcW w:type="dxa" w:w="5227"/>
            <w:tcBorders>
              <w:top w:val="single" w:sz="4" w:space="0" w:color="D0D7DE"/>
              <w:left w:val="single" w:sz="4" w:space="0" w:color="D0D7DE"/>
              <w:bottom w:val="single" w:sz="4" w:space="0" w:color="D0D7DE"/>
              <w:right w:val="single" w:sz="4" w:space="0" w:color="D0D7DE"/>
            </w:tcBorders>
            <w:tcMar>
              <w:top w:w="70" w:type="dxa"/>
              <w:start w:w="100" w:type="dxa"/>
              <w:bottom w:w="70" w:type="dxa"/>
              <w:end w:w="100" w:type="dxa"/>
            </w:tcMar>
            <w:vAlign w:val="center"/>
          </w:tcPr>
          <w:p>
            <w:pPr>
              <w:spacing w:before="0" w:after="0" w:line="259" w:lineRule="auto"/>
            </w:pPr>
            <w:r>
              <w:rPr>
                <w:rFonts w:ascii="PingFang SC" w:hAnsi="PingFang SC" w:eastAsia="PingFang SC"/>
                <w:color w:val="1F2933"/>
                <w:sz w:val="15"/>
              </w:rPr>
              <w:t>注册说明书存在重大不实陈述或遗漏时，签署人承担个人民事责任</w:t>
            </w:r>
          </w:p>
        </w:tc>
      </w:tr>
    </w:tbl>
    <w:p>
      <w:pPr>
        <w:spacing w:after="80"/>
      </w:pPr>
    </w:p>
    <w:p>
      <w:pPr>
        <w:spacing w:before="0" w:after="120" w:line="250" w:lineRule="auto"/>
      </w:pPr>
      <w:r>
        <w:rPr>
          <w:rFonts w:ascii="PingFang SC" w:hAnsi="PingFang SC" w:eastAsia="PingFang SC"/>
          <w:color w:val="1F2933"/>
          <w:sz w:val="18"/>
        </w:rPr>
        <w:t>*本报告一手证据来源：亚利桑那州工商登记（Corgi Reinsurance, Inc.，实体 ID 23892247）、SEC EDGAR（Corgi ETF Trust I，CIK 2078265，档案号 333-289838 / 811-24117）、联邦法院备案（1:26-cv-00426、2:23-cv-01028、2:24-cv-00627、3:25-cv-10670）、《亚利桑那修订法典》第 20-1098.03 条、《亚利桑那司法行政法典》第 7-209 条、Forbes 30 Under 30 官方档案、《Beyond a Bake Sale》出版记录。二手来源：The Insurer、TechCrunch、Forbes、etf.com、The Daily Upside、Globe and Mail、Lex Sokolin、Sacra、Business Insider。*</w:t>
      </w:r>
    </w:p>
    <w:sectPr w:rsidR="00FC693F" w:rsidRPr="0006063C" w:rsidSect="00034616">
      <w:headerReference w:type="default" r:id="rId9"/>
      <w:footerReference w:type="default" r:id="rId10"/>
      <w:pgSz w:w="12240" w:h="15840"/>
      <w:pgMar w:top="835" w:right="893" w:bottom="835" w:left="893"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color w:val="667085"/>
        <w:sz w:val="16"/>
      </w:rPr>
      <w:t>资料截止：2026 年 8 月 11 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eastAsia="PingFang SC"/>
        <w:color w:val="667085"/>
        <w:sz w:val="17"/>
      </w:rPr>
      <w:t>Corgi Insurance 尽调报告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0" w:lineRule="auto"/>
    </w:pPr>
    <w:rPr>
      <w:rFonts w:ascii="PingFang SC" w:hAnsi="PingFang SC" w:eastAsia="PingFang SC"/>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31556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Corgi Insurance 尽调报告</dc:title>
  <dc:subject>公开资料尽调报告，资料截止 2026 年 8 月 11 日</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