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2E" w:rsidRPr="00DB49C7" w:rsidRDefault="00A06D2D">
      <w:pPr>
        <w:rPr>
          <w:b/>
          <w:bCs/>
          <w:u w:val="single"/>
        </w:rPr>
      </w:pPr>
      <w:r w:rsidRPr="00DB49C7">
        <w:rPr>
          <w:b/>
          <w:bCs/>
          <w:u w:val="single"/>
        </w:rPr>
        <w:t>Séance 9 :</w:t>
      </w:r>
    </w:p>
    <w:p w:rsidR="00DB49C7" w:rsidRPr="00DB49C7" w:rsidRDefault="00DB49C7" w:rsidP="00DB49C7">
      <w:r w:rsidRPr="00DB49C7">
        <w:t>De manière schématique, on peut considérer qu’Il existe deux grands types d’affichage principaux pour les éléments HTML : un élément HTML va pouvoir être soit de niveau (ou de type) block, soit de niveau (ou de type) </w:t>
      </w:r>
      <w:proofErr w:type="spellStart"/>
      <w:r w:rsidRPr="00DB49C7">
        <w:t>inline</w:t>
      </w:r>
      <w:proofErr w:type="spellEnd"/>
      <w:r w:rsidRPr="00DB49C7">
        <w:t>.</w:t>
      </w:r>
    </w:p>
    <w:p w:rsidR="00DB49C7" w:rsidRPr="00DB49C7" w:rsidRDefault="00DB49C7" w:rsidP="00DB49C7">
      <w:r w:rsidRPr="00DB49C7">
        <w:t>Ces types d’affichage vont définir la façon dont les éléments vont se comporter dans une page par rapport aux autres et la place qu’ils vont prendre dans la page.</w:t>
      </w:r>
    </w:p>
    <w:p w:rsidR="00DB49C7" w:rsidRDefault="00DB49C7" w:rsidP="00DB49C7">
      <w:r w:rsidRPr="00DB49C7">
        <w:t>Connaître le type d’affichage d’un élément HTML va donc être essentiel pour créer et mettre en forme nos pages web car les éléments de type block et ceux de type </w:t>
      </w:r>
      <w:proofErr w:type="spellStart"/>
      <w:r w:rsidRPr="00DB49C7">
        <w:t>inline</w:t>
      </w:r>
      <w:proofErr w:type="spellEnd"/>
      <w:r w:rsidRPr="00DB49C7">
        <w:t> vont se comporter de façon radicalement différente dans une page et certaines propriétés CSS vont avoir des comportements différents selon le type d’affichage d’un élément.</w:t>
      </w:r>
    </w:p>
    <w:p w:rsidR="00A06D2D" w:rsidRDefault="00A06D2D">
      <w:r>
        <w:rPr>
          <w:highlight w:val="yellow"/>
        </w:rPr>
        <w:t>1-</w:t>
      </w:r>
      <w:r w:rsidRPr="00A06D2D">
        <w:rPr>
          <w:highlight w:val="yellow"/>
        </w:rPr>
        <w:t>Type block :</w:t>
      </w:r>
    </w:p>
    <w:p w:rsidR="00A06D2D" w:rsidRPr="00A06D2D" w:rsidRDefault="00A06D2D" w:rsidP="00A06D2D">
      <w:r w:rsidRPr="00A06D2D">
        <w:t xml:space="preserve">« élément de type block » (ou « block </w:t>
      </w:r>
      <w:proofErr w:type="spellStart"/>
      <w:r w:rsidRPr="00A06D2D">
        <w:t>level</w:t>
      </w:r>
      <w:proofErr w:type="spellEnd"/>
      <w:r w:rsidRPr="00A06D2D">
        <w:t xml:space="preserve"> </w:t>
      </w:r>
      <w:proofErr w:type="spellStart"/>
      <w:r w:rsidRPr="00A06D2D">
        <w:t>element</w:t>
      </w:r>
      <w:proofErr w:type="spellEnd"/>
      <w:r w:rsidRPr="00A06D2D">
        <w:t> » en anglais) un élément auquel on va appliquer un </w:t>
      </w:r>
      <w:proofErr w:type="gramStart"/>
      <w:r w:rsidRPr="00A06D2D">
        <w:t>display:</w:t>
      </w:r>
      <w:proofErr w:type="gramEnd"/>
      <w:r w:rsidRPr="00A06D2D">
        <w:t xml:space="preserve"> block.</w:t>
      </w:r>
    </w:p>
    <w:p w:rsidR="00A06D2D" w:rsidRPr="00A06D2D" w:rsidRDefault="00A06D2D" w:rsidP="00A06D2D">
      <w:r w:rsidRPr="00A06D2D">
        <w:t>Les éléments de type block vont posséder les caractéristiques de disposition suivantes :</w:t>
      </w:r>
    </w:p>
    <w:p w:rsidR="00A06D2D" w:rsidRPr="00A06D2D" w:rsidRDefault="00A06D2D" w:rsidP="00A06D2D">
      <w:pPr>
        <w:numPr>
          <w:ilvl w:val="0"/>
          <w:numId w:val="2"/>
        </w:numPr>
      </w:pPr>
      <w:r w:rsidRPr="00A06D2D">
        <w:t>Un élément de type block va toujours prendre toute la largeur disponible au sein de son élément parent (ou élément conteneur) ;</w:t>
      </w:r>
    </w:p>
    <w:p w:rsidR="00A06D2D" w:rsidRPr="00A06D2D" w:rsidRDefault="00A06D2D" w:rsidP="00A06D2D">
      <w:pPr>
        <w:numPr>
          <w:ilvl w:val="0"/>
          <w:numId w:val="2"/>
        </w:numPr>
      </w:pPr>
      <w:r w:rsidRPr="00A06D2D">
        <w:t>Un élément de type block va toujours « aller à la ligne » (créer un saut de ligne avant et après l’élément), c’est-à-dire occuper une nouvelle ligne dans une page et ne jamais se positionner à côté d’un autre élément par défaut ;</w:t>
      </w:r>
    </w:p>
    <w:p w:rsidR="00A06D2D" w:rsidRDefault="00A06D2D" w:rsidP="00DB49C7">
      <w:pPr>
        <w:numPr>
          <w:ilvl w:val="0"/>
          <w:numId w:val="2"/>
        </w:numPr>
      </w:pPr>
      <w:r w:rsidRPr="00A06D2D">
        <w:t>Un élément de type block peut contenir d’autres éléments de type block ou de type </w:t>
      </w:r>
      <w:proofErr w:type="spellStart"/>
      <w:r w:rsidRPr="00A06D2D">
        <w:t>inline</w:t>
      </w:r>
      <w:proofErr w:type="spellEnd"/>
      <w:r w:rsidRPr="00A06D2D">
        <w:t>.</w:t>
      </w:r>
    </w:p>
    <w:p w:rsidR="00A06D2D" w:rsidRDefault="00A06D2D">
      <w:r>
        <w:rPr>
          <w:highlight w:val="yellow"/>
        </w:rPr>
        <w:t>2-</w:t>
      </w:r>
      <w:r w:rsidRPr="00A06D2D">
        <w:rPr>
          <w:highlight w:val="yellow"/>
        </w:rPr>
        <w:t xml:space="preserve">Type </w:t>
      </w:r>
      <w:proofErr w:type="spellStart"/>
      <w:r w:rsidRPr="00A06D2D">
        <w:rPr>
          <w:highlight w:val="yellow"/>
        </w:rPr>
        <w:t>inline</w:t>
      </w:r>
      <w:proofErr w:type="spellEnd"/>
      <w:r w:rsidRPr="00A06D2D">
        <w:rPr>
          <w:highlight w:val="yellow"/>
        </w:rPr>
        <w:t> :</w:t>
      </w:r>
    </w:p>
    <w:p w:rsidR="00A06D2D" w:rsidRPr="00A06D2D" w:rsidRDefault="00A06D2D" w:rsidP="00A06D2D">
      <w:r w:rsidRPr="00A06D2D">
        <w:t xml:space="preserve">« élément de type </w:t>
      </w:r>
      <w:proofErr w:type="spellStart"/>
      <w:r w:rsidRPr="00A06D2D">
        <w:t>inline</w:t>
      </w:r>
      <w:proofErr w:type="spellEnd"/>
      <w:r w:rsidRPr="00A06D2D">
        <w:t> » (ou « </w:t>
      </w:r>
      <w:proofErr w:type="spellStart"/>
      <w:r w:rsidRPr="00A06D2D">
        <w:t>inline</w:t>
      </w:r>
      <w:proofErr w:type="spellEnd"/>
      <w:r w:rsidRPr="00A06D2D">
        <w:t xml:space="preserve"> </w:t>
      </w:r>
      <w:proofErr w:type="spellStart"/>
      <w:r w:rsidRPr="00A06D2D">
        <w:t>level</w:t>
      </w:r>
      <w:proofErr w:type="spellEnd"/>
      <w:r w:rsidRPr="00A06D2D">
        <w:t xml:space="preserve"> </w:t>
      </w:r>
      <w:proofErr w:type="spellStart"/>
      <w:r w:rsidRPr="00A06D2D">
        <w:t>element</w:t>
      </w:r>
      <w:proofErr w:type="spellEnd"/>
      <w:r w:rsidRPr="00A06D2D">
        <w:t> » en anglais) un élément auquel a été appliqué un </w:t>
      </w:r>
      <w:proofErr w:type="gramStart"/>
      <w:r w:rsidRPr="00A06D2D">
        <w:t>display:</w:t>
      </w:r>
      <w:proofErr w:type="gramEnd"/>
      <w:r w:rsidRPr="00A06D2D">
        <w:t xml:space="preserve"> </w:t>
      </w:r>
      <w:proofErr w:type="spellStart"/>
      <w:r w:rsidRPr="00A06D2D">
        <w:t>inline</w:t>
      </w:r>
      <w:proofErr w:type="spellEnd"/>
      <w:r w:rsidRPr="00A06D2D">
        <w:t>.</w:t>
      </w:r>
    </w:p>
    <w:p w:rsidR="00A06D2D" w:rsidRPr="00A06D2D" w:rsidRDefault="00A06D2D" w:rsidP="00A06D2D">
      <w:r w:rsidRPr="00A06D2D">
        <w:t>Les éléments de type </w:t>
      </w:r>
      <w:proofErr w:type="spellStart"/>
      <w:r w:rsidRPr="00A06D2D">
        <w:t>inline</w:t>
      </w:r>
      <w:proofErr w:type="spellEnd"/>
      <w:r w:rsidRPr="00A06D2D">
        <w:t> vont posséder les caractéristiques suivantes qui vont les différencier des éléments de type block :</w:t>
      </w:r>
    </w:p>
    <w:p w:rsidR="00A06D2D" w:rsidRPr="00A06D2D" w:rsidRDefault="00A06D2D" w:rsidP="00A06D2D">
      <w:pPr>
        <w:numPr>
          <w:ilvl w:val="0"/>
          <w:numId w:val="1"/>
        </w:numPr>
      </w:pPr>
      <w:r w:rsidRPr="00A06D2D">
        <w:t>Un élément de type </w:t>
      </w:r>
      <w:proofErr w:type="spellStart"/>
      <w:r w:rsidRPr="00A06D2D">
        <w:t>inline</w:t>
      </w:r>
      <w:proofErr w:type="spellEnd"/>
      <w:r w:rsidRPr="00A06D2D">
        <w:t> ne va occuper que la largeur nécessaire à l’affichage de son contenu par défaut ;</w:t>
      </w:r>
    </w:p>
    <w:p w:rsidR="00A06D2D" w:rsidRPr="00A06D2D" w:rsidRDefault="00A06D2D" w:rsidP="00A06D2D">
      <w:pPr>
        <w:numPr>
          <w:ilvl w:val="0"/>
          <w:numId w:val="1"/>
        </w:numPr>
      </w:pPr>
      <w:r w:rsidRPr="00A06D2D">
        <w:t>Les éléments de type </w:t>
      </w:r>
      <w:proofErr w:type="spellStart"/>
      <w:r w:rsidRPr="00A06D2D">
        <w:t>inline</w:t>
      </w:r>
      <w:proofErr w:type="spellEnd"/>
      <w:r w:rsidRPr="00A06D2D">
        <w:t> vont venir essayer de se placer en ligne, c’est-à-dire à côté (sur la même ligne) que l’élément qui les précède dans le code HTML ;</w:t>
      </w:r>
    </w:p>
    <w:p w:rsidR="00A06D2D" w:rsidRDefault="00A06D2D" w:rsidP="00A06D2D">
      <w:pPr>
        <w:numPr>
          <w:ilvl w:val="0"/>
          <w:numId w:val="1"/>
        </w:numPr>
      </w:pPr>
      <w:r w:rsidRPr="00A06D2D">
        <w:t>Un élément de type </w:t>
      </w:r>
      <w:proofErr w:type="spellStart"/>
      <w:r w:rsidRPr="00A06D2D">
        <w:t>inline</w:t>
      </w:r>
      <w:proofErr w:type="spellEnd"/>
      <w:r w:rsidRPr="00A06D2D">
        <w:t> peut contenir d’autres éléments de type </w:t>
      </w:r>
      <w:proofErr w:type="spellStart"/>
      <w:r w:rsidRPr="00A06D2D">
        <w:t>inline</w:t>
      </w:r>
      <w:proofErr w:type="spellEnd"/>
      <w:r w:rsidRPr="00A06D2D">
        <w:t> mais ne devrait pas contenir d’éléments de type block.</w:t>
      </w:r>
    </w:p>
    <w:p w:rsidR="00DB49C7" w:rsidRPr="00DB49C7" w:rsidRDefault="00DB49C7" w:rsidP="00DB49C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Les éléments HTML dont le type d’affichage recommandé par le W3C est le type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inline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les plus courants sont les suivants :</w:t>
      </w:r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Les éléments de distinction d’importance du contenu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em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et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strong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;</w:t>
      </w:r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L’élément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span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;</w:t>
      </w:r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L’élément de liens </w:t>
      </w:r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a</w:t>
      </w: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;</w:t>
      </w:r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L’élément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button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;</w:t>
      </w:r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Les éléments de formulaire </w:t>
      </w:r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input</w:t>
      </w: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, </w:t>
      </w:r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label</w:t>
      </w: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,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textarea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et de liste de choix </w:t>
      </w:r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select</w:t>
      </w: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;</w:t>
      </w:r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lastRenderedPageBreak/>
        <w:t>L’élément d’insertion d’images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img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(cas intéressant et souvent source de confusions car on va pouvoir passer une largeur et une hauteur à l’image à afficher en soi qui va « remplacer » l’élément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img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lors de l’affichage, mais il n’empêche que l’élément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img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est bien </w:t>
      </w:r>
      <w:proofErr w:type="spell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inline</w:t>
      </w:r>
      <w:proofErr w:type="spell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 en soi</w:t>
      </w:r>
      <w:proofErr w:type="gramStart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);</w:t>
      </w:r>
      <w:proofErr w:type="gramEnd"/>
    </w:p>
    <w:p w:rsidR="00DB49C7" w:rsidRPr="00DB49C7" w:rsidRDefault="00DB49C7" w:rsidP="00DB49C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fr-FR"/>
        </w:rPr>
      </w:pP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Les éléments </w:t>
      </w:r>
      <w:proofErr w:type="gramStart"/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code</w:t>
      </w:r>
      <w:proofErr w:type="gramEnd"/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, </w:t>
      </w:r>
      <w:r w:rsidRPr="00DB49C7">
        <w:rPr>
          <w:rFonts w:ascii="inherit" w:eastAsia="Times New Roman" w:hAnsi="inherit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fr-FR"/>
        </w:rPr>
        <w:t>script</w:t>
      </w:r>
      <w:r w:rsidRPr="00DB49C7">
        <w:rPr>
          <w:rFonts w:ascii="Arial" w:eastAsia="Times New Roman" w:hAnsi="Arial" w:cs="Arial"/>
          <w:color w:val="666666"/>
          <w:sz w:val="23"/>
          <w:szCs w:val="23"/>
          <w:lang w:eastAsia="fr-FR"/>
        </w:rPr>
        <w:t>, etc.</w:t>
      </w:r>
    </w:p>
    <w:p w:rsidR="00DB49C7" w:rsidRPr="00A06D2D" w:rsidRDefault="00DB49C7" w:rsidP="00DB49C7"/>
    <w:p w:rsidR="00A06D2D" w:rsidRDefault="00DB49C7">
      <w:r w:rsidRPr="00DB49C7">
        <w:rPr>
          <w:highlight w:val="yellow"/>
        </w:rPr>
        <w:t>La sémantique :</w:t>
      </w:r>
    </w:p>
    <w:p w:rsidR="00A06D2D" w:rsidRDefault="00DB49C7" w:rsidP="00DB49C7">
      <w:r>
        <w:t>i</w:t>
      </w:r>
      <w:r w:rsidRPr="00DB49C7">
        <w:t>l existe beaucoup d'autres balises sémantiques HTML5 qui peuvent être utilisées (par exemple, &lt;</w:t>
      </w:r>
      <w:proofErr w:type="spellStart"/>
      <w:r w:rsidRPr="00DB49C7">
        <w:t>blockquote</w:t>
      </w:r>
      <w:proofErr w:type="spellEnd"/>
      <w:r w:rsidRPr="00DB49C7">
        <w:t>&gt; et &lt;</w:t>
      </w:r>
      <w:proofErr w:type="spellStart"/>
      <w:r w:rsidRPr="00DB49C7">
        <w:t>em</w:t>
      </w:r>
      <w:proofErr w:type="spellEnd"/>
      <w:r w:rsidRPr="00DB49C7">
        <w:t>&gt;)</w:t>
      </w:r>
      <w:proofErr w:type="gramStart"/>
      <w:r>
        <w:t>  ainsi</w:t>
      </w:r>
      <w:proofErr w:type="gramEnd"/>
      <w:r>
        <w:t xml:space="preserve"> que &lt;header&gt; &lt; main&gt; &lt;</w:t>
      </w:r>
      <w:proofErr w:type="spellStart"/>
      <w:r>
        <w:t>nav</w:t>
      </w:r>
      <w:proofErr w:type="spellEnd"/>
      <w:r>
        <w:t xml:space="preserve">&gt; &lt; section&gt; &lt; </w:t>
      </w:r>
      <w:proofErr w:type="spellStart"/>
      <w:r>
        <w:t>aside</w:t>
      </w:r>
      <w:proofErr w:type="spellEnd"/>
      <w:r>
        <w:t>&gt; .</w:t>
      </w:r>
    </w:p>
    <w:p w:rsidR="00DB49C7" w:rsidRPr="00DB49C7" w:rsidRDefault="00DB49C7" w:rsidP="00DB49C7">
      <w:r w:rsidRPr="00DB49C7">
        <w:t>Les balises HTML5 suivantes peuvent être utilisées à la place des balises &lt;div&gt; pour diviser le contenu de votre page en différentes zones ayant des rôles spécifiques. Comme vous pouvez l'imaginer, les machines comme Google et Bing adorent ça.</w:t>
      </w:r>
    </w:p>
    <w:p w:rsidR="00DB49C7" w:rsidRPr="00DB49C7" w:rsidRDefault="00DB49C7" w:rsidP="00DB49C7">
      <w:r w:rsidRPr="00DB49C7">
        <w:t>En attribuant un rôle à chaque partie du contenu grâce au HTML5 sémantique, nous pouvons rendre la page beaucoup plus claire et plus facile à indexer pour les moteurs de recherche.</w:t>
      </w:r>
    </w:p>
    <w:p w:rsidR="00DB49C7" w:rsidRDefault="00DB49C7" w:rsidP="00DB49C7">
      <w:bookmarkStart w:id="0" w:name="_GoBack"/>
      <w:bookmarkEnd w:id="0"/>
    </w:p>
    <w:sectPr w:rsidR="00DB49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0610"/>
    <w:multiLevelType w:val="multilevel"/>
    <w:tmpl w:val="6FFA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A55A1"/>
    <w:multiLevelType w:val="multilevel"/>
    <w:tmpl w:val="9B0E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74E44"/>
    <w:multiLevelType w:val="multilevel"/>
    <w:tmpl w:val="8CBA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2D"/>
    <w:rsid w:val="009A712E"/>
    <w:rsid w:val="00A06D2D"/>
    <w:rsid w:val="00D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19D88-7FF5-461C-9CB9-EF59584B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B49C7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4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israepro16@gmail.com</dc:creator>
  <cp:keywords/>
  <dc:description/>
  <cp:lastModifiedBy>israepro16@gmail.com</cp:lastModifiedBy>
  <cp:revision>2</cp:revision>
  <dcterms:created xsi:type="dcterms:W3CDTF">2019-12-06T18:30:00Z</dcterms:created>
  <dcterms:modified xsi:type="dcterms:W3CDTF">2019-12-06T19:06:00Z</dcterms:modified>
</cp:coreProperties>
</file>