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B3E5" w14:textId="77777777" w:rsidR="00E8671E" w:rsidRDefault="0017367E" w:rsidP="0017367E">
      <w:pPr>
        <w:pStyle w:val="Heading1"/>
        <w:rPr>
          <w:sz w:val="40"/>
          <w:szCs w:val="40"/>
        </w:rPr>
      </w:pPr>
      <w:r>
        <w:tab/>
      </w:r>
      <w:r w:rsidRPr="0017367E">
        <w:rPr>
          <w:sz w:val="40"/>
          <w:szCs w:val="40"/>
        </w:rPr>
        <w:t xml:space="preserve">                               </w:t>
      </w:r>
    </w:p>
    <w:p w14:paraId="0F428DEF" w14:textId="77777777" w:rsidR="00E8671E" w:rsidRDefault="00E8671E" w:rsidP="0017367E">
      <w:pPr>
        <w:pStyle w:val="Heading1"/>
        <w:rPr>
          <w:sz w:val="40"/>
          <w:szCs w:val="40"/>
        </w:rPr>
      </w:pPr>
    </w:p>
    <w:p w14:paraId="024206C6" w14:textId="77777777" w:rsidR="00E8671E" w:rsidRDefault="00E8671E" w:rsidP="0017367E">
      <w:pPr>
        <w:pStyle w:val="Heading1"/>
        <w:rPr>
          <w:sz w:val="40"/>
          <w:szCs w:val="40"/>
        </w:rPr>
      </w:pPr>
    </w:p>
    <w:p w14:paraId="76D6A4DE" w14:textId="77777777" w:rsidR="00BE2EAF" w:rsidRPr="00D14953" w:rsidRDefault="00E8671E" w:rsidP="0017367E">
      <w:pPr>
        <w:pStyle w:val="Heading1"/>
        <w:rPr>
          <w:color w:val="EE0000"/>
          <w:sz w:val="40"/>
          <w:szCs w:val="40"/>
          <w:u w:val="single"/>
        </w:rPr>
      </w:pPr>
      <w:r>
        <w:rPr>
          <w:sz w:val="40"/>
          <w:szCs w:val="40"/>
        </w:rPr>
        <w:t xml:space="preserve">                                      </w:t>
      </w:r>
      <w:r w:rsidR="0017367E" w:rsidRPr="0017367E">
        <w:rPr>
          <w:sz w:val="40"/>
          <w:szCs w:val="40"/>
        </w:rPr>
        <w:t xml:space="preserve">   </w:t>
      </w:r>
      <w:r w:rsidR="0017367E" w:rsidRPr="00D14953">
        <w:rPr>
          <w:color w:val="EE0000"/>
          <w:sz w:val="40"/>
          <w:szCs w:val="40"/>
          <w:u w:val="single"/>
        </w:rPr>
        <w:t>SAARTHI</w:t>
      </w:r>
    </w:p>
    <w:p w14:paraId="49096CE1" w14:textId="15440CF9" w:rsidR="00762B28" w:rsidRPr="0017367E" w:rsidRDefault="0017367E" w:rsidP="0017367E">
      <w:pPr>
        <w:pStyle w:val="Heading1"/>
        <w:rPr>
          <w:sz w:val="40"/>
          <w:szCs w:val="40"/>
        </w:rPr>
      </w:pPr>
      <w:r w:rsidRPr="0017367E">
        <w:rPr>
          <w:color w:val="EE0000"/>
          <w:sz w:val="40"/>
          <w:szCs w:val="40"/>
        </w:rPr>
        <w:t xml:space="preserve"> </w:t>
      </w:r>
    </w:p>
    <w:p w14:paraId="48D76906" w14:textId="77777777" w:rsidR="00000A65" w:rsidRPr="00000A65" w:rsidRDefault="00000000">
      <w:pPr>
        <w:spacing w:after="200"/>
        <w:jc w:val="center"/>
        <w:rPr>
          <w:b/>
          <w:bCs/>
          <w:color w:val="1F3864"/>
          <w:sz w:val="52"/>
          <w:szCs w:val="52"/>
          <w:u w:val="single"/>
        </w:rPr>
      </w:pPr>
      <w:r w:rsidRPr="00000A65">
        <w:rPr>
          <w:b/>
          <w:bCs/>
          <w:color w:val="1F3864"/>
          <w:sz w:val="52"/>
          <w:szCs w:val="52"/>
          <w:u w:val="single"/>
        </w:rPr>
        <w:t xml:space="preserve">A PROACTIVE COMPLIANCE </w:t>
      </w:r>
    </w:p>
    <w:p w14:paraId="09021033" w14:textId="77777777" w:rsidR="00000A65" w:rsidRPr="00000A65" w:rsidRDefault="00000000">
      <w:pPr>
        <w:spacing w:after="200"/>
        <w:jc w:val="center"/>
        <w:rPr>
          <w:b/>
          <w:bCs/>
          <w:color w:val="1F3864"/>
          <w:sz w:val="52"/>
          <w:szCs w:val="52"/>
          <w:u w:val="single"/>
        </w:rPr>
      </w:pPr>
      <w:r w:rsidRPr="00000A65">
        <w:rPr>
          <w:b/>
          <w:bCs/>
          <w:color w:val="1F3864"/>
          <w:sz w:val="52"/>
          <w:szCs w:val="52"/>
          <w:u w:val="single"/>
        </w:rPr>
        <w:t>AND</w:t>
      </w:r>
    </w:p>
    <w:p w14:paraId="09A2C62A" w14:textId="0AE4DD14" w:rsidR="00762B28" w:rsidRPr="00000A65" w:rsidRDefault="00000000">
      <w:pPr>
        <w:spacing w:after="200"/>
        <w:jc w:val="center"/>
        <w:rPr>
          <w:b/>
          <w:bCs/>
          <w:color w:val="1F3864"/>
          <w:sz w:val="52"/>
          <w:szCs w:val="52"/>
          <w:u w:val="single"/>
        </w:rPr>
      </w:pPr>
      <w:r w:rsidRPr="00000A65">
        <w:rPr>
          <w:b/>
          <w:bCs/>
          <w:color w:val="1F3864"/>
          <w:sz w:val="52"/>
          <w:szCs w:val="52"/>
          <w:u w:val="single"/>
        </w:rPr>
        <w:t xml:space="preserve"> PAYMENT-MONITORING SYSTEM</w:t>
      </w:r>
    </w:p>
    <w:p w14:paraId="2B909E45" w14:textId="77777777" w:rsidR="005D7584" w:rsidRPr="00D14953" w:rsidRDefault="005D7584">
      <w:pPr>
        <w:spacing w:after="200"/>
        <w:jc w:val="center"/>
        <w:rPr>
          <w:sz w:val="52"/>
          <w:szCs w:val="52"/>
        </w:rPr>
      </w:pPr>
    </w:p>
    <w:p w14:paraId="4498E53E" w14:textId="77777777" w:rsidR="00762B28" w:rsidRPr="00D14953" w:rsidRDefault="00000000">
      <w:pPr>
        <w:spacing w:after="120"/>
        <w:jc w:val="center"/>
        <w:rPr>
          <w:sz w:val="52"/>
          <w:szCs w:val="52"/>
        </w:rPr>
      </w:pPr>
      <w:r w:rsidRPr="00D14953">
        <w:rPr>
          <w:b/>
          <w:bCs/>
          <w:color w:val="1F3864"/>
          <w:sz w:val="52"/>
          <w:szCs w:val="52"/>
        </w:rPr>
        <w:t>FOR MSME SUPPLIERS TO GOVERNMENT TRANSPORT BODIES</w:t>
      </w:r>
    </w:p>
    <w:p w14:paraId="389F46E7" w14:textId="77777777" w:rsidR="00762B28" w:rsidRDefault="00000000">
      <w:pPr>
        <w:spacing w:after="800"/>
        <w:jc w:val="center"/>
      </w:pPr>
      <w:r>
        <w:rPr>
          <w:i/>
          <w:iCs/>
          <w:color w:val="666666"/>
          <w:sz w:val="26"/>
          <w:szCs w:val="26"/>
        </w:rPr>
        <w:t>A Case Study of Indian Railways Procurement</w:t>
      </w:r>
    </w:p>
    <w:p w14:paraId="516FDB6B" w14:textId="77777777" w:rsidR="00762B28" w:rsidRDefault="00000000">
      <w:pPr>
        <w:spacing w:after="1600"/>
        <w:jc w:val="center"/>
      </w:pPr>
      <w:r>
        <w:rPr>
          <w:sz w:val="24"/>
          <w:szCs w:val="24"/>
        </w:rPr>
        <w:t>Project Problem Statement &amp; Feasibility Report</w:t>
      </w:r>
    </w:p>
    <w:p w14:paraId="58ABD728" w14:textId="77777777" w:rsidR="00762B28" w:rsidRDefault="00762B28">
      <w:pPr>
        <w:sectPr w:rsidR="00762B28">
          <w:pgSz w:w="12240" w:h="15840"/>
          <w:pgMar w:top="1440" w:right="1440" w:bottom="1440" w:left="1440" w:header="708" w:footer="708" w:gutter="0"/>
          <w:cols w:space="720"/>
          <w:docGrid w:linePitch="360"/>
        </w:sectPr>
      </w:pPr>
    </w:p>
    <w:p w14:paraId="536A1084" w14:textId="77777777" w:rsidR="00762B28" w:rsidRDefault="00000000">
      <w:pPr>
        <w:pStyle w:val="Heading1"/>
      </w:pPr>
      <w:r>
        <w:lastRenderedPageBreak/>
        <w:t>Table of Contents</w:t>
      </w:r>
    </w:p>
    <w:p w14:paraId="270882E1" w14:textId="77777777" w:rsidR="00762B28" w:rsidRDefault="00000000">
      <w:pPr>
        <w:tabs>
          <w:tab w:val="right" w:leader="dot" w:pos="9026"/>
        </w:tabs>
        <w:spacing w:after="140"/>
      </w:pPr>
      <w:r>
        <w:rPr>
          <w:b/>
          <w:bCs/>
        </w:rPr>
        <w:t>Abstract</w:t>
      </w:r>
      <w:r>
        <w:rPr>
          <w:b/>
          <w:bCs/>
        </w:rPr>
        <w:tab/>
        <w:t>3</w:t>
      </w:r>
    </w:p>
    <w:p w14:paraId="0C91ACEF" w14:textId="77777777" w:rsidR="00762B28" w:rsidRDefault="00000000">
      <w:pPr>
        <w:tabs>
          <w:tab w:val="right" w:leader="dot" w:pos="9026"/>
        </w:tabs>
        <w:spacing w:after="140"/>
      </w:pPr>
      <w:r>
        <w:rPr>
          <w:b/>
          <w:bCs/>
        </w:rPr>
        <w:t>1. Introduction</w:t>
      </w:r>
      <w:r>
        <w:rPr>
          <w:b/>
          <w:bCs/>
        </w:rPr>
        <w:tab/>
        <w:t>3</w:t>
      </w:r>
    </w:p>
    <w:p w14:paraId="4BA41355" w14:textId="77777777" w:rsidR="00762B28" w:rsidRDefault="00000000">
      <w:pPr>
        <w:tabs>
          <w:tab w:val="right" w:leader="dot" w:pos="9026"/>
        </w:tabs>
        <w:spacing w:after="80"/>
        <w:ind w:left="360"/>
      </w:pPr>
      <w:r>
        <w:rPr>
          <w:sz w:val="21"/>
          <w:szCs w:val="21"/>
        </w:rPr>
        <w:t>1.1 Background: MSMEs in the Indian Economy</w:t>
      </w:r>
      <w:r>
        <w:rPr>
          <w:sz w:val="21"/>
          <w:szCs w:val="21"/>
        </w:rPr>
        <w:tab/>
        <w:t>3</w:t>
      </w:r>
    </w:p>
    <w:p w14:paraId="70867ACB" w14:textId="77777777" w:rsidR="00762B28" w:rsidRDefault="00000000">
      <w:pPr>
        <w:tabs>
          <w:tab w:val="right" w:leader="dot" w:pos="9026"/>
        </w:tabs>
        <w:spacing w:after="80"/>
        <w:ind w:left="360"/>
      </w:pPr>
      <w:r>
        <w:rPr>
          <w:sz w:val="21"/>
          <w:szCs w:val="21"/>
        </w:rPr>
        <w:t>1.2 MSMEs in Government and Railway Procurement</w:t>
      </w:r>
      <w:r>
        <w:rPr>
          <w:sz w:val="21"/>
          <w:szCs w:val="21"/>
        </w:rPr>
        <w:tab/>
        <w:t>3</w:t>
      </w:r>
    </w:p>
    <w:p w14:paraId="7221B28E" w14:textId="77777777" w:rsidR="00762B28" w:rsidRDefault="00000000">
      <w:pPr>
        <w:tabs>
          <w:tab w:val="right" w:leader="dot" w:pos="9026"/>
        </w:tabs>
        <w:spacing w:after="140"/>
      </w:pPr>
      <w:r>
        <w:rPr>
          <w:b/>
          <w:bCs/>
        </w:rPr>
        <w:t>2. Problem Statement</w:t>
      </w:r>
      <w:r>
        <w:rPr>
          <w:b/>
          <w:bCs/>
        </w:rPr>
        <w:tab/>
        <w:t>4</w:t>
      </w:r>
    </w:p>
    <w:p w14:paraId="11CBF8AF" w14:textId="77777777" w:rsidR="00762B28" w:rsidRDefault="00000000">
      <w:pPr>
        <w:tabs>
          <w:tab w:val="right" w:leader="dot" w:pos="9026"/>
        </w:tabs>
        <w:spacing w:after="140"/>
      </w:pPr>
      <w:r>
        <w:rPr>
          <w:b/>
          <w:bCs/>
        </w:rPr>
        <w:t>3. Research Methodology</w:t>
      </w:r>
      <w:r>
        <w:rPr>
          <w:b/>
          <w:bCs/>
        </w:rPr>
        <w:tab/>
        <w:t>4</w:t>
      </w:r>
    </w:p>
    <w:p w14:paraId="5910183B" w14:textId="77777777" w:rsidR="00762B28" w:rsidRDefault="00000000">
      <w:pPr>
        <w:tabs>
          <w:tab w:val="right" w:leader="dot" w:pos="9026"/>
        </w:tabs>
        <w:spacing w:after="140"/>
      </w:pPr>
      <w:r>
        <w:rPr>
          <w:b/>
          <w:bCs/>
        </w:rPr>
        <w:t>4. Scale and Evidence of the Problem</w:t>
      </w:r>
      <w:r>
        <w:rPr>
          <w:b/>
          <w:bCs/>
        </w:rPr>
        <w:tab/>
        <w:t>4</w:t>
      </w:r>
    </w:p>
    <w:p w14:paraId="597E7449" w14:textId="77777777" w:rsidR="00762B28" w:rsidRDefault="00000000">
      <w:pPr>
        <w:tabs>
          <w:tab w:val="right" w:leader="dot" w:pos="9026"/>
        </w:tabs>
        <w:spacing w:after="80"/>
        <w:ind w:left="360"/>
      </w:pPr>
      <w:r>
        <w:rPr>
          <w:sz w:val="21"/>
          <w:szCs w:val="21"/>
        </w:rPr>
        <w:t>4.1 National Financial Scale</w:t>
      </w:r>
      <w:r>
        <w:rPr>
          <w:sz w:val="21"/>
          <w:szCs w:val="21"/>
        </w:rPr>
        <w:tab/>
        <w:t>4</w:t>
      </w:r>
    </w:p>
    <w:p w14:paraId="63400117" w14:textId="77777777" w:rsidR="00762B28" w:rsidRDefault="00000000">
      <w:pPr>
        <w:tabs>
          <w:tab w:val="right" w:leader="dot" w:pos="9026"/>
        </w:tabs>
        <w:spacing w:after="80"/>
        <w:ind w:left="360"/>
      </w:pPr>
      <w:r>
        <w:rPr>
          <w:sz w:val="21"/>
          <w:szCs w:val="21"/>
        </w:rPr>
        <w:t>4.2 Compounding and Secondary Losses</w:t>
      </w:r>
      <w:r>
        <w:rPr>
          <w:sz w:val="21"/>
          <w:szCs w:val="21"/>
        </w:rPr>
        <w:tab/>
        <w:t>5</w:t>
      </w:r>
    </w:p>
    <w:p w14:paraId="2976B0C4" w14:textId="77777777" w:rsidR="00762B28" w:rsidRDefault="00000000">
      <w:pPr>
        <w:tabs>
          <w:tab w:val="right" w:leader="dot" w:pos="9026"/>
        </w:tabs>
        <w:spacing w:after="80"/>
        <w:ind w:left="360"/>
      </w:pPr>
      <w:r>
        <w:rPr>
          <w:sz w:val="21"/>
          <w:szCs w:val="21"/>
        </w:rPr>
        <w:t>4.3 Communication and Coordination Breakdown</w:t>
      </w:r>
      <w:r>
        <w:rPr>
          <w:sz w:val="21"/>
          <w:szCs w:val="21"/>
        </w:rPr>
        <w:tab/>
        <w:t>5</w:t>
      </w:r>
    </w:p>
    <w:p w14:paraId="496807C6" w14:textId="77777777" w:rsidR="00762B28" w:rsidRDefault="00000000">
      <w:pPr>
        <w:tabs>
          <w:tab w:val="right" w:leader="dot" w:pos="9026"/>
        </w:tabs>
        <w:spacing w:after="140"/>
      </w:pPr>
      <w:r>
        <w:rPr>
          <w:b/>
          <w:bCs/>
        </w:rPr>
        <w:t>5. Review of Existing Government Solutions</w:t>
      </w:r>
      <w:r>
        <w:rPr>
          <w:b/>
          <w:bCs/>
        </w:rPr>
        <w:tab/>
        <w:t>6</w:t>
      </w:r>
    </w:p>
    <w:p w14:paraId="36FF1617" w14:textId="77777777" w:rsidR="00762B28" w:rsidRDefault="00000000">
      <w:pPr>
        <w:tabs>
          <w:tab w:val="right" w:leader="dot" w:pos="9026"/>
        </w:tabs>
        <w:spacing w:after="80"/>
        <w:ind w:left="360"/>
      </w:pPr>
      <w:r>
        <w:rPr>
          <w:sz w:val="21"/>
          <w:szCs w:val="21"/>
        </w:rPr>
        <w:t>5.1 MSME Samadhaan Portal (2017–2025)</w:t>
      </w:r>
      <w:r>
        <w:rPr>
          <w:sz w:val="21"/>
          <w:szCs w:val="21"/>
        </w:rPr>
        <w:tab/>
        <w:t>6</w:t>
      </w:r>
    </w:p>
    <w:p w14:paraId="72FF3E0E" w14:textId="77777777" w:rsidR="00762B28" w:rsidRDefault="00000000">
      <w:pPr>
        <w:tabs>
          <w:tab w:val="right" w:leader="dot" w:pos="9026"/>
        </w:tabs>
        <w:spacing w:after="80"/>
        <w:ind w:left="360"/>
      </w:pPr>
      <w:r>
        <w:rPr>
          <w:sz w:val="21"/>
          <w:szCs w:val="21"/>
        </w:rPr>
        <w:t>5.2 MSME ODR Portal (2025–present)</w:t>
      </w:r>
      <w:r>
        <w:rPr>
          <w:sz w:val="21"/>
          <w:szCs w:val="21"/>
        </w:rPr>
        <w:tab/>
        <w:t>6</w:t>
      </w:r>
    </w:p>
    <w:p w14:paraId="44FC86C9" w14:textId="77777777" w:rsidR="00762B28" w:rsidRDefault="00000000">
      <w:pPr>
        <w:tabs>
          <w:tab w:val="right" w:leader="dot" w:pos="9026"/>
        </w:tabs>
        <w:spacing w:after="140"/>
      </w:pPr>
      <w:r>
        <w:rPr>
          <w:b/>
          <w:bCs/>
        </w:rPr>
        <w:t>6. Feature Compatibility Matrix</w:t>
      </w:r>
      <w:r>
        <w:rPr>
          <w:b/>
          <w:bCs/>
        </w:rPr>
        <w:tab/>
        <w:t>6</w:t>
      </w:r>
    </w:p>
    <w:p w14:paraId="26CBB5D9" w14:textId="77777777" w:rsidR="00762B28" w:rsidRDefault="00000000">
      <w:pPr>
        <w:tabs>
          <w:tab w:val="right" w:leader="dot" w:pos="9026"/>
        </w:tabs>
        <w:spacing w:after="140"/>
      </w:pPr>
      <w:r>
        <w:rPr>
          <w:b/>
          <w:bCs/>
        </w:rPr>
        <w:t>7. Gap Analysis</w:t>
      </w:r>
      <w:r>
        <w:rPr>
          <w:b/>
          <w:bCs/>
        </w:rPr>
        <w:tab/>
        <w:t>7</w:t>
      </w:r>
    </w:p>
    <w:p w14:paraId="700BFDBA" w14:textId="77777777" w:rsidR="00762B28" w:rsidRDefault="00000000">
      <w:pPr>
        <w:tabs>
          <w:tab w:val="right" w:leader="dot" w:pos="9026"/>
        </w:tabs>
        <w:spacing w:after="140"/>
      </w:pPr>
      <w:r>
        <w:rPr>
          <w:b/>
          <w:bCs/>
        </w:rPr>
        <w:t>8. Proposed System</w:t>
      </w:r>
      <w:r>
        <w:rPr>
          <w:b/>
          <w:bCs/>
        </w:rPr>
        <w:tab/>
        <w:t>8</w:t>
      </w:r>
    </w:p>
    <w:p w14:paraId="1711B5BE" w14:textId="77777777" w:rsidR="00762B28" w:rsidRDefault="00000000">
      <w:pPr>
        <w:tabs>
          <w:tab w:val="right" w:leader="dot" w:pos="9026"/>
        </w:tabs>
        <w:spacing w:after="80"/>
        <w:ind w:left="360"/>
      </w:pPr>
      <w:r>
        <w:rPr>
          <w:sz w:val="21"/>
          <w:szCs w:val="21"/>
        </w:rPr>
        <w:t>8.1 Core Proposed Features</w:t>
      </w:r>
      <w:r>
        <w:rPr>
          <w:sz w:val="21"/>
          <w:szCs w:val="21"/>
        </w:rPr>
        <w:tab/>
        <w:t>8</w:t>
      </w:r>
    </w:p>
    <w:p w14:paraId="1D760687" w14:textId="77777777" w:rsidR="00762B28" w:rsidRDefault="00000000">
      <w:pPr>
        <w:tabs>
          <w:tab w:val="right" w:leader="dot" w:pos="9026"/>
        </w:tabs>
        <w:spacing w:after="80"/>
        <w:ind w:left="360"/>
      </w:pPr>
      <w:r>
        <w:rPr>
          <w:sz w:val="21"/>
          <w:szCs w:val="21"/>
        </w:rPr>
        <w:t>8.2 Positioning Relative to the Existing Government System</w:t>
      </w:r>
      <w:r>
        <w:rPr>
          <w:sz w:val="21"/>
          <w:szCs w:val="21"/>
        </w:rPr>
        <w:tab/>
        <w:t>8</w:t>
      </w:r>
    </w:p>
    <w:p w14:paraId="53E52DFA" w14:textId="77777777" w:rsidR="00762B28" w:rsidRDefault="00000000">
      <w:pPr>
        <w:tabs>
          <w:tab w:val="right" w:leader="dot" w:pos="9026"/>
        </w:tabs>
        <w:spacing w:after="140"/>
      </w:pPr>
      <w:r>
        <w:rPr>
          <w:b/>
          <w:bCs/>
        </w:rPr>
        <w:t>9. Feasibility and Scope Considerations</w:t>
      </w:r>
      <w:r>
        <w:rPr>
          <w:b/>
          <w:bCs/>
        </w:rPr>
        <w:tab/>
        <w:t>8</w:t>
      </w:r>
    </w:p>
    <w:p w14:paraId="1A21ADDC" w14:textId="77777777" w:rsidR="00762B28" w:rsidRDefault="00000000">
      <w:pPr>
        <w:tabs>
          <w:tab w:val="right" w:leader="dot" w:pos="9026"/>
        </w:tabs>
        <w:spacing w:after="140"/>
      </w:pPr>
      <w:r>
        <w:rPr>
          <w:b/>
          <w:bCs/>
        </w:rPr>
        <w:t>10. Conclusion</w:t>
      </w:r>
      <w:r>
        <w:rPr>
          <w:b/>
          <w:bCs/>
        </w:rPr>
        <w:tab/>
        <w:t>9</w:t>
      </w:r>
    </w:p>
    <w:p w14:paraId="191782D4" w14:textId="77777777" w:rsidR="00762B28" w:rsidRDefault="00000000">
      <w:pPr>
        <w:tabs>
          <w:tab w:val="right" w:leader="dot" w:pos="9026"/>
        </w:tabs>
        <w:spacing w:after="140"/>
      </w:pPr>
      <w:r>
        <w:rPr>
          <w:b/>
          <w:bCs/>
        </w:rPr>
        <w:t>References</w:t>
      </w:r>
      <w:r>
        <w:rPr>
          <w:b/>
          <w:bCs/>
        </w:rPr>
        <w:tab/>
        <w:t>9</w:t>
      </w:r>
    </w:p>
    <w:p w14:paraId="3602B171" w14:textId="77777777" w:rsidR="00762B28" w:rsidRDefault="00000000">
      <w:r>
        <w:br w:type="page"/>
      </w:r>
    </w:p>
    <w:p w14:paraId="205E1F42" w14:textId="77777777" w:rsidR="00762B28" w:rsidRDefault="00762B28">
      <w:pPr>
        <w:sectPr w:rsidR="00762B28">
          <w:pgSz w:w="11906" w:h="16838"/>
          <w:pgMar w:top="1440" w:right="1440" w:bottom="1440" w:left="1440" w:header="708" w:footer="708" w:gutter="0"/>
          <w:cols w:space="720"/>
          <w:docGrid w:linePitch="360"/>
        </w:sectPr>
      </w:pPr>
    </w:p>
    <w:p w14:paraId="55E1ED55" w14:textId="77777777" w:rsidR="00762B28" w:rsidRDefault="00000000">
      <w:pPr>
        <w:pStyle w:val="Heading1"/>
      </w:pPr>
      <w:r>
        <w:lastRenderedPageBreak/>
        <w:t>Abstract</w:t>
      </w:r>
    </w:p>
    <w:p w14:paraId="575AC539" w14:textId="77777777" w:rsidR="00762B28" w:rsidRDefault="00000000">
      <w:pPr>
        <w:spacing w:after="160" w:line="276" w:lineRule="auto"/>
        <w:jc w:val="both"/>
      </w:pPr>
      <w:r>
        <w:t>Micro, Small and Medium Enterprises (MSMEs) supplying components, castings, forgings, and fabricated parts to Indian Railways' production units and workshops operate under a legal payment protection framework, the MSMED Act, 2006, and a mandatory 20% procurement quota. In practice, delayed payments, unmonitored quota compliance, and retroactive specification changes routinely erode the working capital and operational stability of these vendors. National data places delayed MSME payments at approximately ₹7.34 lakh crore as of FY24, with government sources explicitly naming Railways among the sectors owing MSMEs the most. The Government of India operates a dispute-resolution mechanism — the MSME Samadhaan Portal (2017) and its 2025 successor, the MSME ODR Portal — but this mechanism activates only after a payment default has already occurred. This report documents the scale of the problem with primary and secondary evidence, evaluates the existing government solution feature-by-feature, identifies the specific gaps that remain unaddressed even after the 2025 upgrade, and proposes a complementary, proactive monitoring system designed to sit upstream of the existing government mechanism rather than duplicate it.</w:t>
      </w:r>
    </w:p>
    <w:p w14:paraId="504CF266" w14:textId="77777777" w:rsidR="00762B28" w:rsidRDefault="00000000">
      <w:pPr>
        <w:pStyle w:val="Heading1"/>
      </w:pPr>
      <w:r>
        <w:t>1. Introduction</w:t>
      </w:r>
    </w:p>
    <w:p w14:paraId="32FC12F7" w14:textId="77777777" w:rsidR="00762B28" w:rsidRDefault="00000000">
      <w:pPr>
        <w:pStyle w:val="Heading2"/>
      </w:pPr>
      <w:r>
        <w:t>1.1 Background: MSMEs in the Indian Economy</w:t>
      </w:r>
    </w:p>
    <w:p w14:paraId="0B705464" w14:textId="77777777" w:rsidR="00762B28" w:rsidRDefault="00000000">
      <w:pPr>
        <w:spacing w:after="160" w:line="276" w:lineRule="auto"/>
        <w:jc w:val="both"/>
      </w:pPr>
      <w:r>
        <w:t>Micro, Small and Medium Enterprises are defined and classified under the Micro, Small and Medium Enterprises Development (MSMED) Act, 2006. Effective 1 April 2025, following the Union Budget 2025-26, the classification thresholds were revised as follows: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600"/>
      </w:tblGrid>
      <w:tr w:rsidR="00762B28" w14:paraId="7B301C4C" w14:textId="77777777">
        <w:trPr>
          <w:tblHeader/>
        </w:trPr>
        <w:tc>
          <w:tcPr>
            <w:tcW w:w="3200" w:type="dxa"/>
            <w:shd w:val="clear" w:color="auto" w:fill="1F3864"/>
            <w:tcMar>
              <w:top w:w="100" w:type="dxa"/>
              <w:left w:w="120" w:type="dxa"/>
              <w:bottom w:w="100" w:type="dxa"/>
              <w:right w:w="120" w:type="dxa"/>
            </w:tcMar>
            <w:vAlign w:val="center"/>
          </w:tcPr>
          <w:p w14:paraId="6F623ED1" w14:textId="77777777" w:rsidR="00762B28" w:rsidRDefault="00000000">
            <w:r>
              <w:rPr>
                <w:b/>
                <w:bCs/>
                <w:color w:val="FFFFFF"/>
                <w:sz w:val="20"/>
                <w:szCs w:val="20"/>
              </w:rPr>
              <w:t>Category</w:t>
            </w:r>
          </w:p>
        </w:tc>
        <w:tc>
          <w:tcPr>
            <w:tcW w:w="3600" w:type="dxa"/>
            <w:shd w:val="clear" w:color="auto" w:fill="1F3864"/>
            <w:tcMar>
              <w:top w:w="100" w:type="dxa"/>
              <w:left w:w="120" w:type="dxa"/>
              <w:bottom w:w="100" w:type="dxa"/>
              <w:right w:w="120" w:type="dxa"/>
            </w:tcMar>
            <w:vAlign w:val="center"/>
          </w:tcPr>
          <w:p w14:paraId="2710C480" w14:textId="77777777" w:rsidR="00762B28" w:rsidRDefault="00000000">
            <w:r>
              <w:rPr>
                <w:b/>
                <w:bCs/>
                <w:color w:val="FFFFFF"/>
                <w:sz w:val="20"/>
                <w:szCs w:val="20"/>
              </w:rPr>
              <w:t>Investment Limit (Plant &amp; Machinery/Equipment)</w:t>
            </w:r>
          </w:p>
        </w:tc>
        <w:tc>
          <w:tcPr>
            <w:tcW w:w="2600" w:type="dxa"/>
            <w:shd w:val="clear" w:color="auto" w:fill="1F3864"/>
            <w:tcMar>
              <w:top w:w="100" w:type="dxa"/>
              <w:left w:w="120" w:type="dxa"/>
              <w:bottom w:w="100" w:type="dxa"/>
              <w:right w:w="120" w:type="dxa"/>
            </w:tcMar>
            <w:vAlign w:val="center"/>
          </w:tcPr>
          <w:p w14:paraId="494F1D9E" w14:textId="77777777" w:rsidR="00762B28" w:rsidRDefault="00000000">
            <w:r>
              <w:rPr>
                <w:b/>
                <w:bCs/>
                <w:color w:val="FFFFFF"/>
                <w:sz w:val="20"/>
                <w:szCs w:val="20"/>
              </w:rPr>
              <w:t>Annual Turnover Limit</w:t>
            </w:r>
          </w:p>
        </w:tc>
      </w:tr>
      <w:tr w:rsidR="00762B28" w14:paraId="00AAD7AC" w14:textId="77777777">
        <w:tc>
          <w:tcPr>
            <w:tcW w:w="3200" w:type="dxa"/>
            <w:tcMar>
              <w:top w:w="100" w:type="dxa"/>
              <w:left w:w="120" w:type="dxa"/>
              <w:bottom w:w="100" w:type="dxa"/>
              <w:right w:w="120" w:type="dxa"/>
            </w:tcMar>
            <w:vAlign w:val="center"/>
          </w:tcPr>
          <w:p w14:paraId="7FBA9102" w14:textId="77777777" w:rsidR="00762B28" w:rsidRDefault="00000000">
            <w:r>
              <w:rPr>
                <w:color w:val="000000"/>
                <w:sz w:val="20"/>
                <w:szCs w:val="20"/>
              </w:rPr>
              <w:t>Micro Enterprise</w:t>
            </w:r>
          </w:p>
        </w:tc>
        <w:tc>
          <w:tcPr>
            <w:tcW w:w="3600" w:type="dxa"/>
            <w:tcMar>
              <w:top w:w="100" w:type="dxa"/>
              <w:left w:w="120" w:type="dxa"/>
              <w:bottom w:w="100" w:type="dxa"/>
              <w:right w:w="120" w:type="dxa"/>
            </w:tcMar>
            <w:vAlign w:val="center"/>
          </w:tcPr>
          <w:p w14:paraId="3359EE3E" w14:textId="77777777" w:rsidR="00762B28" w:rsidRDefault="00000000">
            <w:r>
              <w:rPr>
                <w:color w:val="000000"/>
                <w:sz w:val="20"/>
                <w:szCs w:val="20"/>
              </w:rPr>
              <w:t>Up to ₹2.5 crore</w:t>
            </w:r>
          </w:p>
        </w:tc>
        <w:tc>
          <w:tcPr>
            <w:tcW w:w="2600" w:type="dxa"/>
            <w:tcMar>
              <w:top w:w="100" w:type="dxa"/>
              <w:left w:w="120" w:type="dxa"/>
              <w:bottom w:w="100" w:type="dxa"/>
              <w:right w:w="120" w:type="dxa"/>
            </w:tcMar>
            <w:vAlign w:val="center"/>
          </w:tcPr>
          <w:p w14:paraId="1C158563" w14:textId="77777777" w:rsidR="00762B28" w:rsidRDefault="00000000">
            <w:r>
              <w:rPr>
                <w:color w:val="000000"/>
                <w:sz w:val="20"/>
                <w:szCs w:val="20"/>
              </w:rPr>
              <w:t>Up to ₹10 crore</w:t>
            </w:r>
          </w:p>
        </w:tc>
      </w:tr>
      <w:tr w:rsidR="00762B28" w14:paraId="14CE377D" w14:textId="77777777">
        <w:tc>
          <w:tcPr>
            <w:tcW w:w="3200" w:type="dxa"/>
            <w:shd w:val="clear" w:color="auto" w:fill="F2F2F2"/>
            <w:tcMar>
              <w:top w:w="100" w:type="dxa"/>
              <w:left w:w="120" w:type="dxa"/>
              <w:bottom w:w="100" w:type="dxa"/>
              <w:right w:w="120" w:type="dxa"/>
            </w:tcMar>
            <w:vAlign w:val="center"/>
          </w:tcPr>
          <w:p w14:paraId="35209782" w14:textId="77777777" w:rsidR="00762B28" w:rsidRDefault="00000000">
            <w:r>
              <w:rPr>
                <w:color w:val="000000"/>
                <w:sz w:val="20"/>
                <w:szCs w:val="20"/>
              </w:rPr>
              <w:t>Small Enterprise</w:t>
            </w:r>
          </w:p>
        </w:tc>
        <w:tc>
          <w:tcPr>
            <w:tcW w:w="3600" w:type="dxa"/>
            <w:shd w:val="clear" w:color="auto" w:fill="F2F2F2"/>
            <w:tcMar>
              <w:top w:w="100" w:type="dxa"/>
              <w:left w:w="120" w:type="dxa"/>
              <w:bottom w:w="100" w:type="dxa"/>
              <w:right w:w="120" w:type="dxa"/>
            </w:tcMar>
            <w:vAlign w:val="center"/>
          </w:tcPr>
          <w:p w14:paraId="3E612EA5" w14:textId="77777777" w:rsidR="00762B28" w:rsidRDefault="00000000">
            <w:r>
              <w:rPr>
                <w:color w:val="000000"/>
                <w:sz w:val="20"/>
                <w:szCs w:val="20"/>
              </w:rPr>
              <w:t>Up to ₹25 crore</w:t>
            </w:r>
          </w:p>
        </w:tc>
        <w:tc>
          <w:tcPr>
            <w:tcW w:w="2600" w:type="dxa"/>
            <w:shd w:val="clear" w:color="auto" w:fill="F2F2F2"/>
            <w:tcMar>
              <w:top w:w="100" w:type="dxa"/>
              <w:left w:w="120" w:type="dxa"/>
              <w:bottom w:w="100" w:type="dxa"/>
              <w:right w:w="120" w:type="dxa"/>
            </w:tcMar>
            <w:vAlign w:val="center"/>
          </w:tcPr>
          <w:p w14:paraId="31473BCF" w14:textId="77777777" w:rsidR="00762B28" w:rsidRDefault="00000000">
            <w:r>
              <w:rPr>
                <w:color w:val="000000"/>
                <w:sz w:val="20"/>
                <w:szCs w:val="20"/>
              </w:rPr>
              <w:t>Up to ₹100 crore</w:t>
            </w:r>
          </w:p>
        </w:tc>
      </w:tr>
      <w:tr w:rsidR="00762B28" w14:paraId="094AD0CC" w14:textId="77777777">
        <w:tc>
          <w:tcPr>
            <w:tcW w:w="3200" w:type="dxa"/>
            <w:tcMar>
              <w:top w:w="100" w:type="dxa"/>
              <w:left w:w="120" w:type="dxa"/>
              <w:bottom w:w="100" w:type="dxa"/>
              <w:right w:w="120" w:type="dxa"/>
            </w:tcMar>
            <w:vAlign w:val="center"/>
          </w:tcPr>
          <w:p w14:paraId="46336E3B" w14:textId="77777777" w:rsidR="00762B28" w:rsidRDefault="00000000">
            <w:r>
              <w:rPr>
                <w:color w:val="000000"/>
                <w:sz w:val="20"/>
                <w:szCs w:val="20"/>
              </w:rPr>
              <w:t>Medium Enterprise</w:t>
            </w:r>
          </w:p>
        </w:tc>
        <w:tc>
          <w:tcPr>
            <w:tcW w:w="3600" w:type="dxa"/>
            <w:tcMar>
              <w:top w:w="100" w:type="dxa"/>
              <w:left w:w="120" w:type="dxa"/>
              <w:bottom w:w="100" w:type="dxa"/>
              <w:right w:w="120" w:type="dxa"/>
            </w:tcMar>
            <w:vAlign w:val="center"/>
          </w:tcPr>
          <w:p w14:paraId="3E18B3A3" w14:textId="77777777" w:rsidR="00762B28" w:rsidRDefault="00000000">
            <w:r>
              <w:rPr>
                <w:color w:val="000000"/>
                <w:sz w:val="20"/>
                <w:szCs w:val="20"/>
              </w:rPr>
              <w:t>Up to ₹125 crore</w:t>
            </w:r>
          </w:p>
        </w:tc>
        <w:tc>
          <w:tcPr>
            <w:tcW w:w="2600" w:type="dxa"/>
            <w:tcMar>
              <w:top w:w="100" w:type="dxa"/>
              <w:left w:w="120" w:type="dxa"/>
              <w:bottom w:w="100" w:type="dxa"/>
              <w:right w:w="120" w:type="dxa"/>
            </w:tcMar>
            <w:vAlign w:val="center"/>
          </w:tcPr>
          <w:p w14:paraId="54B044C3" w14:textId="77777777" w:rsidR="00762B28" w:rsidRDefault="00000000">
            <w:r>
              <w:rPr>
                <w:color w:val="000000"/>
                <w:sz w:val="20"/>
                <w:szCs w:val="20"/>
              </w:rPr>
              <w:t>Up to ₹500 crore</w:t>
            </w:r>
          </w:p>
        </w:tc>
      </w:tr>
    </w:tbl>
    <w:p w14:paraId="1638E16D" w14:textId="77777777" w:rsidR="00762B28" w:rsidRDefault="00000000">
      <w:pPr>
        <w:spacing w:after="240"/>
      </w:pPr>
      <w:r>
        <w:rPr>
          <w:i/>
          <w:iCs/>
          <w:color w:val="666666"/>
          <w:sz w:val="18"/>
          <w:szCs w:val="18"/>
        </w:rPr>
        <w:t>Source: Ministry of MSME Notification S.O. 1364(E), 21 March 2025.</w:t>
      </w:r>
    </w:p>
    <w:p w14:paraId="1F2CD8BC" w14:textId="77777777" w:rsidR="00762B28" w:rsidRDefault="00000000">
      <w:pPr>
        <w:spacing w:after="160" w:line="276" w:lineRule="auto"/>
        <w:jc w:val="both"/>
      </w:pPr>
      <w:r>
        <w:t>An enterprise qualifies for a category by meeting either the investment or the turnover criterion, whichever places it in the higher bracket. India has approximately 6.4 crore MSMEs, contributing over 4.6% of the country's Gross Value Added and forming the backbone of both manufacturing and service supply chains, including those feeding public infrastructure and transport manufacturing.</w:t>
      </w:r>
    </w:p>
    <w:p w14:paraId="16835860" w14:textId="77777777" w:rsidR="00762B28" w:rsidRDefault="00000000">
      <w:pPr>
        <w:pStyle w:val="Heading2"/>
      </w:pPr>
      <w:r>
        <w:t>1.2 MSMEs in Government and Railway Procurement</w:t>
      </w:r>
    </w:p>
    <w:p w14:paraId="47E21791" w14:textId="77777777" w:rsidR="00762B28" w:rsidRDefault="00000000">
      <w:pPr>
        <w:spacing w:after="160" w:line="276" w:lineRule="auto"/>
        <w:jc w:val="both"/>
      </w:pPr>
      <w:r>
        <w:t>Government departments, ministries, and Public Sector Undertakings (PSUs), including Indian Railways, are subject to two principal statutory obligations toward MSME suppliers:</w:t>
      </w:r>
    </w:p>
    <w:p w14:paraId="47AEF476" w14:textId="77777777" w:rsidR="00762B28" w:rsidRDefault="00000000">
      <w:pPr>
        <w:pStyle w:val="ListParagraph"/>
        <w:numPr>
          <w:ilvl w:val="0"/>
          <w:numId w:val="2"/>
        </w:numPr>
        <w:spacing w:after="100" w:line="276" w:lineRule="auto"/>
      </w:pPr>
      <w:r>
        <w:t>A mandatory 45-day payment window from the date of acceptance of goods or services, under Section 15 of the MSMED Act, 2006, failing which compound interest at three times the RBI-notified bank rate becomes payable under Section 16.</w:t>
      </w:r>
    </w:p>
    <w:p w14:paraId="1DE52418" w14:textId="77777777" w:rsidR="00762B28" w:rsidRDefault="00000000">
      <w:pPr>
        <w:pStyle w:val="ListParagraph"/>
        <w:numPr>
          <w:ilvl w:val="0"/>
          <w:numId w:val="2"/>
        </w:numPr>
        <w:spacing w:after="100" w:line="276" w:lineRule="auto"/>
      </w:pPr>
      <w:r>
        <w:t>A minimum 20% procurement quota reserved for micro and small enterprises across annual government and PSU purchasing.</w:t>
      </w:r>
    </w:p>
    <w:p w14:paraId="7AA65C4C" w14:textId="77777777" w:rsidR="00762B28" w:rsidRDefault="00000000">
      <w:pPr>
        <w:spacing w:after="160" w:line="276" w:lineRule="auto"/>
        <w:jc w:val="both"/>
      </w:pPr>
      <w:r>
        <w:lastRenderedPageBreak/>
        <w:t>Indian Railways operates one of the largest procurement systems in the country, sourcing components, rolling-stock parts, and fabrication services from thousands of MSME vendors through its e-procurement system (IREPS) and the Government e-Marketplace (GeM). As of recent published figures, 68,286 MSME sellers were active on GeM alone, having facilitated orders worth ₹20,263 crore in Gross Merchandise Value.</w:t>
      </w:r>
    </w:p>
    <w:p w14:paraId="5B2FB68F" w14:textId="77777777" w:rsidR="00762B28" w:rsidRDefault="00000000">
      <w:pPr>
        <w:pStyle w:val="Heading1"/>
      </w:pPr>
      <w:r>
        <w:t>2. Problem Statement</w:t>
      </w:r>
    </w:p>
    <w:p w14:paraId="507B7BF7" w14:textId="77777777" w:rsidR="00762B28" w:rsidRDefault="00000000">
      <w:pPr>
        <w:spacing w:after="160" w:line="276" w:lineRule="auto"/>
        <w:jc w:val="both"/>
      </w:pPr>
      <w:r>
        <w:t>MSME vendors supplying capital goods, components, and fabrication services to Indian Railways and comparable government transport bodies have no independent, self-serve system to:</w:t>
      </w:r>
    </w:p>
    <w:p w14:paraId="2C4FA1C7" w14:textId="77777777" w:rsidR="00762B28" w:rsidRDefault="00000000">
      <w:pPr>
        <w:pStyle w:val="ListParagraph"/>
        <w:numPr>
          <w:ilvl w:val="0"/>
          <w:numId w:val="2"/>
        </w:numPr>
        <w:spacing w:after="100" w:line="276" w:lineRule="auto"/>
      </w:pPr>
      <w:r>
        <w:t>Track, in real time, whether a specific invoice is approaching or has breached the legal 45-day payment window;</w:t>
      </w:r>
    </w:p>
    <w:p w14:paraId="05FE0A1E" w14:textId="77777777" w:rsidR="00762B28" w:rsidRDefault="00000000">
      <w:pPr>
        <w:pStyle w:val="ListParagraph"/>
        <w:numPr>
          <w:ilvl w:val="0"/>
          <w:numId w:val="2"/>
        </w:numPr>
        <w:spacing w:after="100" w:line="276" w:lineRule="auto"/>
      </w:pPr>
      <w:r>
        <w:t>Verify whether a specific buying zone or department is meeting its mandated 20% MSME procurement quota;</w:t>
      </w:r>
    </w:p>
    <w:p w14:paraId="7DD6C490" w14:textId="77777777" w:rsidR="00762B28" w:rsidRDefault="00000000">
      <w:pPr>
        <w:pStyle w:val="ListParagraph"/>
        <w:numPr>
          <w:ilvl w:val="0"/>
          <w:numId w:val="2"/>
        </w:numPr>
        <w:spacing w:after="100" w:line="276" w:lineRule="auto"/>
      </w:pPr>
      <w:r>
        <w:t>Receive advance warning when a technical specification changes retroactively, placing already-manufactured stock at risk of rejection.</w:t>
      </w:r>
    </w:p>
    <w:p w14:paraId="333FB3D6" w14:textId="77777777" w:rsidR="00762B28" w:rsidRDefault="00000000">
      <w:pPr>
        <w:spacing w:after="160" w:line="276" w:lineRule="auto"/>
        <w:jc w:val="both"/>
      </w:pPr>
      <w:r>
        <w:t>As a consequence, MSME vendors discover these problems only after financial harm has occurred — after working capital is locked up, after stock is rejected, or after a full fiscal year of quota shortfall has gone unchallenged. The existing government remedy, the MSME Samadhaan Portal and its 2025 successor the MSME ODR Portal, is a dispute-resolution mechanism that activates strictly after a default has occurred; no government or private system currently provides preventive, vendor-facing visibility before that point.</w:t>
      </w:r>
    </w:p>
    <w:p w14:paraId="2DE2E565" w14:textId="77777777" w:rsidR="00762B28" w:rsidRDefault="00000000">
      <w:pPr>
        <w:spacing w:after="160" w:line="276" w:lineRule="auto"/>
        <w:jc w:val="both"/>
      </w:pPr>
      <w:r>
        <w:t>This report is scoped specifically to the payment and compliance visibility gap that exists after a contract is awarded and before a dispute becomes necessary — distinct from tender discovery or bid preparation, which are already served by existing paid consultancies.</w:t>
      </w:r>
    </w:p>
    <w:p w14:paraId="7487268F" w14:textId="77777777" w:rsidR="00762B28" w:rsidRDefault="00000000">
      <w:pPr>
        <w:pStyle w:val="Heading1"/>
      </w:pPr>
      <w:r>
        <w:t>3. Research Methodology</w:t>
      </w:r>
    </w:p>
    <w:p w14:paraId="7FDF381A" w14:textId="77777777" w:rsidR="00762B28" w:rsidRDefault="00000000">
      <w:pPr>
        <w:spacing w:after="160" w:line="276" w:lineRule="auto"/>
        <w:jc w:val="both"/>
      </w:pPr>
      <w:r>
        <w:t>This report is based on secondary research conducted across the following categories of sources:</w:t>
      </w:r>
    </w:p>
    <w:p w14:paraId="31783CE6" w14:textId="77777777" w:rsidR="00762B28" w:rsidRDefault="00000000">
      <w:pPr>
        <w:pStyle w:val="ListParagraph"/>
        <w:numPr>
          <w:ilvl w:val="0"/>
          <w:numId w:val="2"/>
        </w:numPr>
        <w:spacing w:after="100" w:line="276" w:lineRule="auto"/>
      </w:pPr>
      <w:r>
        <w:t>Government data and portals: MSME Samadhaan, MSME ODR Portal, GeM, IREPS-related documentation, Udyam Registration notifications.</w:t>
      </w:r>
    </w:p>
    <w:p w14:paraId="6CC51C58" w14:textId="77777777" w:rsidR="00762B28" w:rsidRDefault="00000000">
      <w:pPr>
        <w:pStyle w:val="ListParagraph"/>
        <w:numPr>
          <w:ilvl w:val="0"/>
          <w:numId w:val="2"/>
        </w:numPr>
        <w:spacing w:after="100" w:line="276" w:lineRule="auto"/>
      </w:pPr>
      <w:r>
        <w:t>Parliamentary records: Lok Sabha and Rajya Sabha unstarred questions and ministerial answers concerning MSME delayed payments (2021–2023).</w:t>
      </w:r>
    </w:p>
    <w:p w14:paraId="60DD3F2C" w14:textId="77777777" w:rsidR="00762B28" w:rsidRDefault="00000000">
      <w:pPr>
        <w:pStyle w:val="ListParagraph"/>
        <w:numPr>
          <w:ilvl w:val="0"/>
          <w:numId w:val="2"/>
        </w:numPr>
        <w:spacing w:after="100" w:line="276" w:lineRule="auto"/>
      </w:pPr>
      <w:r>
        <w:t>Statutory and legal analysis: the MSMED Act, 2006 (Sections 15, 16, 18, 20, 21) and Section 43B(h) of the Income Tax Act, as interpreted by legal-practice publications.</w:t>
      </w:r>
    </w:p>
    <w:p w14:paraId="22CD67B5" w14:textId="77777777" w:rsidR="00762B28" w:rsidRDefault="00000000">
      <w:pPr>
        <w:pStyle w:val="ListParagraph"/>
        <w:numPr>
          <w:ilvl w:val="0"/>
          <w:numId w:val="2"/>
        </w:numPr>
        <w:spacing w:after="100" w:line="276" w:lineRule="auto"/>
      </w:pPr>
      <w:r>
        <w:t>Industry and audit reports: the Global Alliance for Mass Entrepreneurship (GAME), the Federation of Indian Micro and Small &amp; Medium Enterprises (FISME), C2FO, and a Comptroller and Auditor General (CAG) compliance audit of Indian Railways workshops.</w:t>
      </w:r>
    </w:p>
    <w:p w14:paraId="3D1053BC" w14:textId="77777777" w:rsidR="00762B28" w:rsidRDefault="00000000">
      <w:pPr>
        <w:pStyle w:val="ListParagraph"/>
        <w:numPr>
          <w:ilvl w:val="0"/>
          <w:numId w:val="2"/>
        </w:numPr>
        <w:spacing w:after="100" w:line="276" w:lineRule="auto"/>
      </w:pPr>
      <w:r>
        <w:t>Documented grievance cases: individual, publicly reported MSME complaints against railway zones concerning quota non-compliance and retroactive specification changes.</w:t>
      </w:r>
    </w:p>
    <w:p w14:paraId="366929FD" w14:textId="77777777" w:rsidR="00762B28" w:rsidRDefault="00000000">
      <w:pPr>
        <w:spacing w:after="160" w:line="276" w:lineRule="auto"/>
        <w:jc w:val="both"/>
      </w:pPr>
      <w:r>
        <w:t>Given the nature of available public data, quantitative figures in this report are drawn from official or industry-published statistics; qualitative claims regarding vendor experience are drawn from documented, named cases rather than anecdotal or undocumented sources. Where a figure could not be independently verified, it has been marked accordingly in the text.</w:t>
      </w:r>
    </w:p>
    <w:p w14:paraId="7B7CAED1" w14:textId="77777777" w:rsidR="00762B28" w:rsidRDefault="00000000">
      <w:pPr>
        <w:pStyle w:val="Heading1"/>
      </w:pPr>
      <w:r>
        <w:lastRenderedPageBreak/>
        <w:t>4. Scale and Evidence of the Problem</w:t>
      </w:r>
    </w:p>
    <w:p w14:paraId="794B74F1" w14:textId="77777777" w:rsidR="00762B28" w:rsidRDefault="00000000">
      <w:pPr>
        <w:pStyle w:val="Heading2"/>
      </w:pPr>
      <w:r>
        <w:t>4.1 National Financial Scale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400"/>
      </w:tblGrid>
      <w:tr w:rsidR="00762B28" w14:paraId="081F1446" w14:textId="77777777">
        <w:trPr>
          <w:tblHeader/>
        </w:trPr>
        <w:tc>
          <w:tcPr>
            <w:tcW w:w="4200" w:type="dxa"/>
            <w:shd w:val="clear" w:color="auto" w:fill="1F3864"/>
            <w:tcMar>
              <w:top w:w="100" w:type="dxa"/>
              <w:left w:w="120" w:type="dxa"/>
              <w:bottom w:w="100" w:type="dxa"/>
              <w:right w:w="120" w:type="dxa"/>
            </w:tcMar>
            <w:vAlign w:val="center"/>
          </w:tcPr>
          <w:p w14:paraId="5ED24CD7" w14:textId="77777777" w:rsidR="00762B28" w:rsidRDefault="00000000">
            <w:r>
              <w:rPr>
                <w:b/>
                <w:bCs/>
                <w:color w:val="FFFFFF"/>
                <w:sz w:val="20"/>
                <w:szCs w:val="20"/>
              </w:rPr>
              <w:t>Metric</w:t>
            </w:r>
          </w:p>
        </w:tc>
        <w:tc>
          <w:tcPr>
            <w:tcW w:w="2800" w:type="dxa"/>
            <w:shd w:val="clear" w:color="auto" w:fill="1F3864"/>
            <w:tcMar>
              <w:top w:w="100" w:type="dxa"/>
              <w:left w:w="120" w:type="dxa"/>
              <w:bottom w:w="100" w:type="dxa"/>
              <w:right w:w="120" w:type="dxa"/>
            </w:tcMar>
            <w:vAlign w:val="center"/>
          </w:tcPr>
          <w:p w14:paraId="44DAC7B8" w14:textId="77777777" w:rsidR="00762B28" w:rsidRDefault="00000000">
            <w:r>
              <w:rPr>
                <w:b/>
                <w:bCs/>
                <w:color w:val="FFFFFF"/>
                <w:sz w:val="20"/>
                <w:szCs w:val="20"/>
              </w:rPr>
              <w:t>Figure</w:t>
            </w:r>
          </w:p>
        </w:tc>
        <w:tc>
          <w:tcPr>
            <w:tcW w:w="2400" w:type="dxa"/>
            <w:shd w:val="clear" w:color="auto" w:fill="1F3864"/>
            <w:tcMar>
              <w:top w:w="100" w:type="dxa"/>
              <w:left w:w="120" w:type="dxa"/>
              <w:bottom w:w="100" w:type="dxa"/>
              <w:right w:w="120" w:type="dxa"/>
            </w:tcMar>
            <w:vAlign w:val="center"/>
          </w:tcPr>
          <w:p w14:paraId="182CC21A" w14:textId="77777777" w:rsidR="00762B28" w:rsidRDefault="00000000">
            <w:r>
              <w:rPr>
                <w:b/>
                <w:bCs/>
                <w:color w:val="FFFFFF"/>
                <w:sz w:val="20"/>
                <w:szCs w:val="20"/>
              </w:rPr>
              <w:t>Source</w:t>
            </w:r>
          </w:p>
        </w:tc>
      </w:tr>
      <w:tr w:rsidR="00762B28" w14:paraId="2D1EDA03" w14:textId="77777777">
        <w:tc>
          <w:tcPr>
            <w:tcW w:w="4200" w:type="dxa"/>
            <w:tcMar>
              <w:top w:w="100" w:type="dxa"/>
              <w:left w:w="120" w:type="dxa"/>
              <w:bottom w:w="100" w:type="dxa"/>
              <w:right w:w="120" w:type="dxa"/>
            </w:tcMar>
            <w:vAlign w:val="center"/>
          </w:tcPr>
          <w:p w14:paraId="2B597714" w14:textId="77777777" w:rsidR="00762B28" w:rsidRDefault="00000000">
            <w:r>
              <w:rPr>
                <w:color w:val="000000"/>
                <w:sz w:val="20"/>
                <w:szCs w:val="20"/>
              </w:rPr>
              <w:t>Delayed payments owed to MSMEs nationally (FY24, inflation-adjusted)</w:t>
            </w:r>
          </w:p>
        </w:tc>
        <w:tc>
          <w:tcPr>
            <w:tcW w:w="2800" w:type="dxa"/>
            <w:tcMar>
              <w:top w:w="100" w:type="dxa"/>
              <w:left w:w="120" w:type="dxa"/>
              <w:bottom w:w="100" w:type="dxa"/>
              <w:right w:w="120" w:type="dxa"/>
            </w:tcMar>
            <w:vAlign w:val="center"/>
          </w:tcPr>
          <w:p w14:paraId="223A1634" w14:textId="77777777" w:rsidR="00762B28" w:rsidRDefault="00000000">
            <w:r>
              <w:rPr>
                <w:color w:val="000000"/>
                <w:sz w:val="20"/>
                <w:szCs w:val="20"/>
              </w:rPr>
              <w:t>₹7.34 lakh crore</w:t>
            </w:r>
          </w:p>
        </w:tc>
        <w:tc>
          <w:tcPr>
            <w:tcW w:w="2400" w:type="dxa"/>
            <w:tcMar>
              <w:top w:w="100" w:type="dxa"/>
              <w:left w:w="120" w:type="dxa"/>
              <w:bottom w:w="100" w:type="dxa"/>
              <w:right w:w="120" w:type="dxa"/>
            </w:tcMar>
            <w:vAlign w:val="center"/>
          </w:tcPr>
          <w:p w14:paraId="29729DDC" w14:textId="77777777" w:rsidR="00762B28" w:rsidRDefault="00000000">
            <w:r>
              <w:rPr>
                <w:color w:val="000000"/>
                <w:sz w:val="20"/>
                <w:szCs w:val="20"/>
              </w:rPr>
              <w:t>GAME / FISME / C2FO, Nov 2025</w:t>
            </w:r>
          </w:p>
        </w:tc>
      </w:tr>
      <w:tr w:rsidR="00762B28" w14:paraId="2020F336" w14:textId="77777777">
        <w:tc>
          <w:tcPr>
            <w:tcW w:w="4200" w:type="dxa"/>
            <w:shd w:val="clear" w:color="auto" w:fill="F2F2F2"/>
            <w:tcMar>
              <w:top w:w="100" w:type="dxa"/>
              <w:left w:w="120" w:type="dxa"/>
              <w:bottom w:w="100" w:type="dxa"/>
              <w:right w:w="120" w:type="dxa"/>
            </w:tcMar>
            <w:vAlign w:val="center"/>
          </w:tcPr>
          <w:p w14:paraId="139E7DCF" w14:textId="77777777" w:rsidR="00762B28" w:rsidRDefault="00000000">
            <w:r>
              <w:rPr>
                <w:color w:val="000000"/>
                <w:sz w:val="20"/>
                <w:szCs w:val="20"/>
              </w:rPr>
              <w:t>Total MSME dues reported locked in overdues annually</w:t>
            </w:r>
          </w:p>
        </w:tc>
        <w:tc>
          <w:tcPr>
            <w:tcW w:w="2800" w:type="dxa"/>
            <w:shd w:val="clear" w:color="auto" w:fill="F2F2F2"/>
            <w:tcMar>
              <w:top w:w="100" w:type="dxa"/>
              <w:left w:w="120" w:type="dxa"/>
              <w:bottom w:w="100" w:type="dxa"/>
              <w:right w:w="120" w:type="dxa"/>
            </w:tcMar>
            <w:vAlign w:val="center"/>
          </w:tcPr>
          <w:p w14:paraId="424D2413" w14:textId="77777777" w:rsidR="00762B28" w:rsidRDefault="00000000">
            <w:r>
              <w:rPr>
                <w:color w:val="000000"/>
                <w:sz w:val="20"/>
                <w:szCs w:val="20"/>
              </w:rPr>
              <w:t>₹11 lakh crore</w:t>
            </w:r>
          </w:p>
        </w:tc>
        <w:tc>
          <w:tcPr>
            <w:tcW w:w="2400" w:type="dxa"/>
            <w:shd w:val="clear" w:color="auto" w:fill="F2F2F2"/>
            <w:tcMar>
              <w:top w:w="100" w:type="dxa"/>
              <w:left w:w="120" w:type="dxa"/>
              <w:bottom w:w="100" w:type="dxa"/>
              <w:right w:w="120" w:type="dxa"/>
            </w:tcMar>
            <w:vAlign w:val="center"/>
          </w:tcPr>
          <w:p w14:paraId="246DB762" w14:textId="77777777" w:rsidR="00762B28" w:rsidRDefault="00000000">
            <w:r>
              <w:rPr>
                <w:color w:val="000000"/>
                <w:sz w:val="20"/>
                <w:szCs w:val="20"/>
              </w:rPr>
              <w:t>Rajya Sabha reply, Feb 2023</w:t>
            </w:r>
          </w:p>
        </w:tc>
      </w:tr>
      <w:tr w:rsidR="00762B28" w14:paraId="0E30E716" w14:textId="77777777">
        <w:tc>
          <w:tcPr>
            <w:tcW w:w="4200" w:type="dxa"/>
            <w:tcMar>
              <w:top w:w="100" w:type="dxa"/>
              <w:left w:w="120" w:type="dxa"/>
              <w:bottom w:w="100" w:type="dxa"/>
              <w:right w:w="120" w:type="dxa"/>
            </w:tcMar>
            <w:vAlign w:val="center"/>
          </w:tcPr>
          <w:p w14:paraId="2B1F1278" w14:textId="77777777" w:rsidR="00762B28" w:rsidRDefault="00000000">
            <w:r>
              <w:rPr>
                <w:color w:val="000000"/>
                <w:sz w:val="20"/>
                <w:szCs w:val="20"/>
              </w:rPr>
              <w:t>Active backlog on MSME Samadhaan (historical)</w:t>
            </w:r>
          </w:p>
        </w:tc>
        <w:tc>
          <w:tcPr>
            <w:tcW w:w="2800" w:type="dxa"/>
            <w:tcMar>
              <w:top w:w="100" w:type="dxa"/>
              <w:left w:w="120" w:type="dxa"/>
              <w:bottom w:w="100" w:type="dxa"/>
              <w:right w:w="120" w:type="dxa"/>
            </w:tcMar>
            <w:vAlign w:val="center"/>
          </w:tcPr>
          <w:p w14:paraId="621453BE" w14:textId="77777777" w:rsidR="00762B28" w:rsidRDefault="00000000">
            <w:r>
              <w:rPr>
                <w:color w:val="000000"/>
                <w:sz w:val="20"/>
                <w:szCs w:val="20"/>
              </w:rPr>
              <w:t>₹21,108 crore / 90,000+ applications</w:t>
            </w:r>
          </w:p>
        </w:tc>
        <w:tc>
          <w:tcPr>
            <w:tcW w:w="2400" w:type="dxa"/>
            <w:tcMar>
              <w:top w:w="100" w:type="dxa"/>
              <w:left w:w="120" w:type="dxa"/>
              <w:bottom w:w="100" w:type="dxa"/>
              <w:right w:w="120" w:type="dxa"/>
            </w:tcMar>
            <w:vAlign w:val="center"/>
          </w:tcPr>
          <w:p w14:paraId="40DD8B2C" w14:textId="77777777" w:rsidR="00762B28" w:rsidRDefault="00000000">
            <w:r>
              <w:rPr>
                <w:color w:val="000000"/>
                <w:sz w:val="20"/>
                <w:szCs w:val="20"/>
              </w:rPr>
              <w:t>MSME Samadhaan portal data</w:t>
            </w:r>
          </w:p>
        </w:tc>
      </w:tr>
      <w:tr w:rsidR="00762B28" w14:paraId="556071FD" w14:textId="77777777">
        <w:tc>
          <w:tcPr>
            <w:tcW w:w="4200" w:type="dxa"/>
            <w:shd w:val="clear" w:color="auto" w:fill="F2F2F2"/>
            <w:tcMar>
              <w:top w:w="100" w:type="dxa"/>
              <w:left w:w="120" w:type="dxa"/>
              <w:bottom w:w="100" w:type="dxa"/>
              <w:right w:w="120" w:type="dxa"/>
            </w:tcMar>
            <w:vAlign w:val="center"/>
          </w:tcPr>
          <w:p w14:paraId="051DF124" w14:textId="77777777" w:rsidR="00762B28" w:rsidRDefault="00000000">
            <w:r>
              <w:rPr>
                <w:color w:val="000000"/>
                <w:sz w:val="20"/>
                <w:szCs w:val="20"/>
              </w:rPr>
              <w:t>Dues owed by Central PSUs</w:t>
            </w:r>
          </w:p>
        </w:tc>
        <w:tc>
          <w:tcPr>
            <w:tcW w:w="2800" w:type="dxa"/>
            <w:shd w:val="clear" w:color="auto" w:fill="F2F2F2"/>
            <w:tcMar>
              <w:top w:w="100" w:type="dxa"/>
              <w:left w:w="120" w:type="dxa"/>
              <w:bottom w:w="100" w:type="dxa"/>
              <w:right w:w="120" w:type="dxa"/>
            </w:tcMar>
            <w:vAlign w:val="center"/>
          </w:tcPr>
          <w:p w14:paraId="68B8A3C1" w14:textId="77777777" w:rsidR="00762B28" w:rsidRDefault="00000000">
            <w:r>
              <w:rPr>
                <w:color w:val="000000"/>
                <w:sz w:val="20"/>
                <w:szCs w:val="20"/>
              </w:rPr>
              <w:t>₹2,191 crore</w:t>
            </w:r>
          </w:p>
        </w:tc>
        <w:tc>
          <w:tcPr>
            <w:tcW w:w="2400" w:type="dxa"/>
            <w:shd w:val="clear" w:color="auto" w:fill="F2F2F2"/>
            <w:tcMar>
              <w:top w:w="100" w:type="dxa"/>
              <w:left w:w="120" w:type="dxa"/>
              <w:bottom w:w="100" w:type="dxa"/>
              <w:right w:w="120" w:type="dxa"/>
            </w:tcMar>
            <w:vAlign w:val="center"/>
          </w:tcPr>
          <w:p w14:paraId="0E6F0D5D" w14:textId="77777777" w:rsidR="00762B28" w:rsidRDefault="00000000">
            <w:r>
              <w:rPr>
                <w:color w:val="000000"/>
                <w:sz w:val="20"/>
                <w:szCs w:val="20"/>
              </w:rPr>
              <w:t>MSME Samadhaan portal data</w:t>
            </w:r>
          </w:p>
        </w:tc>
      </w:tr>
      <w:tr w:rsidR="00762B28" w14:paraId="0D356F48" w14:textId="77777777">
        <w:tc>
          <w:tcPr>
            <w:tcW w:w="4200" w:type="dxa"/>
            <w:tcMar>
              <w:top w:w="100" w:type="dxa"/>
              <w:left w:w="120" w:type="dxa"/>
              <w:bottom w:w="100" w:type="dxa"/>
              <w:right w:w="120" w:type="dxa"/>
            </w:tcMar>
            <w:vAlign w:val="center"/>
          </w:tcPr>
          <w:p w14:paraId="7001E281" w14:textId="77777777" w:rsidR="00762B28" w:rsidRDefault="00000000">
            <w:r>
              <w:rPr>
                <w:color w:val="000000"/>
                <w:sz w:val="20"/>
                <w:szCs w:val="20"/>
              </w:rPr>
              <w:t>Dues owed by State Governments</w:t>
            </w:r>
          </w:p>
        </w:tc>
        <w:tc>
          <w:tcPr>
            <w:tcW w:w="2800" w:type="dxa"/>
            <w:tcMar>
              <w:top w:w="100" w:type="dxa"/>
              <w:left w:w="120" w:type="dxa"/>
              <w:bottom w:w="100" w:type="dxa"/>
              <w:right w:w="120" w:type="dxa"/>
            </w:tcMar>
            <w:vAlign w:val="center"/>
          </w:tcPr>
          <w:p w14:paraId="135B68C6" w14:textId="77777777" w:rsidR="00762B28" w:rsidRDefault="00000000">
            <w:r>
              <w:rPr>
                <w:color w:val="000000"/>
                <w:sz w:val="20"/>
                <w:szCs w:val="20"/>
              </w:rPr>
              <w:t>₹3,170 crore</w:t>
            </w:r>
          </w:p>
        </w:tc>
        <w:tc>
          <w:tcPr>
            <w:tcW w:w="2400" w:type="dxa"/>
            <w:tcMar>
              <w:top w:w="100" w:type="dxa"/>
              <w:left w:w="120" w:type="dxa"/>
              <w:bottom w:w="100" w:type="dxa"/>
              <w:right w:w="120" w:type="dxa"/>
            </w:tcMar>
            <w:vAlign w:val="center"/>
          </w:tcPr>
          <w:p w14:paraId="34CF3BC9" w14:textId="77777777" w:rsidR="00762B28" w:rsidRDefault="00000000">
            <w:r>
              <w:rPr>
                <w:color w:val="000000"/>
                <w:sz w:val="20"/>
                <w:szCs w:val="20"/>
              </w:rPr>
              <w:t>MSME Samadhaan portal data</w:t>
            </w:r>
          </w:p>
        </w:tc>
      </w:tr>
      <w:tr w:rsidR="00762B28" w14:paraId="7F6AE6D6" w14:textId="77777777">
        <w:tc>
          <w:tcPr>
            <w:tcW w:w="4200" w:type="dxa"/>
            <w:shd w:val="clear" w:color="auto" w:fill="F2F2F2"/>
            <w:tcMar>
              <w:top w:w="100" w:type="dxa"/>
              <w:left w:w="120" w:type="dxa"/>
              <w:bottom w:w="100" w:type="dxa"/>
              <w:right w:w="120" w:type="dxa"/>
            </w:tcMar>
            <w:vAlign w:val="center"/>
          </w:tcPr>
          <w:p w14:paraId="55FAC7CA" w14:textId="77777777" w:rsidR="00762B28" w:rsidRDefault="00000000">
            <w:r>
              <w:rPr>
                <w:color w:val="000000"/>
                <w:sz w:val="20"/>
                <w:szCs w:val="20"/>
              </w:rPr>
              <w:t>Five-year cumulative delayed-payment complaints filed</w:t>
            </w:r>
          </w:p>
        </w:tc>
        <w:tc>
          <w:tcPr>
            <w:tcW w:w="2800" w:type="dxa"/>
            <w:shd w:val="clear" w:color="auto" w:fill="F2F2F2"/>
            <w:tcMar>
              <w:top w:w="100" w:type="dxa"/>
              <w:left w:w="120" w:type="dxa"/>
              <w:bottom w:w="100" w:type="dxa"/>
              <w:right w:w="120" w:type="dxa"/>
            </w:tcMar>
            <w:vAlign w:val="center"/>
          </w:tcPr>
          <w:p w14:paraId="10CF77C9" w14:textId="77777777" w:rsidR="00762B28" w:rsidRDefault="00000000">
            <w:r>
              <w:rPr>
                <w:color w:val="000000"/>
                <w:sz w:val="20"/>
                <w:szCs w:val="20"/>
              </w:rPr>
              <w:t>₹32,345 crore / 1.26 lakh applications</w:t>
            </w:r>
          </w:p>
        </w:tc>
        <w:tc>
          <w:tcPr>
            <w:tcW w:w="2400" w:type="dxa"/>
            <w:shd w:val="clear" w:color="auto" w:fill="F2F2F2"/>
            <w:tcMar>
              <w:top w:w="100" w:type="dxa"/>
              <w:left w:w="120" w:type="dxa"/>
              <w:bottom w:w="100" w:type="dxa"/>
              <w:right w:w="120" w:type="dxa"/>
            </w:tcMar>
            <w:vAlign w:val="center"/>
          </w:tcPr>
          <w:p w14:paraId="023326FA" w14:textId="77777777" w:rsidR="00762B28" w:rsidRDefault="00000000">
            <w:r>
              <w:rPr>
                <w:color w:val="000000"/>
                <w:sz w:val="20"/>
                <w:szCs w:val="20"/>
              </w:rPr>
              <w:t>MSME Samadhaan, 5-year tally</w:t>
            </w:r>
          </w:p>
        </w:tc>
      </w:tr>
      <w:tr w:rsidR="00762B28" w14:paraId="361C9034" w14:textId="77777777">
        <w:tc>
          <w:tcPr>
            <w:tcW w:w="4200" w:type="dxa"/>
            <w:tcMar>
              <w:top w:w="100" w:type="dxa"/>
              <w:left w:w="120" w:type="dxa"/>
              <w:bottom w:w="100" w:type="dxa"/>
              <w:right w:w="120" w:type="dxa"/>
            </w:tcMar>
            <w:vAlign w:val="center"/>
          </w:tcPr>
          <w:p w14:paraId="43268B6B" w14:textId="77777777" w:rsidR="00762B28" w:rsidRDefault="00000000">
            <w:r>
              <w:rPr>
                <w:color w:val="000000"/>
                <w:sz w:val="20"/>
                <w:szCs w:val="20"/>
              </w:rPr>
              <w:t>Applications to which the government body gave no response at all</w:t>
            </w:r>
          </w:p>
        </w:tc>
        <w:tc>
          <w:tcPr>
            <w:tcW w:w="2800" w:type="dxa"/>
            <w:tcMar>
              <w:top w:w="100" w:type="dxa"/>
              <w:left w:w="120" w:type="dxa"/>
              <w:bottom w:w="100" w:type="dxa"/>
              <w:right w:w="120" w:type="dxa"/>
            </w:tcMar>
            <w:vAlign w:val="center"/>
          </w:tcPr>
          <w:p w14:paraId="38BF5306" w14:textId="77777777" w:rsidR="00762B28" w:rsidRDefault="00000000">
            <w:r>
              <w:rPr>
                <w:color w:val="000000"/>
                <w:sz w:val="20"/>
                <w:szCs w:val="20"/>
              </w:rPr>
              <w:t>14,739 of 18,203 (approx. 81%)</w:t>
            </w:r>
          </w:p>
        </w:tc>
        <w:tc>
          <w:tcPr>
            <w:tcW w:w="2400" w:type="dxa"/>
            <w:tcMar>
              <w:top w:w="100" w:type="dxa"/>
              <w:left w:w="120" w:type="dxa"/>
              <w:bottom w:w="100" w:type="dxa"/>
              <w:right w:w="120" w:type="dxa"/>
            </w:tcMar>
            <w:vAlign w:val="center"/>
          </w:tcPr>
          <w:p w14:paraId="1EE0EE24" w14:textId="77777777" w:rsidR="00762B28" w:rsidRDefault="00000000">
            <w:r>
              <w:rPr>
                <w:color w:val="000000"/>
                <w:sz w:val="20"/>
                <w:szCs w:val="20"/>
              </w:rPr>
              <w:t>Industry report citing Samadhaan data</w:t>
            </w:r>
          </w:p>
        </w:tc>
      </w:tr>
    </w:tbl>
    <w:p w14:paraId="00D4EC6B" w14:textId="77777777" w:rsidR="00762B28" w:rsidRDefault="00000000">
      <w:pPr>
        <w:spacing w:after="240"/>
      </w:pPr>
      <w:r>
        <w:rPr>
          <w:i/>
          <w:iCs/>
          <w:color w:val="666666"/>
          <w:sz w:val="18"/>
          <w:szCs w:val="18"/>
        </w:rPr>
        <w:t>Note: figures are drawn from different reporting snapshots (2021–2025) and are not intended to be additive; they collectively establish the persistent scale and severity of the underlying problem rather than a single reconciled total.</w:t>
      </w:r>
    </w:p>
    <w:p w14:paraId="037E69F7" w14:textId="77777777" w:rsidR="00762B28" w:rsidRDefault="00000000">
      <w:pPr>
        <w:spacing w:after="160" w:line="276" w:lineRule="auto"/>
        <w:jc w:val="both"/>
      </w:pPr>
      <w:r>
        <w:t>Government sources have specifically and by name identified Railways, electricity, and aeronautics as the sectors in which MSME suppliers are owed the most money — this is a documented, named finding rather than an inferred extension of the general national problem.</w:t>
      </w:r>
    </w:p>
    <w:p w14:paraId="23B3D8D6" w14:textId="77777777" w:rsidR="00762B28" w:rsidRDefault="00000000">
      <w:pPr>
        <w:pStyle w:val="Heading2"/>
      </w:pPr>
      <w:r>
        <w:t>4.2 Compounding and Secondary Losses</w:t>
      </w:r>
    </w:p>
    <w:p w14:paraId="4592603E" w14:textId="77777777" w:rsidR="00762B28" w:rsidRDefault="00000000">
      <w:pPr>
        <w:spacing w:after="160" w:line="276" w:lineRule="auto"/>
        <w:jc w:val="both"/>
      </w:pPr>
      <w:r>
        <w:t>A late payment is not an isolated loss; it initiates a chain of secondary financial consequences:</w:t>
      </w:r>
    </w:p>
    <w:p w14:paraId="1B83048D" w14:textId="77777777" w:rsidR="00762B28" w:rsidRDefault="00000000">
      <w:pPr>
        <w:pStyle w:val="ListParagraph"/>
        <w:numPr>
          <w:ilvl w:val="0"/>
          <w:numId w:val="2"/>
        </w:numPr>
        <w:spacing w:after="100" w:line="276" w:lineRule="auto"/>
      </w:pPr>
      <w:r>
        <w:t>Statutory compound interest at three times the RBI bank rate exists under Section 16 of the MSMED Act, but is rarely calculated or claimed by vendors themselves, who often lack the tools or confidence to enforce it.</w:t>
      </w:r>
    </w:p>
    <w:p w14:paraId="0C52651A" w14:textId="77777777" w:rsidR="00762B28" w:rsidRDefault="00000000">
      <w:pPr>
        <w:pStyle w:val="ListParagraph"/>
        <w:numPr>
          <w:ilvl w:val="0"/>
          <w:numId w:val="2"/>
        </w:numPr>
        <w:spacing w:after="100" w:line="276" w:lineRule="auto"/>
      </w:pPr>
      <w:r>
        <w:t>An appeal against an MSEFC award requires the buyer to deposit 75% of the awarded amount, a provision that — while intended to protect MSMEs — has been documented to discourage larger buyers from contracting with registered MSMEs at all, or to pressure vendors into relinquishing MSME status to preserve the business relationship.</w:t>
      </w:r>
    </w:p>
    <w:p w14:paraId="4FFD3BAF" w14:textId="77777777" w:rsidR="00762B28" w:rsidRDefault="00000000">
      <w:pPr>
        <w:pStyle w:val="ListParagraph"/>
        <w:numPr>
          <w:ilvl w:val="0"/>
          <w:numId w:val="2"/>
        </w:numPr>
        <w:spacing w:after="100" w:line="276" w:lineRule="auto"/>
      </w:pPr>
      <w:r>
        <w:t>Since the Finance Act, 2023 (Section 43B(h) of the Income Tax Act), a buyer who delays payment beyond the statutory period cannot claim a tax deduction for that expense until the year it is actually paid — a deterrent that exists in law but requires visibility to be leveraged.</w:t>
      </w:r>
    </w:p>
    <w:p w14:paraId="40E78CFA" w14:textId="77777777" w:rsidR="00762B28" w:rsidRDefault="00000000">
      <w:pPr>
        <w:pStyle w:val="ListParagraph"/>
        <w:numPr>
          <w:ilvl w:val="0"/>
          <w:numId w:val="2"/>
        </w:numPr>
        <w:spacing w:after="100" w:line="276" w:lineRule="auto"/>
      </w:pPr>
      <w:r>
        <w:t>MSME loan accounts are classified as Non-Performing Assets after a 90-day default window under prevailing banking norms — a timeline that can be breached due to a government buyer's own delay, damaging the MSME's credit standing for a default that originated with its customer, not itself.</w:t>
      </w:r>
    </w:p>
    <w:p w14:paraId="0E183BF3" w14:textId="77777777" w:rsidR="00762B28" w:rsidRDefault="00000000">
      <w:pPr>
        <w:pStyle w:val="ListParagraph"/>
        <w:numPr>
          <w:ilvl w:val="0"/>
          <w:numId w:val="2"/>
        </w:numPr>
        <w:spacing w:after="100" w:line="276" w:lineRule="auto"/>
      </w:pPr>
      <w:r>
        <w:t>Mandated 20% procurement quota non-compliance and retroactive specification changes carry direct financial consequences for affected vendors (lost business opportunity and inventory write-offs respectively), but neither is tracked in any aggregated national dataset identified during this research.</w:t>
      </w:r>
    </w:p>
    <w:p w14:paraId="52C086AF" w14:textId="77777777" w:rsidR="00762B28" w:rsidRDefault="00000000">
      <w:pPr>
        <w:pStyle w:val="Heading2"/>
      </w:pPr>
      <w:r>
        <w:lastRenderedPageBreak/>
        <w:t>4.3 Communication and Coordination Breakdown</w:t>
      </w:r>
    </w:p>
    <w:p w14:paraId="3EFBC443" w14:textId="77777777" w:rsidR="00762B28" w:rsidRDefault="00000000">
      <w:pPr>
        <w:spacing w:after="160" w:line="276" w:lineRule="auto"/>
        <w:jc w:val="both"/>
      </w:pPr>
      <w:r>
        <w:t>Beyond the financial figures, this research identified a recurring structural pattern: information required to prevent or contest a loss typically already exists somewhere within the procurement system, but does not reach the vendor at the point where it would be actionable.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762B28" w14:paraId="1FE4BA61" w14:textId="77777777">
        <w:trPr>
          <w:tblHeader/>
        </w:trPr>
        <w:tc>
          <w:tcPr>
            <w:tcW w:w="3200" w:type="dxa"/>
            <w:shd w:val="clear" w:color="auto" w:fill="1F3864"/>
            <w:tcMar>
              <w:top w:w="100" w:type="dxa"/>
              <w:left w:w="120" w:type="dxa"/>
              <w:bottom w:w="100" w:type="dxa"/>
              <w:right w:w="120" w:type="dxa"/>
            </w:tcMar>
            <w:vAlign w:val="center"/>
          </w:tcPr>
          <w:p w14:paraId="5BA50C44" w14:textId="77777777" w:rsidR="00762B28" w:rsidRDefault="00000000">
            <w:r>
              <w:rPr>
                <w:b/>
                <w:bCs/>
                <w:color w:val="FFFFFF"/>
                <w:sz w:val="20"/>
                <w:szCs w:val="20"/>
              </w:rPr>
              <w:t>Break in the Chain</w:t>
            </w:r>
          </w:p>
        </w:tc>
        <w:tc>
          <w:tcPr>
            <w:tcW w:w="5600" w:type="dxa"/>
            <w:shd w:val="clear" w:color="auto" w:fill="1F3864"/>
            <w:tcMar>
              <w:top w:w="100" w:type="dxa"/>
              <w:left w:w="120" w:type="dxa"/>
              <w:bottom w:w="100" w:type="dxa"/>
              <w:right w:w="120" w:type="dxa"/>
            </w:tcMar>
            <w:vAlign w:val="center"/>
          </w:tcPr>
          <w:p w14:paraId="65D462F2" w14:textId="77777777" w:rsidR="00762B28" w:rsidRDefault="00000000">
            <w:r>
              <w:rPr>
                <w:b/>
                <w:bCs/>
                <w:color w:val="FFFFFF"/>
                <w:sz w:val="20"/>
                <w:szCs w:val="20"/>
              </w:rPr>
              <w:t>Evidence</w:t>
            </w:r>
          </w:p>
        </w:tc>
      </w:tr>
      <w:tr w:rsidR="00762B28" w14:paraId="18B59178" w14:textId="77777777">
        <w:tc>
          <w:tcPr>
            <w:tcW w:w="3200" w:type="dxa"/>
            <w:tcMar>
              <w:top w:w="100" w:type="dxa"/>
              <w:left w:w="120" w:type="dxa"/>
              <w:bottom w:w="100" w:type="dxa"/>
              <w:right w:w="120" w:type="dxa"/>
            </w:tcMar>
            <w:vAlign w:val="center"/>
          </w:tcPr>
          <w:p w14:paraId="24CED443" w14:textId="77777777" w:rsidR="00762B28" w:rsidRDefault="00000000">
            <w:r>
              <w:rPr>
                <w:color w:val="000000"/>
                <w:sz w:val="20"/>
                <w:szCs w:val="20"/>
              </w:rPr>
              <w:t>Vendor and real-time payment status</w:t>
            </w:r>
          </w:p>
        </w:tc>
        <w:tc>
          <w:tcPr>
            <w:tcW w:w="5600" w:type="dxa"/>
            <w:tcMar>
              <w:top w:w="100" w:type="dxa"/>
              <w:left w:w="120" w:type="dxa"/>
              <w:bottom w:w="100" w:type="dxa"/>
              <w:right w:w="120" w:type="dxa"/>
            </w:tcMar>
            <w:vAlign w:val="center"/>
          </w:tcPr>
          <w:p w14:paraId="2DB1CA95" w14:textId="77777777" w:rsidR="00762B28" w:rsidRDefault="00000000">
            <w:r>
              <w:rPr>
                <w:color w:val="000000"/>
                <w:sz w:val="20"/>
                <w:szCs w:val="20"/>
              </w:rPr>
              <w:t>No self-serve system shows a vendor its invoice's live position within the 45-day window.</w:t>
            </w:r>
          </w:p>
        </w:tc>
      </w:tr>
      <w:tr w:rsidR="00762B28" w14:paraId="35910F80" w14:textId="77777777">
        <w:tc>
          <w:tcPr>
            <w:tcW w:w="3200" w:type="dxa"/>
            <w:shd w:val="clear" w:color="auto" w:fill="F2F2F2"/>
            <w:tcMar>
              <w:top w:w="100" w:type="dxa"/>
              <w:left w:w="120" w:type="dxa"/>
              <w:bottom w:w="100" w:type="dxa"/>
              <w:right w:w="120" w:type="dxa"/>
            </w:tcMar>
            <w:vAlign w:val="center"/>
          </w:tcPr>
          <w:p w14:paraId="089A6C2F" w14:textId="77777777" w:rsidR="00762B28" w:rsidRDefault="00000000">
            <w:r>
              <w:rPr>
                <w:color w:val="000000"/>
                <w:sz w:val="20"/>
                <w:szCs w:val="20"/>
              </w:rPr>
              <w:t>Vendor and quota-compliance data</w:t>
            </w:r>
          </w:p>
        </w:tc>
        <w:tc>
          <w:tcPr>
            <w:tcW w:w="5600" w:type="dxa"/>
            <w:shd w:val="clear" w:color="auto" w:fill="F2F2F2"/>
            <w:tcMar>
              <w:top w:w="100" w:type="dxa"/>
              <w:left w:w="120" w:type="dxa"/>
              <w:bottom w:w="100" w:type="dxa"/>
              <w:right w:w="120" w:type="dxa"/>
            </w:tcMar>
            <w:vAlign w:val="center"/>
          </w:tcPr>
          <w:p w14:paraId="2734F468" w14:textId="77777777" w:rsidR="00762B28" w:rsidRDefault="00000000">
            <w:r>
              <w:rPr>
                <w:color w:val="000000"/>
                <w:sz w:val="20"/>
                <w:szCs w:val="20"/>
              </w:rPr>
              <w:t>A documented 2016 case shows a vendor's quota-non-compliance complaint was redirected back to the same office it was filed against, with no independent data to substantiate the claim.</w:t>
            </w:r>
          </w:p>
        </w:tc>
      </w:tr>
      <w:tr w:rsidR="00762B28" w14:paraId="23FE9A8E" w14:textId="77777777">
        <w:tc>
          <w:tcPr>
            <w:tcW w:w="3200" w:type="dxa"/>
            <w:tcMar>
              <w:top w:w="100" w:type="dxa"/>
              <w:left w:w="120" w:type="dxa"/>
              <w:bottom w:w="100" w:type="dxa"/>
              <w:right w:w="120" w:type="dxa"/>
            </w:tcMar>
            <w:vAlign w:val="center"/>
          </w:tcPr>
          <w:p w14:paraId="190C738D" w14:textId="77777777" w:rsidR="00762B28" w:rsidRDefault="00000000">
            <w:r>
              <w:rPr>
                <w:color w:val="000000"/>
                <w:sz w:val="20"/>
                <w:szCs w:val="20"/>
              </w:rPr>
              <w:t>Vendor and specification changes</w:t>
            </w:r>
          </w:p>
        </w:tc>
        <w:tc>
          <w:tcPr>
            <w:tcW w:w="5600" w:type="dxa"/>
            <w:tcMar>
              <w:top w:w="100" w:type="dxa"/>
              <w:left w:w="120" w:type="dxa"/>
              <w:bottom w:w="100" w:type="dxa"/>
              <w:right w:w="120" w:type="dxa"/>
            </w:tcMar>
            <w:vAlign w:val="center"/>
          </w:tcPr>
          <w:p w14:paraId="0DB997BB" w14:textId="77777777" w:rsidR="00762B28" w:rsidRDefault="00000000">
            <w:r>
              <w:rPr>
                <w:color w:val="000000"/>
                <w:sz w:val="20"/>
                <w:szCs w:val="20"/>
              </w:rPr>
              <w:t>A documented 2025 case shows vendors learning of a retroactive specification change only when their compliant stock was already being rejected.</w:t>
            </w:r>
          </w:p>
        </w:tc>
      </w:tr>
      <w:tr w:rsidR="00762B28" w14:paraId="3B14DA5A" w14:textId="77777777">
        <w:tc>
          <w:tcPr>
            <w:tcW w:w="3200" w:type="dxa"/>
            <w:shd w:val="clear" w:color="auto" w:fill="F2F2F2"/>
            <w:tcMar>
              <w:top w:w="100" w:type="dxa"/>
              <w:left w:w="120" w:type="dxa"/>
              <w:bottom w:w="100" w:type="dxa"/>
              <w:right w:w="120" w:type="dxa"/>
            </w:tcMar>
            <w:vAlign w:val="center"/>
          </w:tcPr>
          <w:p w14:paraId="797C0735" w14:textId="77777777" w:rsidR="00762B28" w:rsidRDefault="00000000">
            <w:r>
              <w:rPr>
                <w:color w:val="000000"/>
                <w:sz w:val="20"/>
                <w:szCs w:val="20"/>
              </w:rPr>
              <w:t>Internal audit and live tender records</w:t>
            </w:r>
          </w:p>
        </w:tc>
        <w:tc>
          <w:tcPr>
            <w:tcW w:w="5600" w:type="dxa"/>
            <w:shd w:val="clear" w:color="auto" w:fill="F2F2F2"/>
            <w:tcMar>
              <w:top w:w="100" w:type="dxa"/>
              <w:left w:w="120" w:type="dxa"/>
              <w:bottom w:w="100" w:type="dxa"/>
              <w:right w:w="120" w:type="dxa"/>
            </w:tcMar>
            <w:vAlign w:val="center"/>
          </w:tcPr>
          <w:p w14:paraId="262D835A" w14:textId="77777777" w:rsidR="00762B28" w:rsidRDefault="00000000">
            <w:r>
              <w:rPr>
                <w:color w:val="000000"/>
                <w:sz w:val="20"/>
                <w:szCs w:val="20"/>
              </w:rPr>
              <w:t>An internal Railway Board order was required to grant the Vigilance Department itself view-access to finalized Tender Committee Proceedings, indicating even internal oversight lacked default access.</w:t>
            </w:r>
          </w:p>
        </w:tc>
      </w:tr>
      <w:tr w:rsidR="00762B28" w14:paraId="3EC3B35E" w14:textId="77777777">
        <w:tc>
          <w:tcPr>
            <w:tcW w:w="3200" w:type="dxa"/>
            <w:tcMar>
              <w:top w:w="100" w:type="dxa"/>
              <w:left w:w="120" w:type="dxa"/>
              <w:bottom w:w="100" w:type="dxa"/>
              <w:right w:w="120" w:type="dxa"/>
            </w:tcMar>
            <w:vAlign w:val="center"/>
          </w:tcPr>
          <w:p w14:paraId="2A09938D" w14:textId="77777777" w:rsidR="00762B28" w:rsidRDefault="00000000">
            <w:r>
              <w:rPr>
                <w:color w:val="000000"/>
                <w:sz w:val="20"/>
                <w:szCs w:val="20"/>
              </w:rPr>
              <w:t>Central ministry and enforcement authority</w:t>
            </w:r>
          </w:p>
        </w:tc>
        <w:tc>
          <w:tcPr>
            <w:tcW w:w="5600" w:type="dxa"/>
            <w:tcMar>
              <w:top w:w="100" w:type="dxa"/>
              <w:left w:w="120" w:type="dxa"/>
              <w:bottom w:w="100" w:type="dxa"/>
              <w:right w:w="120" w:type="dxa"/>
            </w:tcMar>
            <w:vAlign w:val="center"/>
          </w:tcPr>
          <w:p w14:paraId="4C6E4E6E" w14:textId="77777777" w:rsidR="00762B28" w:rsidRDefault="00000000">
            <w:r>
              <w:rPr>
                <w:color w:val="000000"/>
                <w:sz w:val="20"/>
                <w:szCs w:val="20"/>
              </w:rPr>
              <w:t>The Ministry of MSME has stated in Parliament that it can urge, but cannot compel, state governments, PSEs, or private corporates to pay MSMEs on time.</w:t>
            </w:r>
          </w:p>
        </w:tc>
      </w:tr>
    </w:tbl>
    <w:p w14:paraId="74C4FC14" w14:textId="77777777" w:rsidR="00762B28" w:rsidRDefault="00000000">
      <w:pPr>
        <w:pStyle w:val="Heading1"/>
      </w:pPr>
      <w:r>
        <w:t>5. Review of Existing Government Solutions</w:t>
      </w:r>
    </w:p>
    <w:p w14:paraId="440790CA" w14:textId="77777777" w:rsidR="00762B28" w:rsidRDefault="00000000">
      <w:pPr>
        <w:pStyle w:val="Heading2"/>
      </w:pPr>
      <w:r>
        <w:t>5.1 MSME Samadhaan Portal (2017–2025)</w:t>
      </w:r>
    </w:p>
    <w:p w14:paraId="714A633B" w14:textId="77777777" w:rsidR="00762B28" w:rsidRDefault="00000000">
      <w:pPr>
        <w:spacing w:after="160" w:line="276" w:lineRule="auto"/>
        <w:jc w:val="both"/>
      </w:pPr>
      <w:r>
        <w:t>Launched on 30 October 2017 by the Ministry of MSME, Samadhaan enabled MSMEs to file delayed-payment complaints directly with the state-level Micro and Small Enterprise Facilitation Council (MSEFC), and to track case status online. Effective 15 October 2025, Samadhaan stopped accepting new case filings; it now functions only as a status-tracking archive for cases filed before that date, with all new filings redirected to its successor.</w:t>
      </w:r>
    </w:p>
    <w:p w14:paraId="4DCDC412" w14:textId="77777777" w:rsidR="00762B28" w:rsidRDefault="00000000">
      <w:pPr>
        <w:pStyle w:val="Heading2"/>
      </w:pPr>
      <w:r>
        <w:t>5.2 MSME ODR Portal (2025–present)</w:t>
      </w:r>
    </w:p>
    <w:p w14:paraId="69E7C745" w14:textId="77777777" w:rsidR="00762B28" w:rsidRDefault="00000000">
      <w:pPr>
        <w:spacing w:after="160" w:line="276" w:lineRule="auto"/>
        <w:jc w:val="both"/>
      </w:pPr>
      <w:r>
        <w:t>The MSME Online Dispute Resolution (ODR) Portal (odr.msme.gov.in) was launched on 27 June 2025 and made the mandatory, exclusive channel for new delayed-payment cases from 15 October 2025. It introduces a two-stage process:</w:t>
      </w:r>
    </w:p>
    <w:p w14:paraId="7BD48F02" w14:textId="77777777" w:rsidR="00762B28" w:rsidRDefault="00000000">
      <w:pPr>
        <w:pStyle w:val="ListParagraph"/>
        <w:numPr>
          <w:ilvl w:val="0"/>
          <w:numId w:val="2"/>
        </w:numPr>
        <w:spacing w:after="100" w:line="276" w:lineRule="auto"/>
      </w:pPr>
      <w:r>
        <w:t>Stage 1 — Pre-MSEFC: a voluntary, confidential, out-of-court negotiation or mediation process, undertaken only with the consent of both parties.</w:t>
      </w:r>
    </w:p>
    <w:p w14:paraId="247F43FA" w14:textId="77777777" w:rsidR="00762B28" w:rsidRDefault="00000000">
      <w:pPr>
        <w:pStyle w:val="ListParagraph"/>
        <w:numPr>
          <w:ilvl w:val="0"/>
          <w:numId w:val="2"/>
        </w:numPr>
        <w:spacing w:after="100" w:line="276" w:lineRule="auto"/>
      </w:pPr>
      <w:r>
        <w:t>Stage 2 — MSEFC: the statutory conciliation and arbitration process under the MSMED Act, 2006, entered automatically if Stage 1 fails or either party opts out. MSEFC awards carry the force of a court decree and are enforceable through the District Collector.</w:t>
      </w:r>
    </w:p>
    <w:p w14:paraId="415F9839" w14:textId="77777777" w:rsidR="00762B28" w:rsidRDefault="00000000">
      <w:pPr>
        <w:spacing w:after="160" w:line="276" w:lineRule="auto"/>
        <w:jc w:val="both"/>
      </w:pPr>
      <w:r>
        <w:t>The ODR Portal includes a built-in interest calculator, real-time case-status tracking, an aggregate statistics dashboard, and financial assistance of up to ₹4,000 per case under the RAMP scheme. Only Micro and Small Enterprises with valid Udyam Registration may use it; Medium enterprises are explicitly excluded from the entire mechanism.</w:t>
      </w:r>
    </w:p>
    <w:p w14:paraId="0B5FAAB6" w14:textId="77777777" w:rsidR="00762B28" w:rsidRDefault="00000000">
      <w:pPr>
        <w:pStyle w:val="Heading1"/>
      </w:pPr>
      <w:r>
        <w:lastRenderedPageBreak/>
        <w:t>6. Feature Compatibility Matrix</w:t>
      </w:r>
    </w:p>
    <w:p w14:paraId="7024C016" w14:textId="77777777" w:rsidR="00762B28" w:rsidRDefault="00000000">
      <w:pPr>
        <w:spacing w:after="160" w:line="276" w:lineRule="auto"/>
        <w:jc w:val="both"/>
      </w:pPr>
      <w:r>
        <w:t>The table below compares the current MSME ODR Portal against the features proposed for the system described in this report.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000"/>
      </w:tblGrid>
      <w:tr w:rsidR="00762B28" w14:paraId="5F0AEBB6" w14:textId="77777777">
        <w:trPr>
          <w:tblHeader/>
        </w:trPr>
        <w:tc>
          <w:tcPr>
            <w:tcW w:w="2600" w:type="dxa"/>
            <w:shd w:val="clear" w:color="auto" w:fill="1F3864"/>
            <w:tcMar>
              <w:top w:w="100" w:type="dxa"/>
              <w:left w:w="120" w:type="dxa"/>
              <w:bottom w:w="100" w:type="dxa"/>
              <w:right w:w="120" w:type="dxa"/>
            </w:tcMar>
            <w:vAlign w:val="center"/>
          </w:tcPr>
          <w:p w14:paraId="4CEA0021" w14:textId="77777777" w:rsidR="00762B28" w:rsidRDefault="00000000">
            <w:r>
              <w:rPr>
                <w:b/>
                <w:bCs/>
                <w:color w:val="FFFFFF"/>
                <w:sz w:val="20"/>
                <w:szCs w:val="20"/>
              </w:rPr>
              <w:t>Feature</w:t>
            </w:r>
          </w:p>
        </w:tc>
        <w:tc>
          <w:tcPr>
            <w:tcW w:w="3200" w:type="dxa"/>
            <w:shd w:val="clear" w:color="auto" w:fill="1F3864"/>
            <w:tcMar>
              <w:top w:w="100" w:type="dxa"/>
              <w:left w:w="120" w:type="dxa"/>
              <w:bottom w:w="100" w:type="dxa"/>
              <w:right w:w="120" w:type="dxa"/>
            </w:tcMar>
            <w:vAlign w:val="center"/>
          </w:tcPr>
          <w:p w14:paraId="4813E0CF" w14:textId="77777777" w:rsidR="00762B28" w:rsidRDefault="00000000">
            <w:r>
              <w:rPr>
                <w:b/>
                <w:bCs/>
                <w:color w:val="FFFFFF"/>
                <w:sz w:val="20"/>
                <w:szCs w:val="20"/>
              </w:rPr>
              <w:t>MSME ODR Portal (Government)</w:t>
            </w:r>
          </w:p>
        </w:tc>
        <w:tc>
          <w:tcPr>
            <w:tcW w:w="3000" w:type="dxa"/>
            <w:shd w:val="clear" w:color="auto" w:fill="1F3864"/>
            <w:tcMar>
              <w:top w:w="100" w:type="dxa"/>
              <w:left w:w="120" w:type="dxa"/>
              <w:bottom w:w="100" w:type="dxa"/>
              <w:right w:w="120" w:type="dxa"/>
            </w:tcMar>
            <w:vAlign w:val="center"/>
          </w:tcPr>
          <w:p w14:paraId="3DA4317A" w14:textId="77777777" w:rsidR="00762B28" w:rsidRDefault="00000000">
            <w:r>
              <w:rPr>
                <w:b/>
                <w:bCs/>
                <w:color w:val="FFFFFF"/>
                <w:sz w:val="20"/>
                <w:szCs w:val="20"/>
              </w:rPr>
              <w:t>Proposed System</w:t>
            </w:r>
          </w:p>
        </w:tc>
      </w:tr>
      <w:tr w:rsidR="00762B28" w14:paraId="3F345B59" w14:textId="77777777">
        <w:tc>
          <w:tcPr>
            <w:tcW w:w="2600" w:type="dxa"/>
            <w:tcMar>
              <w:top w:w="100" w:type="dxa"/>
              <w:left w:w="120" w:type="dxa"/>
              <w:bottom w:w="100" w:type="dxa"/>
              <w:right w:w="120" w:type="dxa"/>
            </w:tcMar>
            <w:vAlign w:val="center"/>
          </w:tcPr>
          <w:p w14:paraId="41018F84" w14:textId="77777777" w:rsidR="00762B28" w:rsidRDefault="00000000">
            <w:r>
              <w:rPr>
                <w:color w:val="000000"/>
                <w:sz w:val="20"/>
                <w:szCs w:val="20"/>
              </w:rPr>
              <w:t>Point of activation</w:t>
            </w:r>
          </w:p>
        </w:tc>
        <w:tc>
          <w:tcPr>
            <w:tcW w:w="3200" w:type="dxa"/>
            <w:tcMar>
              <w:top w:w="100" w:type="dxa"/>
              <w:left w:w="120" w:type="dxa"/>
              <w:bottom w:w="100" w:type="dxa"/>
              <w:right w:w="120" w:type="dxa"/>
            </w:tcMar>
            <w:vAlign w:val="center"/>
          </w:tcPr>
          <w:p w14:paraId="73EB9218" w14:textId="77777777" w:rsidR="00762B28" w:rsidRDefault="00000000">
            <w:r>
              <w:rPr>
                <w:color w:val="000000"/>
                <w:sz w:val="20"/>
                <w:szCs w:val="20"/>
              </w:rPr>
              <w:t>After a payment default has occurred</w:t>
            </w:r>
          </w:p>
        </w:tc>
        <w:tc>
          <w:tcPr>
            <w:tcW w:w="3000" w:type="dxa"/>
            <w:tcMar>
              <w:top w:w="100" w:type="dxa"/>
              <w:left w:w="120" w:type="dxa"/>
              <w:bottom w:w="100" w:type="dxa"/>
              <w:right w:w="120" w:type="dxa"/>
            </w:tcMar>
            <w:vAlign w:val="center"/>
          </w:tcPr>
          <w:p w14:paraId="2F508613" w14:textId="77777777" w:rsidR="00762B28" w:rsidRDefault="00000000">
            <w:r>
              <w:rPr>
                <w:color w:val="000000"/>
                <w:sz w:val="20"/>
                <w:szCs w:val="20"/>
              </w:rPr>
              <w:t>Before a payment default occurs</w:t>
            </w:r>
          </w:p>
        </w:tc>
      </w:tr>
      <w:tr w:rsidR="00762B28" w14:paraId="36872940" w14:textId="77777777">
        <w:tc>
          <w:tcPr>
            <w:tcW w:w="2600" w:type="dxa"/>
            <w:shd w:val="clear" w:color="auto" w:fill="F2F2F2"/>
            <w:tcMar>
              <w:top w:w="100" w:type="dxa"/>
              <w:left w:w="120" w:type="dxa"/>
              <w:bottom w:w="100" w:type="dxa"/>
              <w:right w:w="120" w:type="dxa"/>
            </w:tcMar>
            <w:vAlign w:val="center"/>
          </w:tcPr>
          <w:p w14:paraId="56A13401" w14:textId="77777777" w:rsidR="00762B28" w:rsidRDefault="00000000">
            <w:r>
              <w:rPr>
                <w:color w:val="000000"/>
                <w:sz w:val="20"/>
                <w:szCs w:val="20"/>
              </w:rPr>
              <w:t>Core function</w:t>
            </w:r>
          </w:p>
        </w:tc>
        <w:tc>
          <w:tcPr>
            <w:tcW w:w="3200" w:type="dxa"/>
            <w:shd w:val="clear" w:color="auto" w:fill="F2F2F2"/>
            <w:tcMar>
              <w:top w:w="100" w:type="dxa"/>
              <w:left w:w="120" w:type="dxa"/>
              <w:bottom w:w="100" w:type="dxa"/>
              <w:right w:w="120" w:type="dxa"/>
            </w:tcMar>
            <w:vAlign w:val="center"/>
          </w:tcPr>
          <w:p w14:paraId="0154FFEE" w14:textId="77777777" w:rsidR="00762B28" w:rsidRDefault="00000000">
            <w:r>
              <w:rPr>
                <w:color w:val="000000"/>
                <w:sz w:val="20"/>
                <w:szCs w:val="20"/>
              </w:rPr>
              <w:t>Dispute negotiation and arbitration</w:t>
            </w:r>
          </w:p>
        </w:tc>
        <w:tc>
          <w:tcPr>
            <w:tcW w:w="3000" w:type="dxa"/>
            <w:shd w:val="clear" w:color="auto" w:fill="F2F2F2"/>
            <w:tcMar>
              <w:top w:w="100" w:type="dxa"/>
              <w:left w:w="120" w:type="dxa"/>
              <w:bottom w:w="100" w:type="dxa"/>
              <w:right w:w="120" w:type="dxa"/>
            </w:tcMar>
            <w:vAlign w:val="center"/>
          </w:tcPr>
          <w:p w14:paraId="34EB00B7" w14:textId="77777777" w:rsidR="00762B28" w:rsidRDefault="00000000">
            <w:r>
              <w:rPr>
                <w:color w:val="000000"/>
                <w:sz w:val="20"/>
                <w:szCs w:val="20"/>
              </w:rPr>
              <w:t>Monitoring, alerting, and risk visibility</w:t>
            </w:r>
          </w:p>
        </w:tc>
      </w:tr>
      <w:tr w:rsidR="00762B28" w14:paraId="2CA82CBB" w14:textId="77777777">
        <w:tc>
          <w:tcPr>
            <w:tcW w:w="2600" w:type="dxa"/>
            <w:tcMar>
              <w:top w:w="100" w:type="dxa"/>
              <w:left w:w="120" w:type="dxa"/>
              <w:bottom w:w="100" w:type="dxa"/>
              <w:right w:w="120" w:type="dxa"/>
            </w:tcMar>
            <w:vAlign w:val="center"/>
          </w:tcPr>
          <w:p w14:paraId="7A464723" w14:textId="77777777" w:rsidR="00762B28" w:rsidRDefault="00000000">
            <w:r>
              <w:rPr>
                <w:color w:val="000000"/>
                <w:sz w:val="20"/>
                <w:szCs w:val="20"/>
              </w:rPr>
              <w:t>45-day payment clock visibility</w:t>
            </w:r>
          </w:p>
        </w:tc>
        <w:tc>
          <w:tcPr>
            <w:tcW w:w="3200" w:type="dxa"/>
            <w:tcMar>
              <w:top w:w="100" w:type="dxa"/>
              <w:left w:w="120" w:type="dxa"/>
              <w:bottom w:w="100" w:type="dxa"/>
              <w:right w:w="120" w:type="dxa"/>
            </w:tcMar>
            <w:vAlign w:val="center"/>
          </w:tcPr>
          <w:p w14:paraId="75240BCA" w14:textId="77777777" w:rsidR="00762B28" w:rsidRDefault="00000000">
            <w:r>
              <w:rPr>
                <w:color w:val="000000"/>
                <w:sz w:val="20"/>
                <w:szCs w:val="20"/>
              </w:rPr>
              <w:t>Not tracked prior to filing</w:t>
            </w:r>
          </w:p>
        </w:tc>
        <w:tc>
          <w:tcPr>
            <w:tcW w:w="3000" w:type="dxa"/>
            <w:tcMar>
              <w:top w:w="100" w:type="dxa"/>
              <w:left w:w="120" w:type="dxa"/>
              <w:bottom w:w="100" w:type="dxa"/>
              <w:right w:w="120" w:type="dxa"/>
            </w:tcMar>
            <w:vAlign w:val="center"/>
          </w:tcPr>
          <w:p w14:paraId="02E52AD0" w14:textId="77777777" w:rsidR="00762B28" w:rsidRDefault="00000000">
            <w:r>
              <w:rPr>
                <w:color w:val="000000"/>
                <w:sz w:val="20"/>
                <w:szCs w:val="20"/>
              </w:rPr>
              <w:t>Tracked live, from invoice acceptance</w:t>
            </w:r>
          </w:p>
        </w:tc>
      </w:tr>
      <w:tr w:rsidR="00762B28" w14:paraId="199687DD" w14:textId="77777777">
        <w:tc>
          <w:tcPr>
            <w:tcW w:w="2600" w:type="dxa"/>
            <w:shd w:val="clear" w:color="auto" w:fill="F2F2F2"/>
            <w:tcMar>
              <w:top w:w="100" w:type="dxa"/>
              <w:left w:w="120" w:type="dxa"/>
              <w:bottom w:w="100" w:type="dxa"/>
              <w:right w:w="120" w:type="dxa"/>
            </w:tcMar>
            <w:vAlign w:val="center"/>
          </w:tcPr>
          <w:p w14:paraId="4AC8BA22" w14:textId="77777777" w:rsidR="00762B28" w:rsidRDefault="00000000">
            <w:r>
              <w:rPr>
                <w:color w:val="000000"/>
                <w:sz w:val="20"/>
                <w:szCs w:val="20"/>
              </w:rPr>
              <w:t>Interest liability calculation</w:t>
            </w:r>
          </w:p>
        </w:tc>
        <w:tc>
          <w:tcPr>
            <w:tcW w:w="3200" w:type="dxa"/>
            <w:shd w:val="clear" w:color="auto" w:fill="F2F2F2"/>
            <w:tcMar>
              <w:top w:w="100" w:type="dxa"/>
              <w:left w:w="120" w:type="dxa"/>
              <w:bottom w:w="100" w:type="dxa"/>
              <w:right w:w="120" w:type="dxa"/>
            </w:tcMar>
            <w:vAlign w:val="center"/>
          </w:tcPr>
          <w:p w14:paraId="11997DAD" w14:textId="77777777" w:rsidR="00762B28" w:rsidRDefault="00000000">
            <w:r>
              <w:rPr>
                <w:color w:val="000000"/>
                <w:sz w:val="20"/>
                <w:szCs w:val="20"/>
              </w:rPr>
              <w:t>Calculated at time of filing</w:t>
            </w:r>
          </w:p>
        </w:tc>
        <w:tc>
          <w:tcPr>
            <w:tcW w:w="3000" w:type="dxa"/>
            <w:shd w:val="clear" w:color="auto" w:fill="F2F2F2"/>
            <w:tcMar>
              <w:top w:w="100" w:type="dxa"/>
              <w:left w:w="120" w:type="dxa"/>
              <w:bottom w:w="100" w:type="dxa"/>
              <w:right w:w="120" w:type="dxa"/>
            </w:tcMar>
            <w:vAlign w:val="center"/>
          </w:tcPr>
          <w:p w14:paraId="487708B9" w14:textId="77777777" w:rsidR="00762B28" w:rsidRDefault="00000000">
            <w:r>
              <w:rPr>
                <w:color w:val="000000"/>
                <w:sz w:val="20"/>
                <w:szCs w:val="20"/>
              </w:rPr>
              <w:t>Calculated continuously, visible before filing is needed</w:t>
            </w:r>
          </w:p>
        </w:tc>
      </w:tr>
      <w:tr w:rsidR="00762B28" w14:paraId="04A07399" w14:textId="77777777">
        <w:tc>
          <w:tcPr>
            <w:tcW w:w="2600" w:type="dxa"/>
            <w:tcMar>
              <w:top w:w="100" w:type="dxa"/>
              <w:left w:w="120" w:type="dxa"/>
              <w:bottom w:w="100" w:type="dxa"/>
              <w:right w:w="120" w:type="dxa"/>
            </w:tcMar>
            <w:vAlign w:val="center"/>
          </w:tcPr>
          <w:p w14:paraId="3EE6D6EB" w14:textId="77777777" w:rsidR="00762B28" w:rsidRDefault="00000000">
            <w:r>
              <w:rPr>
                <w:color w:val="000000"/>
                <w:sz w:val="20"/>
                <w:szCs w:val="20"/>
              </w:rPr>
              <w:t>20% procurement quota monitoring</w:t>
            </w:r>
          </w:p>
        </w:tc>
        <w:tc>
          <w:tcPr>
            <w:tcW w:w="3200" w:type="dxa"/>
            <w:tcMar>
              <w:top w:w="100" w:type="dxa"/>
              <w:left w:w="120" w:type="dxa"/>
              <w:bottom w:w="100" w:type="dxa"/>
              <w:right w:w="120" w:type="dxa"/>
            </w:tcMar>
            <w:vAlign w:val="center"/>
          </w:tcPr>
          <w:p w14:paraId="38CFC09A" w14:textId="77777777" w:rsidR="00762B28" w:rsidRDefault="00000000">
            <w:r>
              <w:rPr>
                <w:color w:val="000000"/>
                <w:sz w:val="20"/>
                <w:szCs w:val="20"/>
              </w:rPr>
              <w:t>Not covered</w:t>
            </w:r>
          </w:p>
        </w:tc>
        <w:tc>
          <w:tcPr>
            <w:tcW w:w="3000" w:type="dxa"/>
            <w:tcMar>
              <w:top w:w="100" w:type="dxa"/>
              <w:left w:w="120" w:type="dxa"/>
              <w:bottom w:w="100" w:type="dxa"/>
              <w:right w:w="120" w:type="dxa"/>
            </w:tcMar>
            <w:vAlign w:val="center"/>
          </w:tcPr>
          <w:p w14:paraId="151C9583" w14:textId="77777777" w:rsidR="00762B28" w:rsidRDefault="00000000">
            <w:r>
              <w:rPr>
                <w:color w:val="000000"/>
                <w:sz w:val="20"/>
                <w:szCs w:val="20"/>
              </w:rPr>
              <w:t>Tracked per buyer/zone</w:t>
            </w:r>
          </w:p>
        </w:tc>
      </w:tr>
      <w:tr w:rsidR="00762B28" w14:paraId="7EB9C665" w14:textId="77777777">
        <w:tc>
          <w:tcPr>
            <w:tcW w:w="2600" w:type="dxa"/>
            <w:shd w:val="clear" w:color="auto" w:fill="F2F2F2"/>
            <w:tcMar>
              <w:top w:w="100" w:type="dxa"/>
              <w:left w:w="120" w:type="dxa"/>
              <w:bottom w:w="100" w:type="dxa"/>
              <w:right w:w="120" w:type="dxa"/>
            </w:tcMar>
            <w:vAlign w:val="center"/>
          </w:tcPr>
          <w:p w14:paraId="1A7F601E" w14:textId="77777777" w:rsidR="00762B28" w:rsidRDefault="00000000">
            <w:r>
              <w:rPr>
                <w:color w:val="000000"/>
                <w:sz w:val="20"/>
                <w:szCs w:val="20"/>
              </w:rPr>
              <w:t>Specification-change alerts</w:t>
            </w:r>
          </w:p>
        </w:tc>
        <w:tc>
          <w:tcPr>
            <w:tcW w:w="3200" w:type="dxa"/>
            <w:shd w:val="clear" w:color="auto" w:fill="F2F2F2"/>
            <w:tcMar>
              <w:top w:w="100" w:type="dxa"/>
              <w:left w:w="120" w:type="dxa"/>
              <w:bottom w:w="100" w:type="dxa"/>
              <w:right w:w="120" w:type="dxa"/>
            </w:tcMar>
            <w:vAlign w:val="center"/>
          </w:tcPr>
          <w:p w14:paraId="239726D5" w14:textId="77777777" w:rsidR="00762B28" w:rsidRDefault="00000000">
            <w:r>
              <w:rPr>
                <w:color w:val="000000"/>
                <w:sz w:val="20"/>
                <w:szCs w:val="20"/>
              </w:rPr>
              <w:t>Not covered</w:t>
            </w:r>
          </w:p>
        </w:tc>
        <w:tc>
          <w:tcPr>
            <w:tcW w:w="3000" w:type="dxa"/>
            <w:shd w:val="clear" w:color="auto" w:fill="F2F2F2"/>
            <w:tcMar>
              <w:top w:w="100" w:type="dxa"/>
              <w:left w:w="120" w:type="dxa"/>
              <w:bottom w:w="100" w:type="dxa"/>
              <w:right w:w="120" w:type="dxa"/>
            </w:tcMar>
            <w:vAlign w:val="center"/>
          </w:tcPr>
          <w:p w14:paraId="78B97B3D" w14:textId="77777777" w:rsidR="00762B28" w:rsidRDefault="00000000">
            <w:r>
              <w:rPr>
                <w:color w:val="000000"/>
                <w:sz w:val="20"/>
                <w:szCs w:val="20"/>
              </w:rPr>
              <w:t>Tracked and flagged to affected vendors</w:t>
            </w:r>
          </w:p>
        </w:tc>
      </w:tr>
      <w:tr w:rsidR="00762B28" w14:paraId="2661C816" w14:textId="77777777">
        <w:tc>
          <w:tcPr>
            <w:tcW w:w="2600" w:type="dxa"/>
            <w:tcMar>
              <w:top w:w="100" w:type="dxa"/>
              <w:left w:w="120" w:type="dxa"/>
              <w:bottom w:w="100" w:type="dxa"/>
              <w:right w:w="120" w:type="dxa"/>
            </w:tcMar>
            <w:vAlign w:val="center"/>
          </w:tcPr>
          <w:p w14:paraId="37FD1EFB" w14:textId="77777777" w:rsidR="00762B28" w:rsidRDefault="00000000">
            <w:r>
              <w:rPr>
                <w:color w:val="000000"/>
                <w:sz w:val="20"/>
                <w:szCs w:val="20"/>
              </w:rPr>
              <w:t>Buyer/zone payment-risk profiling</w:t>
            </w:r>
          </w:p>
        </w:tc>
        <w:tc>
          <w:tcPr>
            <w:tcW w:w="3200" w:type="dxa"/>
            <w:tcMar>
              <w:top w:w="100" w:type="dxa"/>
              <w:left w:w="120" w:type="dxa"/>
              <w:bottom w:w="100" w:type="dxa"/>
              <w:right w:w="120" w:type="dxa"/>
            </w:tcMar>
            <w:vAlign w:val="center"/>
          </w:tcPr>
          <w:p w14:paraId="049A5AA1" w14:textId="77777777" w:rsidR="00762B28" w:rsidRDefault="00000000">
            <w:r>
              <w:rPr>
                <w:color w:val="000000"/>
                <w:sz w:val="20"/>
                <w:szCs w:val="20"/>
              </w:rPr>
              <w:t>National aggregate statistics only</w:t>
            </w:r>
          </w:p>
        </w:tc>
        <w:tc>
          <w:tcPr>
            <w:tcW w:w="3000" w:type="dxa"/>
            <w:tcMar>
              <w:top w:w="100" w:type="dxa"/>
              <w:left w:w="120" w:type="dxa"/>
              <w:bottom w:w="100" w:type="dxa"/>
              <w:right w:w="120" w:type="dxa"/>
            </w:tcMar>
            <w:vAlign w:val="center"/>
          </w:tcPr>
          <w:p w14:paraId="309384FE" w14:textId="77777777" w:rsidR="00762B28" w:rsidRDefault="00000000">
            <w:r>
              <w:rPr>
                <w:color w:val="000000"/>
                <w:sz w:val="20"/>
                <w:szCs w:val="20"/>
              </w:rPr>
              <w:t>Per-buyer, per-zone risk visibility for bidding decisions</w:t>
            </w:r>
          </w:p>
        </w:tc>
      </w:tr>
      <w:tr w:rsidR="00762B28" w14:paraId="4400F8E4" w14:textId="77777777">
        <w:tc>
          <w:tcPr>
            <w:tcW w:w="2600" w:type="dxa"/>
            <w:shd w:val="clear" w:color="auto" w:fill="F2F2F2"/>
            <w:tcMar>
              <w:top w:w="100" w:type="dxa"/>
              <w:left w:w="120" w:type="dxa"/>
              <w:bottom w:w="100" w:type="dxa"/>
              <w:right w:w="120" w:type="dxa"/>
            </w:tcMar>
            <w:vAlign w:val="center"/>
          </w:tcPr>
          <w:p w14:paraId="1045B63B" w14:textId="77777777" w:rsidR="00762B28" w:rsidRDefault="00000000">
            <w:r>
              <w:rPr>
                <w:color w:val="000000"/>
                <w:sz w:val="20"/>
                <w:szCs w:val="20"/>
              </w:rPr>
              <w:t>Eligible users</w:t>
            </w:r>
          </w:p>
        </w:tc>
        <w:tc>
          <w:tcPr>
            <w:tcW w:w="3200" w:type="dxa"/>
            <w:shd w:val="clear" w:color="auto" w:fill="F2F2F2"/>
            <w:tcMar>
              <w:top w:w="100" w:type="dxa"/>
              <w:left w:w="120" w:type="dxa"/>
              <w:bottom w:w="100" w:type="dxa"/>
              <w:right w:w="120" w:type="dxa"/>
            </w:tcMar>
            <w:vAlign w:val="center"/>
          </w:tcPr>
          <w:p w14:paraId="5D6CBEC9" w14:textId="77777777" w:rsidR="00762B28" w:rsidRDefault="00000000">
            <w:r>
              <w:rPr>
                <w:color w:val="000000"/>
                <w:sz w:val="20"/>
                <w:szCs w:val="20"/>
              </w:rPr>
              <w:t>Micro and Small only</w:t>
            </w:r>
          </w:p>
        </w:tc>
        <w:tc>
          <w:tcPr>
            <w:tcW w:w="3000" w:type="dxa"/>
            <w:shd w:val="clear" w:color="auto" w:fill="F2F2F2"/>
            <w:tcMar>
              <w:top w:w="100" w:type="dxa"/>
              <w:left w:w="120" w:type="dxa"/>
              <w:bottom w:w="100" w:type="dxa"/>
              <w:right w:w="120" w:type="dxa"/>
            </w:tcMar>
            <w:vAlign w:val="center"/>
          </w:tcPr>
          <w:p w14:paraId="2FE01E8E" w14:textId="77777777" w:rsidR="00762B28" w:rsidRDefault="00000000">
            <w:r>
              <w:rPr>
                <w:color w:val="000000"/>
                <w:sz w:val="20"/>
                <w:szCs w:val="20"/>
              </w:rPr>
              <w:t>Micro, Small, and Medium</w:t>
            </w:r>
          </w:p>
        </w:tc>
      </w:tr>
      <w:tr w:rsidR="00762B28" w14:paraId="6567E3F8" w14:textId="77777777">
        <w:tc>
          <w:tcPr>
            <w:tcW w:w="2600" w:type="dxa"/>
            <w:tcMar>
              <w:top w:w="100" w:type="dxa"/>
              <w:left w:w="120" w:type="dxa"/>
              <w:bottom w:w="100" w:type="dxa"/>
              <w:right w:w="120" w:type="dxa"/>
            </w:tcMar>
            <w:vAlign w:val="center"/>
          </w:tcPr>
          <w:p w14:paraId="74590B5B" w14:textId="77777777" w:rsidR="00762B28" w:rsidRDefault="00000000">
            <w:r>
              <w:rPr>
                <w:color w:val="000000"/>
                <w:sz w:val="20"/>
                <w:szCs w:val="20"/>
              </w:rPr>
              <w:t>Pre-filled ODR case preparation</w:t>
            </w:r>
          </w:p>
        </w:tc>
        <w:tc>
          <w:tcPr>
            <w:tcW w:w="3200" w:type="dxa"/>
            <w:tcMar>
              <w:top w:w="100" w:type="dxa"/>
              <w:left w:w="120" w:type="dxa"/>
              <w:bottom w:w="100" w:type="dxa"/>
              <w:right w:w="120" w:type="dxa"/>
            </w:tcMar>
            <w:vAlign w:val="center"/>
          </w:tcPr>
          <w:p w14:paraId="17159BAC" w14:textId="77777777" w:rsidR="00762B28" w:rsidRDefault="00000000">
            <w:r>
              <w:rPr>
                <w:color w:val="000000"/>
                <w:sz w:val="20"/>
                <w:szCs w:val="20"/>
              </w:rPr>
              <w:t>Not applicable</w:t>
            </w:r>
          </w:p>
        </w:tc>
        <w:tc>
          <w:tcPr>
            <w:tcW w:w="3000" w:type="dxa"/>
            <w:tcMar>
              <w:top w:w="100" w:type="dxa"/>
              <w:left w:w="120" w:type="dxa"/>
              <w:bottom w:w="100" w:type="dxa"/>
              <w:right w:w="120" w:type="dxa"/>
            </w:tcMar>
            <w:vAlign w:val="center"/>
          </w:tcPr>
          <w:p w14:paraId="3301C178" w14:textId="77777777" w:rsidR="00762B28" w:rsidRDefault="00000000">
            <w:r>
              <w:rPr>
                <w:color w:val="000000"/>
                <w:sz w:val="20"/>
                <w:szCs w:val="20"/>
              </w:rPr>
              <w:t>Proposed as an integration, not a replacement</w:t>
            </w:r>
          </w:p>
        </w:tc>
      </w:tr>
      <w:tr w:rsidR="00762B28" w14:paraId="2AD9861B" w14:textId="77777777">
        <w:tc>
          <w:tcPr>
            <w:tcW w:w="2600" w:type="dxa"/>
            <w:shd w:val="clear" w:color="auto" w:fill="F2F2F2"/>
            <w:tcMar>
              <w:top w:w="100" w:type="dxa"/>
              <w:left w:w="120" w:type="dxa"/>
              <w:bottom w:w="100" w:type="dxa"/>
              <w:right w:w="120" w:type="dxa"/>
            </w:tcMar>
            <w:vAlign w:val="center"/>
          </w:tcPr>
          <w:p w14:paraId="5DA196F4" w14:textId="77777777" w:rsidR="00762B28" w:rsidRDefault="00000000">
            <w:r>
              <w:rPr>
                <w:color w:val="000000"/>
                <w:sz w:val="20"/>
                <w:szCs w:val="20"/>
              </w:rPr>
              <w:t>Legal enforceability of outcome</w:t>
            </w:r>
          </w:p>
        </w:tc>
        <w:tc>
          <w:tcPr>
            <w:tcW w:w="3200" w:type="dxa"/>
            <w:shd w:val="clear" w:color="auto" w:fill="F2F2F2"/>
            <w:tcMar>
              <w:top w:w="100" w:type="dxa"/>
              <w:left w:w="120" w:type="dxa"/>
              <w:bottom w:w="100" w:type="dxa"/>
              <w:right w:w="120" w:type="dxa"/>
            </w:tcMar>
            <w:vAlign w:val="center"/>
          </w:tcPr>
          <w:p w14:paraId="1B290421" w14:textId="77777777" w:rsidR="00762B28" w:rsidRDefault="00000000">
            <w:r>
              <w:rPr>
                <w:color w:val="000000"/>
                <w:sz w:val="20"/>
                <w:szCs w:val="20"/>
              </w:rPr>
              <w:t>Yes (binding MSEFC award)</w:t>
            </w:r>
          </w:p>
        </w:tc>
        <w:tc>
          <w:tcPr>
            <w:tcW w:w="3000" w:type="dxa"/>
            <w:shd w:val="clear" w:color="auto" w:fill="F2F2F2"/>
            <w:tcMar>
              <w:top w:w="100" w:type="dxa"/>
              <w:left w:w="120" w:type="dxa"/>
              <w:bottom w:w="100" w:type="dxa"/>
              <w:right w:w="120" w:type="dxa"/>
            </w:tcMar>
            <w:vAlign w:val="center"/>
          </w:tcPr>
          <w:p w14:paraId="0F9038A3" w14:textId="77777777" w:rsidR="00762B28" w:rsidRDefault="00000000">
            <w:r>
              <w:rPr>
                <w:color w:val="000000"/>
                <w:sz w:val="20"/>
                <w:szCs w:val="20"/>
              </w:rPr>
              <w:t>Not applicable — feeds into ODR rather than replacing it</w:t>
            </w:r>
          </w:p>
        </w:tc>
      </w:tr>
    </w:tbl>
    <w:p w14:paraId="75FA78D2" w14:textId="77777777" w:rsidR="00762B28" w:rsidRDefault="00000000">
      <w:pPr>
        <w:pStyle w:val="Heading1"/>
      </w:pPr>
      <w:r>
        <w:t>7. Gap Analysis</w:t>
      </w:r>
    </w:p>
    <w:p w14:paraId="24FA0747" w14:textId="77777777" w:rsidR="00762B28" w:rsidRDefault="00000000">
      <w:pPr>
        <w:spacing w:after="160" w:line="276" w:lineRule="auto"/>
        <w:jc w:val="both"/>
      </w:pPr>
      <w:r>
        <w:t>Despite the 2025 upgrade from Samadhaan to the ODR Portal, the following gaps remain unaddressed by any identified government or private system:</w:t>
      </w:r>
    </w:p>
    <w:p w14:paraId="26F5F35B" w14:textId="77777777" w:rsidR="00762B28" w:rsidRDefault="00000000">
      <w:pPr>
        <w:pStyle w:val="ListParagraph"/>
        <w:numPr>
          <w:ilvl w:val="0"/>
          <w:numId w:val="2"/>
        </w:numPr>
        <w:spacing w:after="100" w:line="276" w:lineRule="auto"/>
      </w:pPr>
      <w:r>
        <w:t>No proactive, real-time tracking of a vendor's own invoices against the statutory 45-day payment window.</w:t>
      </w:r>
    </w:p>
    <w:p w14:paraId="4485A541" w14:textId="77777777" w:rsidR="00762B28" w:rsidRDefault="00000000">
      <w:pPr>
        <w:pStyle w:val="ListParagraph"/>
        <w:numPr>
          <w:ilvl w:val="0"/>
          <w:numId w:val="2"/>
        </w:numPr>
        <w:spacing w:after="100" w:line="276" w:lineRule="auto"/>
      </w:pPr>
      <w:r>
        <w:t>No monitoring of a buying zone's actual compliance with the mandated 20% MSME procurement quota, and no independent evidence base a vendor can use to substantiate a quota-related grievance.</w:t>
      </w:r>
    </w:p>
    <w:p w14:paraId="5621751F" w14:textId="77777777" w:rsidR="00762B28" w:rsidRDefault="00000000">
      <w:pPr>
        <w:pStyle w:val="ListParagraph"/>
        <w:numPr>
          <w:ilvl w:val="0"/>
          <w:numId w:val="2"/>
        </w:numPr>
        <w:spacing w:after="100" w:line="276" w:lineRule="auto"/>
      </w:pPr>
      <w:r>
        <w:t>No advance-warning mechanism for retroactive specification changes that could affect already-manufactured inventory.</w:t>
      </w:r>
    </w:p>
    <w:p w14:paraId="5C96FD2D" w14:textId="77777777" w:rsidR="00762B28" w:rsidRDefault="00000000">
      <w:pPr>
        <w:pStyle w:val="ListParagraph"/>
        <w:numPr>
          <w:ilvl w:val="0"/>
          <w:numId w:val="2"/>
        </w:numPr>
        <w:spacing w:after="100" w:line="276" w:lineRule="auto"/>
      </w:pPr>
      <w:r>
        <w:t>No searchable, comparative view of payment reliability across different government buyers or zones, which would allow a vendor to make an informed decision before bidding on a tender.</w:t>
      </w:r>
    </w:p>
    <w:p w14:paraId="277B9C2A" w14:textId="77777777" w:rsidR="00762B28" w:rsidRDefault="00000000">
      <w:pPr>
        <w:pStyle w:val="ListParagraph"/>
        <w:numPr>
          <w:ilvl w:val="0"/>
          <w:numId w:val="2"/>
        </w:numPr>
        <w:spacing w:after="100" w:line="276" w:lineRule="auto"/>
      </w:pPr>
      <w:r>
        <w:t>No coverage whatsoever for Medium enterprises, who are excluded from the ODR/MSEFC mechanism entirely and therefore have no institutional recourse at all under this framework.</w:t>
      </w:r>
    </w:p>
    <w:p w14:paraId="4C22B18D" w14:textId="77777777" w:rsidR="00762B28" w:rsidRDefault="00000000">
      <w:pPr>
        <w:pStyle w:val="ListParagraph"/>
        <w:numPr>
          <w:ilvl w:val="0"/>
          <w:numId w:val="2"/>
        </w:numPr>
        <w:spacing w:after="100" w:line="276" w:lineRule="auto"/>
      </w:pPr>
      <w:r>
        <w:lastRenderedPageBreak/>
        <w:t>No integration between a vendor's own invoicing and purchase-order records and the government dispute system — a vendor must independently notice a problem before any government tool becomes relevant.</w:t>
      </w:r>
    </w:p>
    <w:p w14:paraId="6A025433" w14:textId="77777777" w:rsidR="00762B28" w:rsidRDefault="00000000">
      <w:pPr>
        <w:pStyle w:val="Heading1"/>
      </w:pPr>
      <w:r>
        <w:t>8. Proposed System</w:t>
      </w:r>
    </w:p>
    <w:p w14:paraId="76650A88" w14:textId="77777777" w:rsidR="00762B28" w:rsidRDefault="00000000">
      <w:pPr>
        <w:pStyle w:val="Heading2"/>
      </w:pPr>
      <w:r>
        <w:t>8.1 Core Proposed Features</w:t>
      </w:r>
    </w:p>
    <w:p w14:paraId="1D51F3BA" w14:textId="77777777" w:rsidR="00762B28" w:rsidRDefault="00000000">
      <w:pPr>
        <w:pStyle w:val="ListParagraph"/>
        <w:numPr>
          <w:ilvl w:val="0"/>
          <w:numId w:val="2"/>
        </w:numPr>
        <w:spacing w:after="100" w:line="276" w:lineRule="auto"/>
      </w:pPr>
      <w:r>
        <w:t>Invoice and payment-clock tracker: ingestion of a vendor's purchase orders and invoices, with a live countdown against the statutory 45-day (or contractually shorter) payment window, and automated alerts at defined risk thresholds (for example, 15 days and 5 days before breach).</w:t>
      </w:r>
    </w:p>
    <w:p w14:paraId="6BFFE4D5" w14:textId="77777777" w:rsidR="00762B28" w:rsidRDefault="00000000">
      <w:pPr>
        <w:pStyle w:val="ListParagraph"/>
        <w:numPr>
          <w:ilvl w:val="0"/>
          <w:numId w:val="2"/>
        </w:numPr>
        <w:spacing w:after="100" w:line="276" w:lineRule="auto"/>
      </w:pPr>
      <w:r>
        <w:t>Interest-liability calculator: continuous calculation of the compound interest a vendor is legally owed under Section 16 of the MSMED Act, visible to the vendor at all times, not only at the point of filing a dispute.</w:t>
      </w:r>
    </w:p>
    <w:p w14:paraId="52FABD68" w14:textId="77777777" w:rsidR="00762B28" w:rsidRDefault="00000000">
      <w:pPr>
        <w:pStyle w:val="ListParagraph"/>
        <w:numPr>
          <w:ilvl w:val="0"/>
          <w:numId w:val="2"/>
        </w:numPr>
        <w:spacing w:after="100" w:line="276" w:lineRule="auto"/>
      </w:pPr>
      <w:r>
        <w:t>Quota-compliance dashboard: aggregation of publicly available tender and award data, where accessible, to estimate a buying zone's MSME procurement share against the 20% mandate, and flag likely shortfalls.</w:t>
      </w:r>
    </w:p>
    <w:p w14:paraId="78412CB3" w14:textId="77777777" w:rsidR="00762B28" w:rsidRDefault="00000000">
      <w:pPr>
        <w:pStyle w:val="ListParagraph"/>
        <w:numPr>
          <w:ilvl w:val="0"/>
          <w:numId w:val="2"/>
        </w:numPr>
        <w:spacing w:after="100" w:line="276" w:lineRule="auto"/>
      </w:pPr>
      <w:r>
        <w:t>Specification-change alert feed: monitoring of publicly issued Railway Board circulars and bulletins relevant to a vendor's registered product categories, with alerts when a change could affect existing or in-progress stock.</w:t>
      </w:r>
    </w:p>
    <w:p w14:paraId="775CBAC5" w14:textId="77777777" w:rsidR="00762B28" w:rsidRDefault="00000000">
      <w:pPr>
        <w:pStyle w:val="ListParagraph"/>
        <w:numPr>
          <w:ilvl w:val="0"/>
          <w:numId w:val="2"/>
        </w:numPr>
        <w:spacing w:after="100" w:line="276" w:lineRule="auto"/>
      </w:pPr>
      <w:r>
        <w:t>Buyer/zone risk profiling: an aggregated, comparative view of payment timeliness and dispute history by buying zone, to inform a vendor's tender-selection decisions.</w:t>
      </w:r>
    </w:p>
    <w:p w14:paraId="3B761F90" w14:textId="77777777" w:rsidR="00762B28" w:rsidRDefault="00000000">
      <w:pPr>
        <w:pStyle w:val="ListParagraph"/>
        <w:numPr>
          <w:ilvl w:val="0"/>
          <w:numId w:val="2"/>
        </w:numPr>
        <w:spacing w:after="100" w:line="276" w:lineRule="auto"/>
      </w:pPr>
      <w:r>
        <w:t>ODR pre-fill integration: where a dispute becomes unavoidable, automatic preparation of the data required for MSME ODR Portal filing, using information already tracked by the system, to reduce the vendor's filing effort rather than duplicate the government's own resolution function.</w:t>
      </w:r>
    </w:p>
    <w:p w14:paraId="3DA5A4DD" w14:textId="77777777" w:rsidR="00762B28" w:rsidRDefault="00000000">
      <w:pPr>
        <w:pStyle w:val="Heading2"/>
      </w:pPr>
      <w:r>
        <w:t>8.2 Positioning Relative to the Existing Government System</w:t>
      </w:r>
    </w:p>
    <w:p w14:paraId="16B28C0D" w14:textId="77777777" w:rsidR="00762B28" w:rsidRDefault="00000000">
      <w:pPr>
        <w:spacing w:after="160" w:line="276" w:lineRule="auto"/>
        <w:jc w:val="both"/>
      </w:pPr>
      <w:r>
        <w:t>The proposed system is deliberately designed as a complement to, not a replacement for, the MSME ODR Portal. It does not perform dispute resolution, conciliation, arbitration, or any function that carries legal weight — all such functions remain the sole responsibility of the Government's own mechanism. The system's function is limited to monitoring, calculation, and early warning, positioned entirely upstream of the point at which a formal dispute becomes necessary.</w:t>
      </w:r>
    </w:p>
    <w:p w14:paraId="5AB3996D" w14:textId="77777777" w:rsidR="00762B28" w:rsidRDefault="00000000">
      <w:pPr>
        <w:pStyle w:val="Heading1"/>
      </w:pPr>
      <w:r>
        <w:t>9. Feasibility and Scope Considerations</w:t>
      </w:r>
    </w:p>
    <w:p w14:paraId="3711C81C" w14:textId="77777777" w:rsidR="00762B28" w:rsidRDefault="00000000">
      <w:pPr>
        <w:spacing w:after="160" w:line="276" w:lineRule="auto"/>
        <w:jc w:val="both"/>
      </w:pPr>
      <w:r>
        <w:t>The following factors have been identified as relevant to the technical and practical feasibility of this system and should inform its development scope:</w:t>
      </w:r>
    </w:p>
    <w:p w14:paraId="4036A806" w14:textId="77777777" w:rsidR="00762B28" w:rsidRDefault="00000000">
      <w:pPr>
        <w:pStyle w:val="ListParagraph"/>
        <w:numPr>
          <w:ilvl w:val="0"/>
          <w:numId w:val="2"/>
        </w:numPr>
        <w:spacing w:after="100" w:line="276" w:lineRule="auto"/>
      </w:pPr>
      <w:r>
        <w:t>Data access: no confirmed public, developer-accessible API was identified for IREPS (Indian Railways' internal e-procurement system); even internal Railway Vigilance officials have historically required a specific administrative order to gain view-access to finalized tender records. A first version of this system would likely need to rely on vendor-supplied data (their own invoices and purchase orders) rather than direct government-data integration, with quota and buyer-risk features developed as a secondary phase using whatever public tender data can be reliably and legally obtained.</w:t>
      </w:r>
    </w:p>
    <w:p w14:paraId="0BD8BD75" w14:textId="77777777" w:rsidR="00762B28" w:rsidRDefault="00000000">
      <w:pPr>
        <w:pStyle w:val="ListParagraph"/>
        <w:numPr>
          <w:ilvl w:val="0"/>
          <w:numId w:val="2"/>
        </w:numPr>
        <w:spacing w:after="100" w:line="276" w:lineRule="auto"/>
      </w:pPr>
      <w:r>
        <w:lastRenderedPageBreak/>
        <w:t>Regulatory boundary: the system must avoid any function that could be construed as offering legal advice, arbitration, or a competing dispute-resolution service, to remain clearly complementary to the statutory ODR mechanism.</w:t>
      </w:r>
    </w:p>
    <w:p w14:paraId="14E8EBBA" w14:textId="77777777" w:rsidR="00762B28" w:rsidRDefault="00000000">
      <w:pPr>
        <w:pStyle w:val="ListParagraph"/>
        <w:numPr>
          <w:ilvl w:val="0"/>
          <w:numId w:val="2"/>
        </w:numPr>
        <w:spacing w:after="100" w:line="276" w:lineRule="auto"/>
      </w:pPr>
      <w:r>
        <w:t>User segment prioritization: given that Medium enterprises are entirely excluded from ODR/MSEFC protection, this segment may represent an especially motivated early-adopter group, despite being a smaller share of total MSME suppliers.</w:t>
      </w:r>
    </w:p>
    <w:p w14:paraId="46A7F737" w14:textId="77777777" w:rsidR="00762B28" w:rsidRDefault="00000000">
      <w:pPr>
        <w:pStyle w:val="ListParagraph"/>
        <w:numPr>
          <w:ilvl w:val="0"/>
          <w:numId w:val="2"/>
        </w:numPr>
        <w:spacing w:after="100" w:line="276" w:lineRule="auto"/>
      </w:pPr>
      <w:r>
        <w:t>Minimum viable scope: the invoice/payment-clock tracker and interest calculator represent the smallest coherent first version of the system, as they require only vendor-supplied data and no dependency on uncertain government data access.</w:t>
      </w:r>
    </w:p>
    <w:p w14:paraId="34C3DF1C" w14:textId="77777777" w:rsidR="00762B28" w:rsidRDefault="00000000">
      <w:pPr>
        <w:pStyle w:val="Heading1"/>
      </w:pPr>
      <w:r>
        <w:t>10. Conclusion</w:t>
      </w:r>
    </w:p>
    <w:p w14:paraId="5952FEC0" w14:textId="77777777" w:rsidR="00762B28" w:rsidRDefault="00000000">
      <w:pPr>
        <w:spacing w:after="160" w:line="276" w:lineRule="auto"/>
        <w:jc w:val="both"/>
      </w:pPr>
      <w:r>
        <w:t>This research establishes that MSME suppliers to Indian Railways and comparable government transport bodies face a documented, quantifiable, and persistent problem of delayed payments, unmonitored procurement-quota compliance, and unwarned specification changes. The Government of India's 2025 upgrade from the MSME Samadhaan Portal to the MSME ODR Portal has meaningfully improved the dispute-resolution experience for MSMEs, but by design and by evidence, this system activates only after a default has already occurred. No government or private system identified in this research provides proactive, vendor-facing monitoring before that point. The proposed system is scoped specifically to this gap, positioned as a complement to the existing government mechanism rather than a competitor to it, and is assessed as technically and practically feasible as a first version built on vendor-supplied data, with further features dependent on future access to public procurement data.</w:t>
      </w:r>
    </w:p>
    <w:p w14:paraId="6003F3D3" w14:textId="77777777" w:rsidR="00762B28" w:rsidRDefault="00000000">
      <w:pPr>
        <w:pStyle w:val="Heading1"/>
      </w:pPr>
      <w:r>
        <w:t>References</w:t>
      </w:r>
    </w:p>
    <w:p w14:paraId="12ADCAF5" w14:textId="77777777" w:rsidR="00762B28" w:rsidRDefault="00000000">
      <w:pPr>
        <w:spacing w:after="160" w:line="276" w:lineRule="auto"/>
        <w:jc w:val="both"/>
      </w:pPr>
      <w:r>
        <w:t>Global Alliance for Mass Entrepreneurship (GAME), Federation of Indian Micro and Small &amp; Medium Enterprises (FISME), and C2FO. MSMEs' Access to Finance and Timely Payments. November 2025.</w:t>
      </w:r>
    </w:p>
    <w:p w14:paraId="304FE2A9" w14:textId="77777777" w:rsidR="00762B28" w:rsidRDefault="00000000">
      <w:pPr>
        <w:spacing w:after="160" w:line="276" w:lineRule="auto"/>
        <w:jc w:val="both"/>
      </w:pPr>
      <w:r>
        <w:t>Government of India, Ministry of Micro, Small and Medium Enterprises. Rajya Sabha Unstarred Question No. 427, answered 6 February 2023.</w:t>
      </w:r>
    </w:p>
    <w:p w14:paraId="03B73614" w14:textId="77777777" w:rsidR="00762B28" w:rsidRDefault="00000000">
      <w:pPr>
        <w:spacing w:after="160" w:line="276" w:lineRule="auto"/>
        <w:jc w:val="both"/>
      </w:pPr>
      <w:r>
        <w:t>Government of India, Ministry of Micro, Small and Medium Enterprises. Lok Sabha Unstarred Question No. 75, answered 20 July 2023.</w:t>
      </w:r>
    </w:p>
    <w:p w14:paraId="26A25816" w14:textId="77777777" w:rsidR="00762B28" w:rsidRDefault="00000000">
      <w:pPr>
        <w:spacing w:after="160" w:line="276" w:lineRule="auto"/>
        <w:jc w:val="both"/>
      </w:pPr>
      <w:r>
        <w:t>Government of India, Ministry of Micro, Small and Medium Enterprises. Notification S.O. 1364(E), 21 March 2025 (Revised MSME Classification Criteria).</w:t>
      </w:r>
    </w:p>
    <w:p w14:paraId="3D1A0E06" w14:textId="77777777" w:rsidR="00762B28" w:rsidRDefault="00000000">
      <w:pPr>
        <w:spacing w:after="160" w:line="276" w:lineRule="auto"/>
        <w:jc w:val="both"/>
      </w:pPr>
      <w:r>
        <w:t>MSME Samadhaan Portal, Ministry of MSME. Portal data and case statistics, various snapshots 2021–2025.</w:t>
      </w:r>
    </w:p>
    <w:p w14:paraId="2B98C157" w14:textId="77777777" w:rsidR="00762B28" w:rsidRDefault="00000000">
      <w:pPr>
        <w:spacing w:after="160" w:line="276" w:lineRule="auto"/>
        <w:jc w:val="both"/>
      </w:pPr>
      <w:r>
        <w:t>MSME Online Dispute Resolution (ODR) Portal, Ministry of MSME. Launched 27 June 2025; mandatory from 15 October 2025.</w:t>
      </w:r>
    </w:p>
    <w:p w14:paraId="1E3DF32F" w14:textId="77777777" w:rsidR="00762B28" w:rsidRDefault="00000000">
      <w:pPr>
        <w:spacing w:after="160" w:line="276" w:lineRule="auto"/>
        <w:jc w:val="both"/>
      </w:pPr>
      <w:r>
        <w:t>Comptroller and Auditor General of India. Union Compliance Audit Report No. 25 of 2013 — Railway Workshops and Loco Sheds.</w:t>
      </w:r>
    </w:p>
    <w:p w14:paraId="49A71DFA" w14:textId="77777777" w:rsidR="00762B28" w:rsidRDefault="00000000">
      <w:pPr>
        <w:spacing w:after="160" w:line="276" w:lineRule="auto"/>
        <w:jc w:val="both"/>
      </w:pPr>
      <w:r>
        <w:t>Micro, Small and Medium Enterprises Development Act, 2006, Sections 15, 16, 18, 20, and 21.</w:t>
      </w:r>
    </w:p>
    <w:p w14:paraId="2B35D9BC" w14:textId="77777777" w:rsidR="00762B28" w:rsidRDefault="00000000">
      <w:pPr>
        <w:spacing w:after="160" w:line="276" w:lineRule="auto"/>
        <w:jc w:val="both"/>
      </w:pPr>
      <w:r>
        <w:t>Income Tax Act, 1961, Section 43B(h), as inserted by the Finance Act, 2023.</w:t>
      </w:r>
    </w:p>
    <w:p w14:paraId="4BEED9F0" w14:textId="77777777" w:rsidR="00762B28" w:rsidRDefault="00000000">
      <w:pPr>
        <w:spacing w:after="160" w:line="276" w:lineRule="auto"/>
        <w:jc w:val="both"/>
      </w:pPr>
      <w:r>
        <w:t>Documented industry and trade-body reports on railway vendor grievances concerning MSME procurement quota compliance and retroactive specification changes, 2016 and 2025 (as cited in project research notes).</w:t>
      </w:r>
    </w:p>
    <w:p w14:paraId="252BA175" w14:textId="77777777" w:rsidR="00762B28" w:rsidRDefault="00000000">
      <w:pPr>
        <w:spacing w:after="160" w:line="276" w:lineRule="auto"/>
        <w:jc w:val="both"/>
      </w:pPr>
      <w:r>
        <w:lastRenderedPageBreak/>
        <w:t>Government e-Marketplace (GeM), Ministry of Commerce and Industry — seller and transaction statistics, Press Information Bureau.</w:t>
      </w:r>
    </w:p>
    <w:p w14:paraId="508AF216" w14:textId="563DB87A" w:rsidR="00DF0DB2" w:rsidRPr="00DF0DB2" w:rsidRDefault="00DF0DB2">
      <w:pPr>
        <w:spacing w:after="160" w:line="276" w:lineRule="auto"/>
        <w:jc w:val="both"/>
        <w:rPr>
          <w:b/>
          <w:bCs/>
          <w:sz w:val="40"/>
          <w:szCs w:val="40"/>
        </w:rPr>
      </w:pPr>
      <w:r w:rsidRPr="00DF0DB2">
        <w:rPr>
          <w:b/>
          <w:bCs/>
          <w:sz w:val="40"/>
          <w:szCs w:val="40"/>
        </w:rPr>
        <w:t xml:space="preserve">FEATURES THAT CAN MAKE THE PROJECT EFFECTIVE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DF0DB2" w:rsidRPr="00DF0DB2" w14:paraId="22DD82B3" w14:textId="77777777" w:rsidTr="00777B3D">
        <w:tc>
          <w:tcPr>
            <w:tcW w:w="9736" w:type="dxa"/>
          </w:tcPr>
          <w:p w14:paraId="19490F52" w14:textId="77777777" w:rsidR="00DF0DB2" w:rsidRPr="00DF0DB2" w:rsidRDefault="00DF0DB2" w:rsidP="00BC1B2C">
            <w:pPr>
              <w:spacing w:after="160" w:line="276" w:lineRule="auto"/>
              <w:jc w:val="both"/>
              <w:rPr>
                <w:b/>
                <w:bCs/>
                <w:sz w:val="32"/>
                <w:szCs w:val="32"/>
              </w:rPr>
            </w:pPr>
            <w:r w:rsidRPr="00DF0DB2">
              <w:rPr>
                <w:b/>
                <w:bCs/>
                <w:sz w:val="32"/>
                <w:szCs w:val="32"/>
              </w:rPr>
              <w:t>Layer 1 — Prevent the delay before it happens</w:t>
            </w:r>
          </w:p>
        </w:tc>
      </w:tr>
      <w:tr w:rsidR="00DF0DB2" w14:paraId="0B5EBF33" w14:textId="77777777" w:rsidTr="00777B3D">
        <w:tc>
          <w:tcPr>
            <w:tcW w:w="973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3345"/>
              <w:gridCol w:w="4480"/>
            </w:tblGrid>
            <w:tr w:rsidR="00DF0DB2" w:rsidRPr="00DF0DB2" w14:paraId="185746FD" w14:textId="77777777" w:rsidTr="00777B3D">
              <w:trPr>
                <w:tblHeader/>
                <w:tblCellSpacing w:w="15" w:type="dxa"/>
              </w:trPr>
              <w:tc>
                <w:tcPr>
                  <w:tcW w:w="0" w:type="auto"/>
                  <w:vAlign w:val="center"/>
                  <w:hideMark/>
                </w:tcPr>
                <w:p w14:paraId="26EBD290" w14:textId="77777777" w:rsidR="00DF0DB2" w:rsidRPr="00DF0DB2" w:rsidRDefault="00DF0DB2" w:rsidP="00BC1B2C">
                  <w:pPr>
                    <w:spacing w:after="160" w:line="276" w:lineRule="auto"/>
                    <w:jc w:val="both"/>
                    <w:rPr>
                      <w:b/>
                      <w:bCs/>
                    </w:rPr>
                  </w:pPr>
                  <w:r w:rsidRPr="00DF0DB2">
                    <w:rPr>
                      <w:b/>
                      <w:bCs/>
                    </w:rPr>
                    <w:t>Feature</w:t>
                  </w:r>
                </w:p>
              </w:tc>
              <w:tc>
                <w:tcPr>
                  <w:tcW w:w="0" w:type="auto"/>
                  <w:vAlign w:val="center"/>
                  <w:hideMark/>
                </w:tcPr>
                <w:p w14:paraId="3FF9A75E" w14:textId="77777777" w:rsidR="00DF0DB2" w:rsidRPr="00DF0DB2" w:rsidRDefault="00DF0DB2" w:rsidP="00BC1B2C">
                  <w:pPr>
                    <w:spacing w:after="160" w:line="276" w:lineRule="auto"/>
                    <w:jc w:val="both"/>
                    <w:rPr>
                      <w:b/>
                      <w:bCs/>
                    </w:rPr>
                  </w:pPr>
                  <w:r w:rsidRPr="00DF0DB2">
                    <w:rPr>
                      <w:b/>
                      <w:bCs/>
                    </w:rPr>
                    <w:t>What it does</w:t>
                  </w:r>
                </w:p>
              </w:tc>
              <w:tc>
                <w:tcPr>
                  <w:tcW w:w="0" w:type="auto"/>
                  <w:vAlign w:val="center"/>
                  <w:hideMark/>
                </w:tcPr>
                <w:p w14:paraId="67969ECF" w14:textId="77777777" w:rsidR="00DF0DB2" w:rsidRPr="00DF0DB2" w:rsidRDefault="00DF0DB2" w:rsidP="00BC1B2C">
                  <w:pPr>
                    <w:spacing w:after="160" w:line="276" w:lineRule="auto"/>
                    <w:jc w:val="both"/>
                    <w:rPr>
                      <w:b/>
                      <w:bCs/>
                    </w:rPr>
                  </w:pPr>
                  <w:r w:rsidRPr="00DF0DB2">
                    <w:rPr>
                      <w:b/>
                      <w:bCs/>
                    </w:rPr>
                    <w:t>Why it matters</w:t>
                  </w:r>
                </w:p>
              </w:tc>
            </w:tr>
            <w:tr w:rsidR="00DF0DB2" w:rsidRPr="00DF0DB2" w14:paraId="5EF09174" w14:textId="77777777" w:rsidTr="00777B3D">
              <w:trPr>
                <w:tblCellSpacing w:w="15" w:type="dxa"/>
              </w:trPr>
              <w:tc>
                <w:tcPr>
                  <w:tcW w:w="0" w:type="auto"/>
                  <w:vAlign w:val="center"/>
                  <w:hideMark/>
                </w:tcPr>
                <w:p w14:paraId="674B1EF1" w14:textId="77777777" w:rsidR="00DF0DB2" w:rsidRPr="00DF0DB2" w:rsidRDefault="00DF0DB2" w:rsidP="00BC1B2C">
                  <w:pPr>
                    <w:spacing w:after="160" w:line="276" w:lineRule="auto"/>
                    <w:jc w:val="both"/>
                  </w:pPr>
                  <w:r w:rsidRPr="00DF0DB2">
                    <w:rPr>
                      <w:b/>
                      <w:bCs/>
                    </w:rPr>
                    <w:t>Contract-clause checker</w:t>
                  </w:r>
                </w:p>
              </w:tc>
              <w:tc>
                <w:tcPr>
                  <w:tcW w:w="0" w:type="auto"/>
                  <w:vAlign w:val="center"/>
                  <w:hideMark/>
                </w:tcPr>
                <w:p w14:paraId="47EEE4E2" w14:textId="77777777" w:rsidR="00DF0DB2" w:rsidRPr="00DF0DB2" w:rsidRDefault="00DF0DB2" w:rsidP="00BC1B2C">
                  <w:pPr>
                    <w:spacing w:after="160" w:line="276" w:lineRule="auto"/>
                    <w:jc w:val="both"/>
                  </w:pPr>
                  <w:r w:rsidRPr="00DF0DB2">
                    <w:t>AI scans the PO/work order before the vendor accepts it, flags if there's no written payment-term agreement</w:t>
                  </w:r>
                </w:p>
              </w:tc>
              <w:tc>
                <w:tcPr>
                  <w:tcW w:w="0" w:type="auto"/>
                  <w:vAlign w:val="center"/>
                  <w:hideMark/>
                </w:tcPr>
                <w:p w14:paraId="32CF8A12" w14:textId="77777777" w:rsidR="00DF0DB2" w:rsidRPr="00DF0DB2" w:rsidRDefault="00DF0DB2" w:rsidP="00BC1B2C">
                  <w:pPr>
                    <w:spacing w:after="160" w:line="276" w:lineRule="auto"/>
                    <w:jc w:val="both"/>
                  </w:pPr>
                  <w:r w:rsidRPr="00DF0DB2">
                    <w:t xml:space="preserve">Matters because without a written agreement, the </w:t>
                  </w:r>
                  <w:r w:rsidRPr="00DF0DB2">
                    <w:rPr>
                      <w:i/>
                      <w:iCs/>
                    </w:rPr>
                    <w:t>legal</w:t>
                  </w:r>
                  <w:r w:rsidRPr="00DF0DB2">
                    <w:t xml:space="preserve"> default drops to 15 days, not 45 — a vendor who doesn't know this loses protection they didn't realize they needed</w:t>
                  </w:r>
                </w:p>
              </w:tc>
            </w:tr>
            <w:tr w:rsidR="00DF0DB2" w:rsidRPr="00DF0DB2" w14:paraId="0F16F676" w14:textId="77777777" w:rsidTr="00777B3D">
              <w:trPr>
                <w:tblCellSpacing w:w="15" w:type="dxa"/>
              </w:trPr>
              <w:tc>
                <w:tcPr>
                  <w:tcW w:w="0" w:type="auto"/>
                  <w:vAlign w:val="center"/>
                  <w:hideMark/>
                </w:tcPr>
                <w:p w14:paraId="4E0902D4" w14:textId="77777777" w:rsidR="00DF0DB2" w:rsidRPr="00DF0DB2" w:rsidRDefault="00DF0DB2" w:rsidP="00BC1B2C">
                  <w:pPr>
                    <w:spacing w:after="160" w:line="276" w:lineRule="auto"/>
                    <w:jc w:val="both"/>
                  </w:pPr>
                  <w:r w:rsidRPr="00DF0DB2">
                    <w:rPr>
                      <w:b/>
                      <w:bCs/>
                    </w:rPr>
                    <w:t>Pre-bid risk score</w:t>
                  </w:r>
                </w:p>
              </w:tc>
              <w:tc>
                <w:tcPr>
                  <w:tcW w:w="0" w:type="auto"/>
                  <w:vAlign w:val="center"/>
                  <w:hideMark/>
                </w:tcPr>
                <w:p w14:paraId="4ABE6A3D" w14:textId="77777777" w:rsidR="00DF0DB2" w:rsidRPr="00DF0DB2" w:rsidRDefault="00DF0DB2" w:rsidP="00BC1B2C">
                  <w:pPr>
                    <w:spacing w:after="160" w:line="276" w:lineRule="auto"/>
                    <w:jc w:val="both"/>
                  </w:pPr>
                  <w:r w:rsidRPr="00DF0DB2">
                    <w:t>Before bidding, shows the vendor "this zone/department has paid late on X% of past contracts"</w:t>
                  </w:r>
                </w:p>
              </w:tc>
              <w:tc>
                <w:tcPr>
                  <w:tcW w:w="0" w:type="auto"/>
                  <w:vAlign w:val="center"/>
                  <w:hideMark/>
                </w:tcPr>
                <w:p w14:paraId="05FE7D3B" w14:textId="77777777" w:rsidR="00DF0DB2" w:rsidRPr="00DF0DB2" w:rsidRDefault="00DF0DB2" w:rsidP="00BC1B2C">
                  <w:pPr>
                    <w:spacing w:after="160" w:line="276" w:lineRule="auto"/>
                    <w:jc w:val="both"/>
                  </w:pPr>
                  <w:r w:rsidRPr="00DF0DB2">
                    <w:t>Turns bidding from a blind decision into an informed one — this is the "should I even take this contract" layer, upstream of everything else</w:t>
                  </w:r>
                </w:p>
              </w:tc>
            </w:tr>
            <w:tr w:rsidR="00DF0DB2" w:rsidRPr="00DF0DB2" w14:paraId="5933A956" w14:textId="77777777" w:rsidTr="00777B3D">
              <w:trPr>
                <w:tblCellSpacing w:w="15" w:type="dxa"/>
              </w:trPr>
              <w:tc>
                <w:tcPr>
                  <w:tcW w:w="0" w:type="auto"/>
                  <w:vAlign w:val="center"/>
                  <w:hideMark/>
                </w:tcPr>
                <w:p w14:paraId="7EF9BEEA" w14:textId="77777777" w:rsidR="00DF0DB2" w:rsidRPr="00DF0DB2" w:rsidRDefault="00DF0DB2" w:rsidP="00BC1B2C">
                  <w:pPr>
                    <w:spacing w:after="160" w:line="276" w:lineRule="auto"/>
                    <w:jc w:val="both"/>
                  </w:pPr>
                  <w:r w:rsidRPr="00DF0DB2">
                    <w:rPr>
                      <w:b/>
                      <w:bCs/>
                    </w:rPr>
                    <w:t>Document-completeness check</w:t>
                  </w:r>
                </w:p>
              </w:tc>
              <w:tc>
                <w:tcPr>
                  <w:tcW w:w="0" w:type="auto"/>
                  <w:vAlign w:val="center"/>
                  <w:hideMark/>
                </w:tcPr>
                <w:p w14:paraId="4E1E2419" w14:textId="77777777" w:rsidR="00DF0DB2" w:rsidRPr="00DF0DB2" w:rsidRDefault="00DF0DB2" w:rsidP="00BC1B2C">
                  <w:pPr>
                    <w:spacing w:after="160" w:line="276" w:lineRule="auto"/>
                    <w:jc w:val="both"/>
                  </w:pPr>
                  <w:r w:rsidRPr="00DF0DB2">
                    <w:t>AI verifies a PO/invoice has every field ODR filing later requires (GST number, delivery proof, dates)</w:t>
                  </w:r>
                </w:p>
              </w:tc>
              <w:tc>
                <w:tcPr>
                  <w:tcW w:w="0" w:type="auto"/>
                  <w:vAlign w:val="center"/>
                  <w:hideMark/>
                </w:tcPr>
                <w:p w14:paraId="755BAE1E" w14:textId="77777777" w:rsidR="00DF0DB2" w:rsidRPr="00DF0DB2" w:rsidRDefault="00DF0DB2" w:rsidP="00BC1B2C">
                  <w:pPr>
                    <w:spacing w:after="160" w:line="276" w:lineRule="auto"/>
                    <w:jc w:val="both"/>
                  </w:pPr>
                  <w:r w:rsidRPr="00DF0DB2">
                    <w:t>Directly targets a documented failure mode — incomplete documentation is a named reason ODR/Samadhaan applications get rejected</w:t>
                  </w:r>
                </w:p>
              </w:tc>
            </w:tr>
          </w:tbl>
          <w:p w14:paraId="2DF42C93" w14:textId="77777777" w:rsidR="00DF0DB2" w:rsidRDefault="00DF0DB2"/>
        </w:tc>
      </w:tr>
    </w:tbl>
    <w:p w14:paraId="623623A8" w14:textId="77777777" w:rsidR="0080347A" w:rsidRDefault="0080347A" w:rsidP="00DF0DB2">
      <w:pPr>
        <w:spacing w:after="160" w:line="276" w:lineRule="auto"/>
        <w:jc w:val="both"/>
        <w:rPr>
          <w:b/>
          <w:bCs/>
          <w:sz w:val="32"/>
          <w:szCs w:val="32"/>
        </w:rPr>
      </w:pPr>
      <w:r>
        <w:rPr>
          <w:b/>
          <w:bCs/>
          <w:sz w:val="32"/>
          <w:szCs w:val="32"/>
        </w:rPr>
        <w:t xml:space="preserve"> </w:t>
      </w:r>
    </w:p>
    <w:p w14:paraId="54583715" w14:textId="3DDCFF2D" w:rsidR="00DF0DB2" w:rsidRPr="00DF0DB2" w:rsidRDefault="00DF0DB2" w:rsidP="00DF0DB2">
      <w:pPr>
        <w:spacing w:after="160" w:line="276" w:lineRule="auto"/>
        <w:jc w:val="both"/>
        <w:rPr>
          <w:b/>
          <w:bCs/>
          <w:sz w:val="32"/>
          <w:szCs w:val="32"/>
        </w:rPr>
      </w:pPr>
      <w:r w:rsidRPr="00DF0DB2">
        <w:rPr>
          <w:b/>
          <w:bCs/>
          <w:sz w:val="32"/>
          <w:szCs w:val="32"/>
        </w:rPr>
        <w:t>Layer 2 — Catch it early, escalate before it festers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3418"/>
        <w:gridCol w:w="4650"/>
      </w:tblGrid>
      <w:tr w:rsidR="00DF0DB2" w:rsidRPr="00DF0DB2" w14:paraId="2B52B5D8" w14:textId="77777777" w:rsidTr="00DF0DB2">
        <w:trPr>
          <w:tblHeader/>
          <w:tblCellSpacing w:w="15" w:type="dxa"/>
        </w:trPr>
        <w:tc>
          <w:tcPr>
            <w:tcW w:w="0" w:type="auto"/>
            <w:vAlign w:val="center"/>
            <w:hideMark/>
          </w:tcPr>
          <w:p w14:paraId="5746028F" w14:textId="77777777" w:rsidR="00DF0DB2" w:rsidRPr="00DF0DB2" w:rsidRDefault="00DF0DB2" w:rsidP="00DF0DB2">
            <w:pPr>
              <w:spacing w:after="160" w:line="276" w:lineRule="auto"/>
              <w:jc w:val="both"/>
              <w:rPr>
                <w:b/>
                <w:bCs/>
              </w:rPr>
            </w:pPr>
            <w:r w:rsidRPr="00DF0DB2">
              <w:rPr>
                <w:b/>
                <w:bCs/>
              </w:rPr>
              <w:t>Feature</w:t>
            </w:r>
          </w:p>
        </w:tc>
        <w:tc>
          <w:tcPr>
            <w:tcW w:w="0" w:type="auto"/>
            <w:vAlign w:val="center"/>
            <w:hideMark/>
          </w:tcPr>
          <w:p w14:paraId="33DD114D" w14:textId="77777777" w:rsidR="00DF0DB2" w:rsidRPr="00DF0DB2" w:rsidRDefault="00DF0DB2" w:rsidP="00DF0DB2">
            <w:pPr>
              <w:spacing w:after="160" w:line="276" w:lineRule="auto"/>
              <w:jc w:val="both"/>
              <w:rPr>
                <w:b/>
                <w:bCs/>
              </w:rPr>
            </w:pPr>
            <w:r w:rsidRPr="00DF0DB2">
              <w:rPr>
                <w:b/>
                <w:bCs/>
              </w:rPr>
              <w:t>What it does</w:t>
            </w:r>
          </w:p>
        </w:tc>
        <w:tc>
          <w:tcPr>
            <w:tcW w:w="0" w:type="auto"/>
            <w:vAlign w:val="center"/>
            <w:hideMark/>
          </w:tcPr>
          <w:p w14:paraId="42ED7949" w14:textId="77777777" w:rsidR="00DF0DB2" w:rsidRPr="00DF0DB2" w:rsidRDefault="00DF0DB2" w:rsidP="00DF0DB2">
            <w:pPr>
              <w:spacing w:after="160" w:line="276" w:lineRule="auto"/>
              <w:jc w:val="both"/>
              <w:rPr>
                <w:b/>
                <w:bCs/>
              </w:rPr>
            </w:pPr>
            <w:r w:rsidRPr="00DF0DB2">
              <w:rPr>
                <w:b/>
                <w:bCs/>
              </w:rPr>
              <w:t>Why it matters</w:t>
            </w:r>
          </w:p>
        </w:tc>
      </w:tr>
      <w:tr w:rsidR="00DF0DB2" w:rsidRPr="00DF0DB2" w14:paraId="3995B4F2" w14:textId="77777777" w:rsidTr="00DF0DB2">
        <w:trPr>
          <w:tblCellSpacing w:w="15" w:type="dxa"/>
        </w:trPr>
        <w:tc>
          <w:tcPr>
            <w:tcW w:w="0" w:type="auto"/>
            <w:vAlign w:val="center"/>
            <w:hideMark/>
          </w:tcPr>
          <w:p w14:paraId="1F16EE85" w14:textId="77777777" w:rsidR="00DF0DB2" w:rsidRPr="00DF0DB2" w:rsidRDefault="00DF0DB2" w:rsidP="00DF0DB2">
            <w:pPr>
              <w:spacing w:after="160" w:line="276" w:lineRule="auto"/>
              <w:jc w:val="both"/>
            </w:pPr>
            <w:r w:rsidRPr="00DF0DB2">
              <w:rPr>
                <w:b/>
                <w:bCs/>
              </w:rPr>
              <w:t>WhatsApp-based alerts</w:t>
            </w:r>
          </w:p>
        </w:tc>
        <w:tc>
          <w:tcPr>
            <w:tcW w:w="0" w:type="auto"/>
            <w:vAlign w:val="center"/>
            <w:hideMark/>
          </w:tcPr>
          <w:p w14:paraId="4DC92FFE" w14:textId="77777777" w:rsidR="00DF0DB2" w:rsidRPr="00DF0DB2" w:rsidRDefault="00DF0DB2" w:rsidP="00DF0DB2">
            <w:pPr>
              <w:spacing w:after="160" w:line="276" w:lineRule="auto"/>
              <w:jc w:val="both"/>
            </w:pPr>
            <w:r w:rsidRPr="00DF0DB2">
              <w:t>Day-30 and day-40 reminders sent via WhatsApp, not just an app dashboard</w:t>
            </w:r>
          </w:p>
        </w:tc>
        <w:tc>
          <w:tcPr>
            <w:tcW w:w="0" w:type="auto"/>
            <w:vAlign w:val="center"/>
            <w:hideMark/>
          </w:tcPr>
          <w:p w14:paraId="3A430EA5" w14:textId="77777777" w:rsidR="00DF0DB2" w:rsidRPr="00DF0DB2" w:rsidRDefault="00DF0DB2" w:rsidP="00DF0DB2">
            <w:pPr>
              <w:spacing w:after="160" w:line="276" w:lineRule="auto"/>
              <w:jc w:val="both"/>
            </w:pPr>
            <w:r w:rsidRPr="00DF0DB2">
              <w:t>Most MSME owners in this segment won't check a web dashboard daily — WhatsApp reach is near-universal in this user base, an app-only design would miss most of them</w:t>
            </w:r>
          </w:p>
        </w:tc>
      </w:tr>
      <w:tr w:rsidR="00DF0DB2" w:rsidRPr="00DF0DB2" w14:paraId="1370BCF6" w14:textId="77777777" w:rsidTr="00DF0DB2">
        <w:trPr>
          <w:tblCellSpacing w:w="15" w:type="dxa"/>
        </w:trPr>
        <w:tc>
          <w:tcPr>
            <w:tcW w:w="0" w:type="auto"/>
            <w:vAlign w:val="center"/>
            <w:hideMark/>
          </w:tcPr>
          <w:p w14:paraId="3F4B7C0F" w14:textId="77777777" w:rsidR="00DF0DB2" w:rsidRPr="00DF0DB2" w:rsidRDefault="00DF0DB2" w:rsidP="00DF0DB2">
            <w:pPr>
              <w:spacing w:after="160" w:line="276" w:lineRule="auto"/>
              <w:jc w:val="both"/>
            </w:pPr>
            <w:r w:rsidRPr="00DF0DB2">
              <w:rPr>
                <w:b/>
                <w:bCs/>
              </w:rPr>
              <w:t>Auto-drafted escalation ladder</w:t>
            </w:r>
          </w:p>
        </w:tc>
        <w:tc>
          <w:tcPr>
            <w:tcW w:w="0" w:type="auto"/>
            <w:vAlign w:val="center"/>
            <w:hideMark/>
          </w:tcPr>
          <w:p w14:paraId="4DE3249D" w14:textId="77777777" w:rsidR="00DF0DB2" w:rsidRPr="00DF0DB2" w:rsidRDefault="00DF0DB2" w:rsidP="00DF0DB2">
            <w:pPr>
              <w:spacing w:after="160" w:line="276" w:lineRule="auto"/>
              <w:jc w:val="both"/>
            </w:pPr>
            <w:r w:rsidRPr="00DF0DB2">
              <w:t>Day 30: polite reminder email. Day 40: formal notice citing Section 15. Day 46: ODR-ready filing package</w:t>
            </w:r>
          </w:p>
        </w:tc>
        <w:tc>
          <w:tcPr>
            <w:tcW w:w="0" w:type="auto"/>
            <w:vAlign w:val="center"/>
            <w:hideMark/>
          </w:tcPr>
          <w:p w14:paraId="1E007AB9" w14:textId="77777777" w:rsidR="00DF0DB2" w:rsidRPr="00DF0DB2" w:rsidRDefault="00DF0DB2" w:rsidP="00DF0DB2">
            <w:pPr>
              <w:spacing w:after="160" w:line="276" w:lineRule="auto"/>
              <w:jc w:val="both"/>
            </w:pPr>
            <w:r w:rsidRPr="00DF0DB2">
              <w:t xml:space="preserve">Right now a vendor has to </w:t>
            </w:r>
            <w:r w:rsidRPr="00DF0DB2">
              <w:rPr>
                <w:i/>
                <w:iCs/>
              </w:rPr>
              <w:t>know</w:t>
            </w:r>
            <w:r w:rsidRPr="00DF0DB2">
              <w:t xml:space="preserve"> to do this themselves at the right moment — automating the ladder means the legal process starts on time even if the vendor is busy or unaware</w:t>
            </w:r>
          </w:p>
        </w:tc>
      </w:tr>
      <w:tr w:rsidR="00DF0DB2" w:rsidRPr="00DF0DB2" w14:paraId="59050B15" w14:textId="77777777" w:rsidTr="00DF0DB2">
        <w:trPr>
          <w:tblCellSpacing w:w="15" w:type="dxa"/>
        </w:trPr>
        <w:tc>
          <w:tcPr>
            <w:tcW w:w="0" w:type="auto"/>
            <w:vAlign w:val="center"/>
            <w:hideMark/>
          </w:tcPr>
          <w:p w14:paraId="670DF438" w14:textId="77777777" w:rsidR="00DF0DB2" w:rsidRPr="00DF0DB2" w:rsidRDefault="00DF0DB2" w:rsidP="00DF0DB2">
            <w:pPr>
              <w:spacing w:after="160" w:line="276" w:lineRule="auto"/>
              <w:jc w:val="both"/>
            </w:pPr>
            <w:r w:rsidRPr="00DF0DB2">
              <w:rPr>
                <w:b/>
                <w:bCs/>
              </w:rPr>
              <w:t>Document vault</w:t>
            </w:r>
          </w:p>
        </w:tc>
        <w:tc>
          <w:tcPr>
            <w:tcW w:w="0" w:type="auto"/>
            <w:vAlign w:val="center"/>
            <w:hideMark/>
          </w:tcPr>
          <w:p w14:paraId="1D5EF3CB" w14:textId="77777777" w:rsidR="00DF0DB2" w:rsidRPr="00DF0DB2" w:rsidRDefault="00DF0DB2" w:rsidP="00DF0DB2">
            <w:pPr>
              <w:spacing w:after="160" w:line="276" w:lineRule="auto"/>
              <w:jc w:val="both"/>
            </w:pPr>
            <w:r w:rsidRPr="00DF0DB2">
              <w:t>Every PO, invoice, delivery proof, and email thread auto-organized per contract</w:t>
            </w:r>
          </w:p>
        </w:tc>
        <w:tc>
          <w:tcPr>
            <w:tcW w:w="0" w:type="auto"/>
            <w:vAlign w:val="center"/>
            <w:hideMark/>
          </w:tcPr>
          <w:p w14:paraId="5EBB785A" w14:textId="77777777" w:rsidR="00DF0DB2" w:rsidRPr="00DF0DB2" w:rsidRDefault="00DF0DB2" w:rsidP="00DF0DB2">
            <w:pPr>
              <w:spacing w:after="160" w:line="276" w:lineRule="auto"/>
              <w:jc w:val="both"/>
            </w:pPr>
            <w:r w:rsidRPr="00DF0DB2">
              <w:t xml:space="preserve">Solves the quiet failure mode where a vendor </w:t>
            </w:r>
            <w:r w:rsidRPr="00DF0DB2">
              <w:rPr>
                <w:i/>
                <w:iCs/>
              </w:rPr>
              <w:t>has</w:t>
            </w:r>
            <w:r w:rsidRPr="00DF0DB2">
              <w:t xml:space="preserve"> a valid claim but can't produce clean evidence when they finally need to file</w:t>
            </w:r>
          </w:p>
        </w:tc>
      </w:tr>
      <w:tr w:rsidR="00DF0DB2" w:rsidRPr="00DF0DB2" w14:paraId="1454B323" w14:textId="77777777" w:rsidTr="00DF0DB2">
        <w:trPr>
          <w:tblCellSpacing w:w="15" w:type="dxa"/>
        </w:trPr>
        <w:tc>
          <w:tcPr>
            <w:tcW w:w="0" w:type="auto"/>
            <w:vAlign w:val="center"/>
            <w:hideMark/>
          </w:tcPr>
          <w:p w14:paraId="3186FE2B" w14:textId="77777777" w:rsidR="00DF0DB2" w:rsidRPr="00DF0DB2" w:rsidRDefault="00DF0DB2" w:rsidP="00DF0DB2">
            <w:pPr>
              <w:spacing w:after="160" w:line="276" w:lineRule="auto"/>
              <w:jc w:val="both"/>
            </w:pPr>
            <w:r w:rsidRPr="00DF0DB2">
              <w:rPr>
                <w:b/>
                <w:bCs/>
              </w:rPr>
              <w:t>Vernacular "ask your rights" chatbot</w:t>
            </w:r>
          </w:p>
        </w:tc>
        <w:tc>
          <w:tcPr>
            <w:tcW w:w="0" w:type="auto"/>
            <w:vAlign w:val="center"/>
            <w:hideMark/>
          </w:tcPr>
          <w:p w14:paraId="22D193C9" w14:textId="77777777" w:rsidR="00DF0DB2" w:rsidRPr="00DF0DB2" w:rsidRDefault="00DF0DB2" w:rsidP="00DF0DB2">
            <w:pPr>
              <w:spacing w:after="160" w:line="276" w:lineRule="auto"/>
              <w:jc w:val="both"/>
            </w:pPr>
            <w:r w:rsidRPr="00DF0DB2">
              <w:t>Vendor asks in plain Hindi/regional language, "can I claim interest for this delay?" and gets a clear, cited answer</w:t>
            </w:r>
          </w:p>
        </w:tc>
        <w:tc>
          <w:tcPr>
            <w:tcW w:w="0" w:type="auto"/>
            <w:vAlign w:val="center"/>
            <w:hideMark/>
          </w:tcPr>
          <w:p w14:paraId="5D1F4987" w14:textId="77777777" w:rsidR="00DF0DB2" w:rsidRPr="00DF0DB2" w:rsidRDefault="00DF0DB2" w:rsidP="00DF0DB2">
            <w:pPr>
              <w:spacing w:after="160" w:line="276" w:lineRule="auto"/>
              <w:jc w:val="both"/>
            </w:pPr>
            <w:r w:rsidRPr="00DF0DB2">
              <w:t>Legal literacy is the real barrier for a lot of this segment — a chatbot that explains Section 15/16 in the vendor's own words does more than a dashboard full of numbers</w:t>
            </w:r>
          </w:p>
        </w:tc>
      </w:tr>
    </w:tbl>
    <w:p w14:paraId="14FACB75" w14:textId="77777777" w:rsidR="00DF0DB2" w:rsidRDefault="00DF0DB2" w:rsidP="00DF0DB2">
      <w:pPr>
        <w:spacing w:after="160" w:line="276" w:lineRule="auto"/>
        <w:jc w:val="both"/>
        <w:rPr>
          <w:b/>
          <w:bCs/>
        </w:rPr>
      </w:pPr>
    </w:p>
    <w:p w14:paraId="0A0B4617" w14:textId="77777777" w:rsidR="00DF0DB2" w:rsidRDefault="00DF0DB2" w:rsidP="00DF0DB2">
      <w:pPr>
        <w:spacing w:after="160" w:line="276" w:lineRule="auto"/>
        <w:jc w:val="both"/>
        <w:rPr>
          <w:b/>
          <w:bCs/>
        </w:rPr>
      </w:pPr>
    </w:p>
    <w:p w14:paraId="43A5F459" w14:textId="77777777" w:rsidR="00DF0DB2" w:rsidRDefault="00DF0DB2" w:rsidP="00DF0DB2">
      <w:pPr>
        <w:spacing w:after="160" w:line="276" w:lineRule="auto"/>
        <w:jc w:val="both"/>
        <w:rPr>
          <w:b/>
          <w:bCs/>
        </w:rPr>
      </w:pPr>
    </w:p>
    <w:p w14:paraId="1068F932" w14:textId="509BC1E3" w:rsidR="00DF0DB2" w:rsidRPr="00DF0DB2" w:rsidRDefault="00DF0DB2" w:rsidP="00DF0DB2">
      <w:pPr>
        <w:spacing w:after="160" w:line="276" w:lineRule="auto"/>
        <w:jc w:val="both"/>
        <w:rPr>
          <w:b/>
          <w:bCs/>
          <w:sz w:val="32"/>
          <w:szCs w:val="32"/>
        </w:rPr>
      </w:pPr>
      <w:r w:rsidRPr="00DF0DB2">
        <w:rPr>
          <w:b/>
          <w:bCs/>
          <w:sz w:val="32"/>
          <w:szCs w:val="32"/>
        </w:rPr>
        <w:t>Layer 3 — Cushion the financial damage while waiting</w:t>
      </w:r>
    </w:p>
    <w:p w14:paraId="262C9E79" w14:textId="77777777" w:rsidR="00DF0DB2" w:rsidRPr="00DF0DB2" w:rsidRDefault="00DF0DB2" w:rsidP="00DF0DB2">
      <w:pPr>
        <w:spacing w:after="160" w:line="276" w:lineRule="auto"/>
        <w:jc w:val="both"/>
      </w:pPr>
      <w:r w:rsidRPr="00DF0DB2">
        <w:t>This is the layer your original idea didn't have, and it's arguably the highest-impact addition, because it attacks the actual harm (cash flow), not just the visibility problem.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3753"/>
        <w:gridCol w:w="4580"/>
      </w:tblGrid>
      <w:tr w:rsidR="00DF0DB2" w:rsidRPr="00DF0DB2" w14:paraId="75D8A35D" w14:textId="77777777" w:rsidTr="00DF0DB2">
        <w:trPr>
          <w:tblHeader/>
          <w:tblCellSpacing w:w="15" w:type="dxa"/>
        </w:trPr>
        <w:tc>
          <w:tcPr>
            <w:tcW w:w="0" w:type="auto"/>
            <w:vAlign w:val="center"/>
            <w:hideMark/>
          </w:tcPr>
          <w:p w14:paraId="18C86159" w14:textId="77777777" w:rsidR="00DF0DB2" w:rsidRPr="00DF0DB2" w:rsidRDefault="00DF0DB2" w:rsidP="00DF0DB2">
            <w:pPr>
              <w:spacing w:after="160" w:line="276" w:lineRule="auto"/>
              <w:jc w:val="both"/>
              <w:rPr>
                <w:b/>
                <w:bCs/>
              </w:rPr>
            </w:pPr>
            <w:r w:rsidRPr="00DF0DB2">
              <w:rPr>
                <w:b/>
                <w:bCs/>
              </w:rPr>
              <w:t>Feature</w:t>
            </w:r>
          </w:p>
        </w:tc>
        <w:tc>
          <w:tcPr>
            <w:tcW w:w="0" w:type="auto"/>
            <w:vAlign w:val="center"/>
            <w:hideMark/>
          </w:tcPr>
          <w:p w14:paraId="5A4B618E" w14:textId="77777777" w:rsidR="00DF0DB2" w:rsidRPr="00DF0DB2" w:rsidRDefault="00DF0DB2" w:rsidP="00DF0DB2">
            <w:pPr>
              <w:spacing w:after="160" w:line="276" w:lineRule="auto"/>
              <w:jc w:val="both"/>
              <w:rPr>
                <w:b/>
                <w:bCs/>
              </w:rPr>
            </w:pPr>
            <w:r w:rsidRPr="00DF0DB2">
              <w:rPr>
                <w:b/>
                <w:bCs/>
              </w:rPr>
              <w:t>What it does</w:t>
            </w:r>
          </w:p>
        </w:tc>
        <w:tc>
          <w:tcPr>
            <w:tcW w:w="0" w:type="auto"/>
            <w:vAlign w:val="center"/>
            <w:hideMark/>
          </w:tcPr>
          <w:p w14:paraId="18EA76B4" w14:textId="77777777" w:rsidR="00DF0DB2" w:rsidRPr="00DF0DB2" w:rsidRDefault="00DF0DB2" w:rsidP="00DF0DB2">
            <w:pPr>
              <w:spacing w:after="160" w:line="276" w:lineRule="auto"/>
              <w:jc w:val="both"/>
              <w:rPr>
                <w:b/>
                <w:bCs/>
              </w:rPr>
            </w:pPr>
            <w:r w:rsidRPr="00DF0DB2">
              <w:rPr>
                <w:b/>
                <w:bCs/>
              </w:rPr>
              <w:t>Why it matters</w:t>
            </w:r>
          </w:p>
        </w:tc>
      </w:tr>
      <w:tr w:rsidR="00DF0DB2" w:rsidRPr="00DF0DB2" w14:paraId="7676837D" w14:textId="77777777" w:rsidTr="00DF0DB2">
        <w:trPr>
          <w:tblCellSpacing w:w="15" w:type="dxa"/>
        </w:trPr>
        <w:tc>
          <w:tcPr>
            <w:tcW w:w="0" w:type="auto"/>
            <w:vAlign w:val="center"/>
            <w:hideMark/>
          </w:tcPr>
          <w:p w14:paraId="13002E09" w14:textId="77777777" w:rsidR="00DF0DB2" w:rsidRPr="00DF0DB2" w:rsidRDefault="00DF0DB2" w:rsidP="00DF0DB2">
            <w:pPr>
              <w:spacing w:after="160" w:line="276" w:lineRule="auto"/>
              <w:jc w:val="both"/>
            </w:pPr>
            <w:r w:rsidRPr="00DF0DB2">
              <w:rPr>
                <w:b/>
                <w:bCs/>
              </w:rPr>
              <w:t>TReDS referral flow</w:t>
            </w:r>
          </w:p>
        </w:tc>
        <w:tc>
          <w:tcPr>
            <w:tcW w:w="0" w:type="auto"/>
            <w:vAlign w:val="center"/>
            <w:hideMark/>
          </w:tcPr>
          <w:p w14:paraId="08F2BD81" w14:textId="77777777" w:rsidR="00DF0DB2" w:rsidRPr="00DF0DB2" w:rsidRDefault="00DF0DB2" w:rsidP="00DF0DB2">
            <w:pPr>
              <w:spacing w:after="160" w:line="276" w:lineRule="auto"/>
              <w:jc w:val="both"/>
            </w:pPr>
            <w:r w:rsidRPr="00DF0DB2">
              <w:t>Once a buyer has accepted an invoice, connect the vendor to invoice-discounting financiers to get paid early (at a small discount) rather than wait out the delay</w:t>
            </w:r>
          </w:p>
        </w:tc>
        <w:tc>
          <w:tcPr>
            <w:tcW w:w="0" w:type="auto"/>
            <w:vAlign w:val="center"/>
            <w:hideMark/>
          </w:tcPr>
          <w:p w14:paraId="635CB41C" w14:textId="0BA23173" w:rsidR="00DF0DB2" w:rsidRPr="00DF0DB2" w:rsidRDefault="00DF0DB2" w:rsidP="00DF0DB2">
            <w:pPr>
              <w:spacing w:after="160" w:line="276" w:lineRule="auto"/>
              <w:jc w:val="both"/>
            </w:pPr>
            <w:r w:rsidRPr="00DF0DB2">
              <w:t>Existing TR</w:t>
            </w:r>
            <w:r w:rsidR="00F36858">
              <w:t>E</w:t>
            </w:r>
            <w:r w:rsidRPr="00DF0DB2">
              <w:t>DS infrastructure already does this — your product's job is just to trigger it automatically the moment an invoice sits unpaid past a threshold, since most vendors don't proactively use it</w:t>
            </w:r>
          </w:p>
        </w:tc>
      </w:tr>
      <w:tr w:rsidR="00DF0DB2" w:rsidRPr="00DF0DB2" w14:paraId="5FDE85DE" w14:textId="77777777" w:rsidTr="00DF0DB2">
        <w:trPr>
          <w:tblCellSpacing w:w="15" w:type="dxa"/>
        </w:trPr>
        <w:tc>
          <w:tcPr>
            <w:tcW w:w="0" w:type="auto"/>
            <w:vAlign w:val="center"/>
            <w:hideMark/>
          </w:tcPr>
          <w:p w14:paraId="3B9F5323" w14:textId="77777777" w:rsidR="00DF0DB2" w:rsidRPr="00DF0DB2" w:rsidRDefault="00DF0DB2" w:rsidP="00DF0DB2">
            <w:pPr>
              <w:spacing w:after="160" w:line="276" w:lineRule="auto"/>
              <w:jc w:val="both"/>
            </w:pPr>
            <w:r w:rsidRPr="00DF0DB2">
              <w:rPr>
                <w:b/>
                <w:bCs/>
              </w:rPr>
              <w:t>Working-capital gap forecaster</w:t>
            </w:r>
          </w:p>
        </w:tc>
        <w:tc>
          <w:tcPr>
            <w:tcW w:w="0" w:type="auto"/>
            <w:vAlign w:val="center"/>
            <w:hideMark/>
          </w:tcPr>
          <w:p w14:paraId="6A4541F3" w14:textId="77777777" w:rsidR="00DF0DB2" w:rsidRPr="00DF0DB2" w:rsidRDefault="00DF0DB2" w:rsidP="00DF0DB2">
            <w:pPr>
              <w:spacing w:after="160" w:line="276" w:lineRule="auto"/>
              <w:jc w:val="both"/>
            </w:pPr>
            <w:r w:rsidRPr="00DF0DB2">
              <w:t>Shows a vendor "based on your pending invoices, you'll be short ₹X in 3 weeks"</w:t>
            </w:r>
          </w:p>
        </w:tc>
        <w:tc>
          <w:tcPr>
            <w:tcW w:w="0" w:type="auto"/>
            <w:vAlign w:val="center"/>
            <w:hideMark/>
          </w:tcPr>
          <w:p w14:paraId="7DFFF81E" w14:textId="77777777" w:rsidR="00DF0DB2" w:rsidRPr="00DF0DB2" w:rsidRDefault="00DF0DB2" w:rsidP="00DF0DB2">
            <w:pPr>
              <w:spacing w:after="160" w:line="276" w:lineRule="auto"/>
              <w:jc w:val="both"/>
            </w:pPr>
            <w:r w:rsidRPr="00DF0DB2">
              <w:t>Turns an abstract compliance problem into a concrete number a vendor can take to their own bank or use to plan production</w:t>
            </w:r>
          </w:p>
        </w:tc>
      </w:tr>
    </w:tbl>
    <w:p w14:paraId="0B02E92F" w14:textId="77777777" w:rsidR="00DF0DB2" w:rsidRDefault="00DF0DB2" w:rsidP="00DF0DB2">
      <w:pPr>
        <w:spacing w:after="160" w:line="276" w:lineRule="auto"/>
        <w:jc w:val="both"/>
        <w:rPr>
          <w:b/>
          <w:bCs/>
        </w:rPr>
      </w:pPr>
    </w:p>
    <w:p w14:paraId="76C26FEF" w14:textId="4642C817" w:rsidR="00DF0DB2" w:rsidRPr="00DF0DB2" w:rsidRDefault="00DF0DB2" w:rsidP="00DF0DB2">
      <w:pPr>
        <w:spacing w:after="160" w:line="276" w:lineRule="auto"/>
        <w:jc w:val="both"/>
        <w:rPr>
          <w:b/>
          <w:bCs/>
          <w:sz w:val="32"/>
          <w:szCs w:val="32"/>
        </w:rPr>
      </w:pPr>
      <w:r w:rsidRPr="00DF0DB2">
        <w:rPr>
          <w:b/>
          <w:bCs/>
          <w:sz w:val="32"/>
          <w:szCs w:val="32"/>
        </w:rPr>
        <w:t>Layer 4 — Solve the things no single vendor can fix alone</w:t>
      </w:r>
    </w:p>
    <w:p w14:paraId="1C4D1F4F" w14:textId="77777777" w:rsidR="00DF0DB2" w:rsidRPr="00DF0DB2" w:rsidRDefault="00DF0DB2" w:rsidP="00DF0DB2">
      <w:pPr>
        <w:spacing w:after="160" w:line="276" w:lineRule="auto"/>
        <w:jc w:val="both"/>
      </w:pPr>
      <w:r w:rsidRPr="00DF0DB2">
        <w:t>This is where you turn the "no public API" weakness (flagged honestly in the report) into a strength through network effects instead of official data access.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3977"/>
        <w:gridCol w:w="4433"/>
      </w:tblGrid>
      <w:tr w:rsidR="00DF0DB2" w:rsidRPr="00DF0DB2" w14:paraId="4F98892A" w14:textId="77777777" w:rsidTr="00DF0DB2">
        <w:trPr>
          <w:tblHeader/>
          <w:tblCellSpacing w:w="15" w:type="dxa"/>
        </w:trPr>
        <w:tc>
          <w:tcPr>
            <w:tcW w:w="0" w:type="auto"/>
            <w:vAlign w:val="center"/>
            <w:hideMark/>
          </w:tcPr>
          <w:p w14:paraId="55B6DA5D" w14:textId="77777777" w:rsidR="00DF0DB2" w:rsidRPr="00DF0DB2" w:rsidRDefault="00DF0DB2" w:rsidP="00DF0DB2">
            <w:pPr>
              <w:spacing w:after="160" w:line="276" w:lineRule="auto"/>
              <w:jc w:val="both"/>
              <w:rPr>
                <w:b/>
                <w:bCs/>
              </w:rPr>
            </w:pPr>
            <w:r w:rsidRPr="00DF0DB2">
              <w:rPr>
                <w:b/>
                <w:bCs/>
              </w:rPr>
              <w:t>Feature</w:t>
            </w:r>
          </w:p>
        </w:tc>
        <w:tc>
          <w:tcPr>
            <w:tcW w:w="0" w:type="auto"/>
            <w:vAlign w:val="center"/>
            <w:hideMark/>
          </w:tcPr>
          <w:p w14:paraId="62E3F242" w14:textId="77777777" w:rsidR="00DF0DB2" w:rsidRPr="00DF0DB2" w:rsidRDefault="00DF0DB2" w:rsidP="00DF0DB2">
            <w:pPr>
              <w:spacing w:after="160" w:line="276" w:lineRule="auto"/>
              <w:jc w:val="both"/>
              <w:rPr>
                <w:b/>
                <w:bCs/>
              </w:rPr>
            </w:pPr>
            <w:r w:rsidRPr="00DF0DB2">
              <w:rPr>
                <w:b/>
                <w:bCs/>
              </w:rPr>
              <w:t>What it does</w:t>
            </w:r>
          </w:p>
        </w:tc>
        <w:tc>
          <w:tcPr>
            <w:tcW w:w="0" w:type="auto"/>
            <w:vAlign w:val="center"/>
            <w:hideMark/>
          </w:tcPr>
          <w:p w14:paraId="5DD1AAF6" w14:textId="77777777" w:rsidR="00DF0DB2" w:rsidRPr="00DF0DB2" w:rsidRDefault="00DF0DB2" w:rsidP="00DF0DB2">
            <w:pPr>
              <w:spacing w:after="160" w:line="276" w:lineRule="auto"/>
              <w:jc w:val="both"/>
              <w:rPr>
                <w:b/>
                <w:bCs/>
              </w:rPr>
            </w:pPr>
            <w:r w:rsidRPr="00DF0DB2">
              <w:rPr>
                <w:b/>
                <w:bCs/>
              </w:rPr>
              <w:t>Why it matters</w:t>
            </w:r>
          </w:p>
        </w:tc>
      </w:tr>
      <w:tr w:rsidR="00DF0DB2" w:rsidRPr="00DF0DB2" w14:paraId="3186C791" w14:textId="77777777" w:rsidTr="00DF0DB2">
        <w:trPr>
          <w:tblCellSpacing w:w="15" w:type="dxa"/>
        </w:trPr>
        <w:tc>
          <w:tcPr>
            <w:tcW w:w="0" w:type="auto"/>
            <w:vAlign w:val="center"/>
            <w:hideMark/>
          </w:tcPr>
          <w:p w14:paraId="29D2FC62" w14:textId="77777777" w:rsidR="00DF0DB2" w:rsidRPr="00DF0DB2" w:rsidRDefault="00DF0DB2" w:rsidP="00DF0DB2">
            <w:pPr>
              <w:spacing w:after="160" w:line="276" w:lineRule="auto"/>
              <w:jc w:val="both"/>
            </w:pPr>
            <w:r w:rsidRPr="00DF0DB2">
              <w:rPr>
                <w:b/>
                <w:bCs/>
              </w:rPr>
              <w:t>Crowd-sourced quota tracker</w:t>
            </w:r>
          </w:p>
        </w:tc>
        <w:tc>
          <w:tcPr>
            <w:tcW w:w="0" w:type="auto"/>
            <w:vAlign w:val="center"/>
            <w:hideMark/>
          </w:tcPr>
          <w:p w14:paraId="1E28F333" w14:textId="77777777" w:rsidR="00DF0DB2" w:rsidRPr="00DF0DB2" w:rsidRDefault="00DF0DB2" w:rsidP="00DF0DB2">
            <w:pPr>
              <w:spacing w:after="160" w:line="276" w:lineRule="auto"/>
              <w:jc w:val="both"/>
            </w:pPr>
            <w:r w:rsidRPr="00DF0DB2">
              <w:t xml:space="preserve">Vendors anonymously submit their own award/rejection data; the system aggregates it to </w:t>
            </w:r>
            <w:r w:rsidRPr="00DF0DB2">
              <w:rPr>
                <w:i/>
                <w:iCs/>
              </w:rPr>
              <w:t>estimate</w:t>
            </w:r>
            <w:r w:rsidRPr="00DF0DB2">
              <w:t xml:space="preserve"> a zone's real MSME-spend percentage</w:t>
            </w:r>
          </w:p>
        </w:tc>
        <w:tc>
          <w:tcPr>
            <w:tcW w:w="0" w:type="auto"/>
            <w:vAlign w:val="center"/>
            <w:hideMark/>
          </w:tcPr>
          <w:p w14:paraId="2406BCD4" w14:textId="77777777" w:rsidR="00DF0DB2" w:rsidRPr="00DF0DB2" w:rsidRDefault="00DF0DB2" w:rsidP="00DF0DB2">
            <w:pPr>
              <w:spacing w:after="160" w:line="276" w:lineRule="auto"/>
              <w:jc w:val="both"/>
            </w:pPr>
            <w:r w:rsidRPr="00DF0DB2">
              <w:t>Since no official API exists, this sidesteps that entirely — the more vendors join, the more accurate and defensible the estimate becomes. This is a genuine moat, not just a feature</w:t>
            </w:r>
          </w:p>
        </w:tc>
      </w:tr>
      <w:tr w:rsidR="00DF0DB2" w:rsidRPr="00DF0DB2" w14:paraId="76EBE9C4" w14:textId="77777777" w:rsidTr="00DF0DB2">
        <w:trPr>
          <w:tblCellSpacing w:w="15" w:type="dxa"/>
        </w:trPr>
        <w:tc>
          <w:tcPr>
            <w:tcW w:w="0" w:type="auto"/>
            <w:vAlign w:val="center"/>
            <w:hideMark/>
          </w:tcPr>
          <w:p w14:paraId="1AA2C225" w14:textId="77777777" w:rsidR="00DF0DB2" w:rsidRPr="00DF0DB2" w:rsidRDefault="00DF0DB2" w:rsidP="00DF0DB2">
            <w:pPr>
              <w:spacing w:after="160" w:line="276" w:lineRule="auto"/>
              <w:jc w:val="both"/>
            </w:pPr>
            <w:r w:rsidRPr="00DF0DB2">
              <w:rPr>
                <w:b/>
                <w:bCs/>
              </w:rPr>
              <w:t>Spec-change alert network</w:t>
            </w:r>
          </w:p>
        </w:tc>
        <w:tc>
          <w:tcPr>
            <w:tcW w:w="0" w:type="auto"/>
            <w:vAlign w:val="center"/>
            <w:hideMark/>
          </w:tcPr>
          <w:p w14:paraId="70FECF51" w14:textId="1DB3C3DA" w:rsidR="00DF0DB2" w:rsidRPr="00DF0DB2" w:rsidRDefault="00DF0DB2" w:rsidP="00DF0DB2">
            <w:pPr>
              <w:spacing w:after="160" w:line="276" w:lineRule="auto"/>
              <w:jc w:val="both"/>
            </w:pPr>
            <w:r w:rsidRPr="00DF0DB2">
              <w:t xml:space="preserve">The moment one vendor reports a rejected shipment due to a spec </w:t>
            </w:r>
            <w:r w:rsidR="004073EA">
              <w:t>C</w:t>
            </w:r>
            <w:r w:rsidRPr="00DF0DB2">
              <w:t>hange, every other vendor registered in that product category gets warned immediately</w:t>
            </w:r>
          </w:p>
        </w:tc>
        <w:tc>
          <w:tcPr>
            <w:tcW w:w="0" w:type="auto"/>
            <w:vAlign w:val="center"/>
            <w:hideMark/>
          </w:tcPr>
          <w:p w14:paraId="7A645A5F" w14:textId="77777777" w:rsidR="00DF0DB2" w:rsidRPr="00DF0DB2" w:rsidRDefault="00DF0DB2" w:rsidP="00DF0DB2">
            <w:pPr>
              <w:spacing w:after="160" w:line="276" w:lineRule="auto"/>
              <w:jc w:val="both"/>
            </w:pPr>
            <w:r w:rsidRPr="00DF0DB2">
              <w:t>Turns one vendor's bad experience into protection for hundreds of others — this is the single highest-leverage feature in the whole list, because it converts a real, documented failure mode (the 2025 case) into a solvable one</w:t>
            </w:r>
          </w:p>
        </w:tc>
      </w:tr>
      <w:tr w:rsidR="00DF0DB2" w:rsidRPr="00DF0DB2" w14:paraId="3A7906D7" w14:textId="77777777" w:rsidTr="00DF0DB2">
        <w:trPr>
          <w:tblCellSpacing w:w="15" w:type="dxa"/>
        </w:trPr>
        <w:tc>
          <w:tcPr>
            <w:tcW w:w="0" w:type="auto"/>
            <w:vAlign w:val="center"/>
            <w:hideMark/>
          </w:tcPr>
          <w:p w14:paraId="5373FCC3" w14:textId="77777777" w:rsidR="00DF0DB2" w:rsidRPr="00DF0DB2" w:rsidRDefault="00DF0DB2" w:rsidP="00DF0DB2">
            <w:pPr>
              <w:spacing w:after="160" w:line="276" w:lineRule="auto"/>
              <w:jc w:val="both"/>
            </w:pPr>
            <w:r w:rsidRPr="00DF0DB2">
              <w:rPr>
                <w:b/>
                <w:bCs/>
              </w:rPr>
              <w:t>Collective escalation bundling</w:t>
            </w:r>
          </w:p>
        </w:tc>
        <w:tc>
          <w:tcPr>
            <w:tcW w:w="0" w:type="auto"/>
            <w:vAlign w:val="center"/>
            <w:hideMark/>
          </w:tcPr>
          <w:p w14:paraId="23B4A8B9" w14:textId="77777777" w:rsidR="00DF0DB2" w:rsidRPr="00DF0DB2" w:rsidRDefault="00DF0DB2" w:rsidP="00DF0DB2">
            <w:pPr>
              <w:spacing w:after="160" w:line="276" w:lineRule="auto"/>
              <w:jc w:val="both"/>
            </w:pPr>
            <w:r w:rsidRPr="00DF0DB2">
              <w:t>If 10+ vendors report the same zone for the same violation, bundle it into one formal representation to the trade body or ministry, rather than 10 individually ignorable complaints</w:t>
            </w:r>
          </w:p>
        </w:tc>
        <w:tc>
          <w:tcPr>
            <w:tcW w:w="0" w:type="auto"/>
            <w:vAlign w:val="center"/>
            <w:hideMark/>
          </w:tcPr>
          <w:p w14:paraId="64B9798D" w14:textId="77777777" w:rsidR="00DF0DB2" w:rsidRPr="00DF0DB2" w:rsidRDefault="00DF0DB2" w:rsidP="00DF0DB2">
            <w:pPr>
              <w:spacing w:after="160" w:line="276" w:lineRule="auto"/>
              <w:jc w:val="both"/>
            </w:pPr>
            <w:r w:rsidRPr="00DF0DB2">
              <w:t>Directly answers the 2016 case where a lone complaint got a form-letter response — the same complaint from a bundled group of vendors is much harder to dismiss</w:t>
            </w:r>
          </w:p>
        </w:tc>
      </w:tr>
      <w:tr w:rsidR="00DF0DB2" w:rsidRPr="00DF0DB2" w14:paraId="6EA67BEF" w14:textId="77777777" w:rsidTr="00DF0DB2">
        <w:trPr>
          <w:tblCellSpacing w:w="15" w:type="dxa"/>
        </w:trPr>
        <w:tc>
          <w:tcPr>
            <w:tcW w:w="0" w:type="auto"/>
            <w:vAlign w:val="center"/>
            <w:hideMark/>
          </w:tcPr>
          <w:p w14:paraId="5008402B" w14:textId="77777777" w:rsidR="00DF0DB2" w:rsidRPr="00DF0DB2" w:rsidRDefault="00DF0DB2" w:rsidP="00DF0DB2">
            <w:pPr>
              <w:spacing w:after="160" w:line="276" w:lineRule="auto"/>
              <w:jc w:val="both"/>
            </w:pPr>
            <w:r w:rsidRPr="00DF0DB2">
              <w:rPr>
                <w:b/>
                <w:bCs/>
              </w:rPr>
              <w:t>Trade-body handoff</w:t>
            </w:r>
          </w:p>
        </w:tc>
        <w:tc>
          <w:tcPr>
            <w:tcW w:w="0" w:type="auto"/>
            <w:vAlign w:val="center"/>
            <w:hideMark/>
          </w:tcPr>
          <w:p w14:paraId="67929832" w14:textId="77777777" w:rsidR="00DF0DB2" w:rsidRPr="00DF0DB2" w:rsidRDefault="00DF0DB2" w:rsidP="00DF0DB2">
            <w:pPr>
              <w:spacing w:after="160" w:line="276" w:lineRule="auto"/>
              <w:jc w:val="both"/>
            </w:pPr>
            <w:r w:rsidRPr="00DF0DB2">
              <w:t>Auto-forward aggregated, anonymized non-compliance data to FISME or similar bodies who have real institutional leverage</w:t>
            </w:r>
          </w:p>
        </w:tc>
        <w:tc>
          <w:tcPr>
            <w:tcW w:w="0" w:type="auto"/>
            <w:vAlign w:val="center"/>
            <w:hideMark/>
          </w:tcPr>
          <w:p w14:paraId="7DE5A98D" w14:textId="77777777" w:rsidR="00DF0DB2" w:rsidRPr="00DF0DB2" w:rsidRDefault="00DF0DB2" w:rsidP="00DF0DB2">
            <w:pPr>
              <w:spacing w:after="160" w:line="276" w:lineRule="auto"/>
              <w:jc w:val="both"/>
            </w:pPr>
            <w:r w:rsidRPr="00DF0DB2">
              <w:t xml:space="preserve">Your platform doesn't need to </w:t>
            </w:r>
            <w:r w:rsidRPr="00DF0DB2">
              <w:rPr>
                <w:i/>
                <w:iCs/>
              </w:rPr>
              <w:t>be</w:t>
            </w:r>
            <w:r w:rsidRPr="00DF0DB2">
              <w:t xml:space="preserve"> the enforcement mechanism — it needs to feed the ones that already have standing</w:t>
            </w:r>
          </w:p>
        </w:tc>
      </w:tr>
    </w:tbl>
    <w:p w14:paraId="1F2DA5C9" w14:textId="77777777" w:rsidR="00DF0DB2" w:rsidRDefault="00DF0DB2">
      <w:pPr>
        <w:spacing w:after="160" w:line="276" w:lineRule="auto"/>
        <w:jc w:val="both"/>
      </w:pPr>
    </w:p>
    <w:sectPr w:rsidR="00DF0DB2">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DF7E" w14:textId="77777777" w:rsidR="005961A7" w:rsidRDefault="005961A7">
      <w:r>
        <w:separator/>
      </w:r>
    </w:p>
  </w:endnote>
  <w:endnote w:type="continuationSeparator" w:id="0">
    <w:p w14:paraId="010FC022" w14:textId="77777777" w:rsidR="005961A7" w:rsidRDefault="00596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B70F" w14:textId="77777777" w:rsidR="00762B28"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F0DB2">
      <w:rPr>
        <w:noProof/>
        <w:color w:val="666666"/>
        <w:sz w:val="18"/>
        <w:szCs w:val="18"/>
      </w:rPr>
      <w:t>3</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F0DB2">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2183" w14:textId="77777777" w:rsidR="005961A7" w:rsidRDefault="005961A7">
      <w:r>
        <w:separator/>
      </w:r>
    </w:p>
  </w:footnote>
  <w:footnote w:type="continuationSeparator" w:id="0">
    <w:p w14:paraId="5D98472F" w14:textId="77777777" w:rsidR="005961A7" w:rsidRDefault="00596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93A3" w14:textId="77777777" w:rsidR="00762B28" w:rsidRDefault="00000000">
    <w:pPr>
      <w:jc w:val="right"/>
    </w:pPr>
    <w:r>
      <w:rPr>
        <w:color w:val="666666"/>
        <w:sz w:val="16"/>
        <w:szCs w:val="16"/>
      </w:rPr>
      <w:t>MSME Compliance &amp; Payment-Monitoring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33615"/>
    <w:multiLevelType w:val="hybridMultilevel"/>
    <w:tmpl w:val="E18EAD42"/>
    <w:lvl w:ilvl="0" w:tplc="5C80F882">
      <w:start w:val="1"/>
      <w:numFmt w:val="bullet"/>
      <w:lvlText w:val="•"/>
      <w:lvlJc w:val="left"/>
      <w:pPr>
        <w:ind w:left="480" w:hanging="260"/>
      </w:pPr>
    </w:lvl>
    <w:lvl w:ilvl="1" w:tplc="46B4C668">
      <w:start w:val="1"/>
      <w:numFmt w:val="bullet"/>
      <w:lvlText w:val="◦"/>
      <w:lvlJc w:val="left"/>
      <w:pPr>
        <w:ind w:left="900" w:hanging="260"/>
      </w:pPr>
    </w:lvl>
    <w:lvl w:ilvl="2" w:tplc="13A27B74">
      <w:numFmt w:val="decimal"/>
      <w:lvlText w:val=""/>
      <w:lvlJc w:val="left"/>
    </w:lvl>
    <w:lvl w:ilvl="3" w:tplc="A5369B28">
      <w:numFmt w:val="decimal"/>
      <w:lvlText w:val=""/>
      <w:lvlJc w:val="left"/>
    </w:lvl>
    <w:lvl w:ilvl="4" w:tplc="EE026B62">
      <w:numFmt w:val="decimal"/>
      <w:lvlText w:val=""/>
      <w:lvlJc w:val="left"/>
    </w:lvl>
    <w:lvl w:ilvl="5" w:tplc="FEE64308">
      <w:numFmt w:val="decimal"/>
      <w:lvlText w:val=""/>
      <w:lvlJc w:val="left"/>
    </w:lvl>
    <w:lvl w:ilvl="6" w:tplc="DDC8C11C">
      <w:numFmt w:val="decimal"/>
      <w:lvlText w:val=""/>
      <w:lvlJc w:val="left"/>
    </w:lvl>
    <w:lvl w:ilvl="7" w:tplc="E0E8E500">
      <w:numFmt w:val="decimal"/>
      <w:lvlText w:val=""/>
      <w:lvlJc w:val="left"/>
    </w:lvl>
    <w:lvl w:ilvl="8" w:tplc="F0D6DBF6">
      <w:numFmt w:val="decimal"/>
      <w:lvlText w:val=""/>
      <w:lvlJc w:val="left"/>
    </w:lvl>
  </w:abstractNum>
  <w:abstractNum w:abstractNumId="1" w15:restartNumberingAfterBreak="0">
    <w:nsid w:val="73916500"/>
    <w:multiLevelType w:val="hybridMultilevel"/>
    <w:tmpl w:val="228CC08A"/>
    <w:lvl w:ilvl="0" w:tplc="E0D29490">
      <w:start w:val="1"/>
      <w:numFmt w:val="bullet"/>
      <w:lvlText w:val="●"/>
      <w:lvlJc w:val="left"/>
      <w:pPr>
        <w:ind w:left="720" w:hanging="360"/>
      </w:pPr>
    </w:lvl>
    <w:lvl w:ilvl="1" w:tplc="DB307E26">
      <w:start w:val="1"/>
      <w:numFmt w:val="bullet"/>
      <w:lvlText w:val="○"/>
      <w:lvlJc w:val="left"/>
      <w:pPr>
        <w:ind w:left="1440" w:hanging="360"/>
      </w:pPr>
    </w:lvl>
    <w:lvl w:ilvl="2" w:tplc="0A7206D6">
      <w:start w:val="1"/>
      <w:numFmt w:val="bullet"/>
      <w:lvlText w:val="■"/>
      <w:lvlJc w:val="left"/>
      <w:pPr>
        <w:ind w:left="2160" w:hanging="360"/>
      </w:pPr>
    </w:lvl>
    <w:lvl w:ilvl="3" w:tplc="7FB81748">
      <w:start w:val="1"/>
      <w:numFmt w:val="bullet"/>
      <w:lvlText w:val="●"/>
      <w:lvlJc w:val="left"/>
      <w:pPr>
        <w:ind w:left="2880" w:hanging="360"/>
      </w:pPr>
    </w:lvl>
    <w:lvl w:ilvl="4" w:tplc="6CE4E944">
      <w:start w:val="1"/>
      <w:numFmt w:val="bullet"/>
      <w:lvlText w:val="○"/>
      <w:lvlJc w:val="left"/>
      <w:pPr>
        <w:ind w:left="3600" w:hanging="360"/>
      </w:pPr>
    </w:lvl>
    <w:lvl w:ilvl="5" w:tplc="716252CA">
      <w:start w:val="1"/>
      <w:numFmt w:val="bullet"/>
      <w:lvlText w:val="■"/>
      <w:lvlJc w:val="left"/>
      <w:pPr>
        <w:ind w:left="4320" w:hanging="360"/>
      </w:pPr>
    </w:lvl>
    <w:lvl w:ilvl="6" w:tplc="83A86934">
      <w:start w:val="1"/>
      <w:numFmt w:val="bullet"/>
      <w:lvlText w:val="●"/>
      <w:lvlJc w:val="left"/>
      <w:pPr>
        <w:ind w:left="5040" w:hanging="360"/>
      </w:pPr>
    </w:lvl>
    <w:lvl w:ilvl="7" w:tplc="4DC4EDA2">
      <w:start w:val="1"/>
      <w:numFmt w:val="bullet"/>
      <w:lvlText w:val="●"/>
      <w:lvlJc w:val="left"/>
      <w:pPr>
        <w:ind w:left="5760" w:hanging="360"/>
      </w:pPr>
    </w:lvl>
    <w:lvl w:ilvl="8" w:tplc="E698D47E">
      <w:start w:val="1"/>
      <w:numFmt w:val="bullet"/>
      <w:lvlText w:val="●"/>
      <w:lvlJc w:val="left"/>
      <w:pPr>
        <w:ind w:left="6480" w:hanging="360"/>
      </w:pPr>
    </w:lvl>
  </w:abstractNum>
  <w:num w:numId="1" w16cid:durableId="933241285">
    <w:abstractNumId w:val="1"/>
    <w:lvlOverride w:ilvl="0">
      <w:startOverride w:val="1"/>
    </w:lvlOverride>
  </w:num>
  <w:num w:numId="2" w16cid:durableId="260726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28"/>
    <w:rsid w:val="00000A65"/>
    <w:rsid w:val="0017367E"/>
    <w:rsid w:val="004073EA"/>
    <w:rsid w:val="005920CE"/>
    <w:rsid w:val="005961A7"/>
    <w:rsid w:val="005D7584"/>
    <w:rsid w:val="00762B28"/>
    <w:rsid w:val="00777B3D"/>
    <w:rsid w:val="0080347A"/>
    <w:rsid w:val="00813101"/>
    <w:rsid w:val="00A81EF7"/>
    <w:rsid w:val="00BE2EAF"/>
    <w:rsid w:val="00D14953"/>
    <w:rsid w:val="00DF0DB2"/>
    <w:rsid w:val="00E8671E"/>
    <w:rsid w:val="00F36858"/>
    <w:rsid w:val="00FA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6FCA"/>
  <w15:docId w15:val="{5421B8B8-16E6-45FD-BAAA-F6B42EB1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semiHidden/>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F0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E5AAD-43BF-4FFF-8785-80AF99ADE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3802</Words>
  <Characters>21677</Characters>
  <Application>Microsoft Office Word</Application>
  <DocSecurity>0</DocSecurity>
  <Lines>180</Lines>
  <Paragraphs>50</Paragraphs>
  <ScaleCrop>false</ScaleCrop>
  <Company/>
  <LinksUpToDate>false</LinksUpToDate>
  <CharactersWithSpaces>25429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SHARMA</cp:lastModifiedBy>
  <cp:revision>13</cp:revision>
  <dcterms:created xsi:type="dcterms:W3CDTF">2026-09-26T04:37:00Z</dcterms:created>
  <dcterms:modified xsi:type="dcterms:W3CDTF">2026-09-26T06:32:00Z</dcterms:modified>
</cp:coreProperties>
</file>