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F3864"/>
          <w:sz w:val="24"/>
          <w:szCs w:val="24"/>
        </w:rPr>
        <w:t xml:space="preserve">Ecole Hassania des Travaux Publics (EHTP)</w:t>
      </w:r>
    </w:p>
    <w:p>
      <w:pPr>
        <w:spacing w:after="400" w:before="0"/>
        <w:jc w:val="center"/>
      </w:pPr>
      <w:r>
        <w:rPr>
          <w:rFonts w:ascii="Arial" w:cs="Arial" w:eastAsia="Arial" w:hAnsi="Arial"/>
          <w:b w:val="false"/>
          <w:bCs w:val="false"/>
          <w:color w:val="555555"/>
          <w:sz w:val="19"/>
          <w:szCs w:val="19"/>
        </w:rPr>
        <w:t xml:space="preserve">Department of Mathematics, Computer Science &amp; Geomatics</w:t>
      </w:r>
    </w:p>
    <w:p>
      <w:pPr>
        <w:pBdr>
          <w:bottom w:val="single" w:color="1F3864" w:sz="12" w:space="1"/>
        </w:pBdr>
        <w:spacing w:after="120" w:before="0"/>
      </w:pPr>
      <w:r>
        <w:t xml:space="preserve"/>
      </w:r>
    </w:p>
    <w:p>
      <w:pPr>
        <w:spacing w:after="100" w:before="200"/>
        <w:jc w:val="center"/>
      </w:pPr>
      <w:r>
        <w:rPr>
          <w:rFonts w:ascii="Arial" w:cs="Arial" w:eastAsia="Arial" w:hAnsi="Arial"/>
          <w:b/>
          <w:bCs/>
          <w:color w:val="1F3864"/>
          <w:sz w:val="44"/>
          <w:szCs w:val="44"/>
        </w:rPr>
        <w:t xml:space="preserve">Project Proposal</w:t>
      </w:r>
    </w:p>
    <w:p>
      <w:pPr>
        <w:spacing w:after="200" w:before="0"/>
        <w:jc w:val="center"/>
      </w:pPr>
      <w:r>
        <w:rPr>
          <w:rFonts w:ascii="Arial" w:cs="Arial" w:eastAsia="Arial" w:hAnsi="Arial"/>
          <w:b/>
          <w:bCs/>
          <w:color w:val="1F3864"/>
          <w:sz w:val="26"/>
          <w:szCs w:val="26"/>
        </w:rPr>
        <w:t xml:space="preserve">GameFlow — Behavior-Driven Game Recommendation System</w:t>
      </w:r>
    </w:p>
    <w:p>
      <w:pPr>
        <w:pBdr>
          <w:bottom w:val="single" w:color="1F3864" w:sz="12" w:space="1"/>
        </w:pBdr>
        <w:spacing w:after="400" w:before="0"/>
      </w:pPr>
      <w:r>
        <w:t xml:space="preserve"/>
      </w:r>
    </w:p>
    <w:p>
      <w:pPr>
        <w:spacing w:after="20" w:before="80"/>
        <w:jc w:val="center"/>
      </w:pPr>
      <w:r>
        <w:rPr>
          <w:rFonts w:ascii="Arial" w:cs="Arial" w:eastAsia="Arial" w:hAnsi="Arial"/>
          <w:b/>
          <w:bCs/>
          <w:color w:val="000000"/>
          <w:sz w:val="20"/>
          <w:szCs w:val="20"/>
        </w:rPr>
        <w:t xml:space="preserve">Prepared by:</w:t>
      </w:r>
    </w:p>
    <w:p>
      <w:pPr>
        <w:spacing w:after="60" w:before="0"/>
        <w:jc w:val="center"/>
      </w:pPr>
      <w:r>
        <w:rPr>
          <w:rFonts w:ascii="Arial" w:cs="Arial" w:eastAsia="Arial" w:hAnsi="Arial"/>
          <w:b w:val="false"/>
          <w:bCs w:val="false"/>
          <w:color w:val="2E5494"/>
          <w:sz w:val="20"/>
          <w:szCs w:val="20"/>
        </w:rPr>
        <w:t xml:space="preserve">Akby Anass | Omar Amdouni</w:t>
      </w:r>
    </w:p>
    <w:p>
      <w:pPr>
        <w:spacing w:after="20" w:before="40"/>
        <w:jc w:val="center"/>
      </w:pPr>
      <w:r>
        <w:rPr>
          <w:rFonts w:ascii="Arial" w:cs="Arial" w:eastAsia="Arial" w:hAnsi="Arial"/>
          <w:b/>
          <w:bCs/>
          <w:color w:val="000000"/>
          <w:sz w:val="20"/>
          <w:szCs w:val="20"/>
        </w:rPr>
        <w:t xml:space="preserve">Module:</w:t>
      </w:r>
    </w:p>
    <w:p>
      <w:pPr>
        <w:spacing w:after="60" w:before="0"/>
        <w:jc w:val="center"/>
      </w:pPr>
      <w:r>
        <w:rPr>
          <w:rFonts w:ascii="Arial" w:cs="Arial" w:eastAsia="Arial" w:hAnsi="Arial"/>
          <w:b w:val="false"/>
          <w:bCs w:val="false"/>
          <w:color w:val="2E5494"/>
          <w:sz w:val="20"/>
          <w:szCs w:val="20"/>
        </w:rPr>
        <w:t xml:space="preserve">AI &amp; Data Science Basics</w:t>
      </w:r>
    </w:p>
    <w:p>
      <w:pPr>
        <w:spacing w:after="20" w:before="40"/>
        <w:jc w:val="center"/>
      </w:pPr>
      <w:r>
        <w:rPr>
          <w:rFonts w:ascii="Arial" w:cs="Arial" w:eastAsia="Arial" w:hAnsi="Arial"/>
          <w:b/>
          <w:bCs/>
          <w:color w:val="000000"/>
          <w:sz w:val="20"/>
          <w:szCs w:val="20"/>
        </w:rPr>
        <w:t xml:space="preserve">Instructor:</w:t>
      </w:r>
    </w:p>
    <w:p>
      <w:pPr>
        <w:spacing w:after="60" w:before="0"/>
        <w:jc w:val="center"/>
      </w:pPr>
      <w:r>
        <w:rPr>
          <w:rFonts w:ascii="Arial" w:cs="Arial" w:eastAsia="Arial" w:hAnsi="Arial"/>
          <w:b w:val="false"/>
          <w:bCs w:val="false"/>
          <w:color w:val="2E5494"/>
          <w:sz w:val="20"/>
          <w:szCs w:val="20"/>
        </w:rPr>
        <w:t xml:space="preserve">Dr. Rym Nassih</w:t>
      </w:r>
    </w:p>
    <w:p>
      <w:pPr>
        <w:spacing w:after="20" w:before="40"/>
        <w:jc w:val="center"/>
      </w:pPr>
      <w:r>
        <w:rPr>
          <w:rFonts w:ascii="Arial" w:cs="Arial" w:eastAsia="Arial" w:hAnsi="Arial"/>
          <w:b/>
          <w:bCs/>
          <w:color w:val="000000"/>
          <w:sz w:val="20"/>
          <w:szCs w:val="20"/>
        </w:rPr>
        <w:t xml:space="preserve">Department:</w:t>
      </w:r>
    </w:p>
    <w:p>
      <w:pPr>
        <w:spacing w:after="120" w:before="0"/>
        <w:jc w:val="center"/>
      </w:pPr>
      <w:r>
        <w:rPr>
          <w:rFonts w:ascii="Arial" w:cs="Arial" w:eastAsia="Arial" w:hAnsi="Arial"/>
          <w:b w:val="false"/>
          <w:bCs w:val="false"/>
          <w:color w:val="2E5494"/>
          <w:sz w:val="20"/>
          <w:szCs w:val="20"/>
        </w:rPr>
        <w:t xml:space="preserve">MIG — EHTP</w:t>
      </w:r>
    </w:p>
    <w:p>
      <w:pPr>
        <w:spacing w:after="80" w:before="200"/>
        <w:jc w:val="center"/>
      </w:pPr>
      <w:r>
        <w:rPr>
          <w:rFonts w:ascii="Arial" w:cs="Arial" w:eastAsia="Arial" w:hAnsi="Arial"/>
          <w:b/>
          <w:bCs/>
          <w:color w:val="1F3864"/>
          <w:sz w:val="22"/>
          <w:szCs w:val="22"/>
        </w:rPr>
        <w:t xml:space="preserve">Academic Year 2025–2026</w:t>
      </w:r>
    </w:p>
    <w:p>
      <w:pPr>
        <w:sectPr>
          <w:pgSz w:w="11906" w:h="16838" w:orient="portrait"/>
          <w:pgMar w:top="1440" w:right="1440" w:bottom="1440" w:left="1440" w:header="708" w:footer="708" w:gutter="0"/>
          <w:pgNumType/>
          <w:docGrid w:linePitch="360"/>
        </w:sectPr>
      </w:pPr>
    </w:p>
    <w:p>
      <w:pPr>
        <w:pBdr>
          <w:bottom w:val="single" w:color="2E5494" w:sz="6" w:space="2"/>
        </w:pBdr>
        <w:spacing w:after="60" w:before="280"/>
      </w:pPr>
      <w:r>
        <w:rPr>
          <w:rFonts w:ascii="Arial" w:cs="Arial" w:eastAsia="Arial" w:hAnsi="Arial"/>
          <w:b/>
          <w:bCs/>
          <w:color w:val="1F3864"/>
          <w:sz w:val="26"/>
          <w:szCs w:val="26"/>
        </w:rPr>
        <w:t xml:space="preserve">1. Problem Domain &amp; Statement</w:t>
      </w:r>
    </w:p>
    <w:p>
      <w:pPr>
        <w:spacing w:after="100" w:before="80"/>
        <w:jc w:val="left"/>
      </w:pPr>
      <w:r>
        <w:rPr>
          <w:rFonts w:ascii="Arial" w:cs="Arial" w:eastAsia="Arial" w:hAnsi="Arial"/>
          <w:b w:val="false"/>
          <w:bCs w:val="false"/>
          <w:color w:val="000000"/>
          <w:sz w:val="20"/>
          <w:szCs w:val="20"/>
        </w:rPr>
        <w:t xml:space="preserve">Domain: </w:t>
      </w:r>
      <w:r>
        <w:rPr>
          <w:rFonts w:ascii="Arial" w:cs="Arial" w:eastAsia="Arial" w:hAnsi="Arial"/>
          <w:b/>
          <w:bCs/>
          <w:color w:val="000000"/>
          <w:sz w:val="20"/>
          <w:szCs w:val="20"/>
        </w:rPr>
        <w:t xml:space="preserve">Recommendation System</w:t>
      </w:r>
    </w:p>
    <w:p>
      <w:pPr>
        <w:shd w:fill="1F3864" w:val="clear"/>
        <w:spacing w:after="0" w:before="0"/>
        <w:ind w:left="0"/>
      </w:pPr>
      <w:r>
        <w:rPr>
          <w:rFonts w:ascii="Arial" w:cs="Arial" w:eastAsia="Arial" w:hAnsi="Arial"/>
          <w:b/>
          <w:bCs/>
          <w:color w:val="FFFFFF"/>
          <w:sz w:val="18"/>
          <w:szCs w:val="18"/>
        </w:rPr>
        <w:t xml:space="preserve">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BF3FB" w:val="clear"/>
            <w:tcMar>
              <w:top w:type="dxa" w:w="120"/>
              <w:left w:type="dxa" w:w="180"/>
              <w:bottom w:type="dxa" w:w="120"/>
              <w:right w:type="dxa" w:w="180"/>
            </w:tcMar>
          </w:tcPr>
          <w:p>
            <w:pPr>
              <w:spacing w:after="60" w:before="60"/>
              <w:jc w:val="left"/>
            </w:pPr>
            <w:r>
              <w:rPr>
                <w:rFonts w:ascii="Arial" w:cs="Arial" w:eastAsia="Arial" w:hAnsi="Arial"/>
                <w:b w:val="false"/>
                <w:bCs w:val="false"/>
                <w:color w:val="000000"/>
                <w:sz w:val="20"/>
                <w:szCs w:val="20"/>
              </w:rPr>
              <w:t xml:space="preserve">We are building a personalized video game recommendation engine for Steam users. Unlike conventional systems that recommend by genre tags, GameFlow recommends by behavioral profile — how a player actually plays (session intensity, completion ratio, competitive tendency, narrative affinity) rather than what genres they claim to prefer. The system targets gamers who struggle to discover relevant titles in a catalogue of 50,000+ games. It matters because genre-based filtering fails to distinguish two players who both own an RPG but play it in fundamentally different ways — one finishes every quest, the other explores freely and moves on. GameFlow captures that distinction and produces meaningfully differentiated recommendations for each player.</w:t>
            </w:r>
          </w:p>
        </w:tc>
      </w:tr>
    </w:tbl>
    <w:p>
      <w:pPr>
        <w:spacing w:after="60" w:before="200"/>
      </w:pPr>
      <w:r>
        <w:t xml:space="preserve"/>
      </w:r>
    </w:p>
    <w:p>
      <w:pPr>
        <w:pBdr>
          <w:bottom w:val="single" w:color="2E5494" w:sz="6" w:space="2"/>
        </w:pBdr>
        <w:spacing w:after="60" w:before="280"/>
      </w:pPr>
      <w:r>
        <w:rPr>
          <w:rFonts w:ascii="Arial" w:cs="Arial" w:eastAsia="Arial" w:hAnsi="Arial"/>
          <w:b/>
          <w:bCs/>
          <w:color w:val="1F3864"/>
          <w:sz w:val="26"/>
          <w:szCs w:val="26"/>
        </w:rPr>
        <w:t xml:space="preserve">2. Dataset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660"/>
        <w:gridCol w:w="3000"/>
      </w:tblGrid>
      <w:tr>
        <w:tc>
          <w:tcPr>
            <w:tcW w:type="dxa" w:w="17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Dataset</w:t>
            </w:r>
          </w:p>
        </w:tc>
        <w:tc>
          <w:tcPr>
            <w:tcW w:type="dxa" w:w="30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Source URL</w:t>
            </w:r>
          </w:p>
        </w:tc>
        <w:tc>
          <w:tcPr>
            <w:tcW w:type="dxa" w:w="166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Size</w:t>
            </w:r>
          </w:p>
        </w:tc>
        <w:tc>
          <w:tcPr>
            <w:tcW w:type="dxa" w:w="30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Role</w:t>
            </w:r>
          </w:p>
        </w:tc>
      </w:tr>
      <w:tr>
        <w:tc>
          <w:tcPr>
            <w:tcW w:type="dxa" w:w="17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Steam-200k</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Courier New" w:cs="Courier New" w:eastAsia="Courier New" w:hAnsi="Courier New"/>
                <w:b w:val="false"/>
                <w:bCs w:val="false"/>
                <w:color w:val="2E5494"/>
                <w:sz w:val="17"/>
                <w:szCs w:val="17"/>
              </w:rPr>
              <w:t xml:space="preserve">kaggle.com/datasets/tamber/</w:t>
            </w:r>
            <w:r>
              <w:rPr>
                <w:rFonts w:ascii="Arial" w:cs="Arial" w:eastAsia="Arial" w:hAnsi="Arial"/>
                <w:b w:val="false"/>
                <w:bCs w:val="false"/>
                <w:color w:val="000000"/>
                <w:sz w:val="20"/>
                <w:szCs w:val="20"/>
              </w:rPr>
              <w:t xml:space="preserve"/>
            </w:r>
            <w:r>
              <w:rPr>
                <w:rFonts w:ascii="Courier New" w:cs="Courier New" w:eastAsia="Courier New" w:hAnsi="Courier New"/>
                <w:b w:val="false"/>
                <w:bCs w:val="false"/>
                <w:color w:val="2E5494"/>
                <w:sz w:val="17"/>
                <w:szCs w:val="17"/>
              </w:rPr>
              <w:t xml:space="preserve">
steam-video-games</w:t>
            </w:r>
          </w:p>
        </w:tc>
        <w:tc>
          <w:tcPr>
            <w:tcW w:type="dxa" w:w="16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~200,000 rows
5,155 games</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Primary — behavioral CF + feature engineering</w:t>
            </w:r>
          </w:p>
        </w:tc>
      </w:tr>
      <w:tr>
        <w:tc>
          <w:tcPr>
            <w:tcW w:type="dxa" w:w="17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Steam Games
Metadata</w:t>
            </w:r>
          </w:p>
        </w:tc>
        <w:tc>
          <w:tcPr>
            <w:tcW w:type="dxa" w:w="30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Courier New" w:cs="Courier New" w:eastAsia="Courier New" w:hAnsi="Courier New"/>
                <w:b w:val="false"/>
                <w:bCs w:val="false"/>
                <w:color w:val="2E5494"/>
                <w:sz w:val="17"/>
                <w:szCs w:val="17"/>
              </w:rPr>
              <w:t xml:space="preserve">kaggle.com/datasets/nikdavis/
steam-store-games</w:t>
            </w:r>
          </w:p>
        </w:tc>
        <w:tc>
          <w:tcPr>
            <w:tcW w:type="dxa" w:w="16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27,000+ games
18 columns</w:t>
            </w:r>
          </w:p>
        </w:tc>
        <w:tc>
          <w:tcPr>
            <w:tcW w:type="dxa" w:w="30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Enrichment — tags, genres, descriptions for content-based layer</w:t>
            </w:r>
          </w:p>
        </w:tc>
      </w:tr>
    </w:tbl>
    <w:p>
      <w:pPr>
        <w:spacing w:after="60" w:before="100"/>
      </w:pPr>
      <w:r>
        <w:t xml:space="preserve"/>
      </w:r>
    </w:p>
    <w:p>
      <w:pPr>
        <w:spacing w:after="60" w:before="60"/>
        <w:jc w:val="left"/>
      </w:pPr>
      <w:r>
        <w:rPr>
          <w:rFonts w:ascii="Arial" w:cs="Arial" w:eastAsia="Arial" w:hAnsi="Arial"/>
          <w:b w:val="false"/>
          <w:bCs w:val="false"/>
          <w:color w:val="000000"/>
          <w:sz w:val="20"/>
          <w:szCs w:val="20"/>
        </w:rPr>
        <w:t xml:space="preserve">The primary dataset provides three columns per interaction: </w:t>
      </w:r>
      <w:r>
        <w:rPr>
          <w:rFonts w:ascii="Courier New" w:cs="Courier New" w:eastAsia="Courier New" w:hAnsi="Courier New"/>
          <w:b w:val="false"/>
          <w:bCs w:val="false"/>
          <w:color w:val="000000"/>
          <w:sz w:val="19"/>
          <w:szCs w:val="19"/>
        </w:rPr>
        <w:t xml:space="preserve">user_id</w:t>
      </w:r>
      <w:r>
        <w:rPr>
          <w:rFonts w:ascii="Arial" w:cs="Arial" w:eastAsia="Arial" w:hAnsi="Arial"/>
          <w:b w:val="false"/>
          <w:bCs w:val="false"/>
          <w:color w:val="000000"/>
          <w:sz w:val="20"/>
          <w:szCs w:val="20"/>
        </w:rPr>
        <w:t xml:space="preserve">, </w:t>
      </w:r>
      <w:r>
        <w:rPr>
          <w:rFonts w:ascii="Courier New" w:cs="Courier New" w:eastAsia="Courier New" w:hAnsi="Courier New"/>
          <w:b w:val="false"/>
          <w:bCs w:val="false"/>
          <w:color w:val="000000"/>
          <w:sz w:val="19"/>
          <w:szCs w:val="19"/>
        </w:rPr>
        <w:t xml:space="preserve">game_title</w:t>
      </w:r>
      <w:r>
        <w:rPr>
          <w:rFonts w:ascii="Arial" w:cs="Arial" w:eastAsia="Arial" w:hAnsi="Arial"/>
          <w:b w:val="false"/>
          <w:bCs w:val="false"/>
          <w:color w:val="000000"/>
          <w:sz w:val="20"/>
          <w:szCs w:val="20"/>
        </w:rPr>
        <w:t xml:space="preserve">, and </w:t>
      </w:r>
      <w:r>
        <w:rPr>
          <w:rFonts w:ascii="Courier New" w:cs="Courier New" w:eastAsia="Courier New" w:hAnsi="Courier New"/>
          <w:b w:val="false"/>
          <w:bCs w:val="false"/>
          <w:color w:val="000000"/>
          <w:sz w:val="19"/>
          <w:szCs w:val="19"/>
        </w:rPr>
        <w:t xml:space="preserve">hours_played</w:t>
      </w:r>
      <w:r>
        <w:rPr>
          <w:rFonts w:ascii="Arial" w:cs="Arial" w:eastAsia="Arial" w:hAnsi="Arial"/>
          <w:b w:val="false"/>
          <w:bCs w:val="false"/>
          <w:color w:val="000000"/>
          <w:sz w:val="20"/>
          <w:szCs w:val="20"/>
        </w:rPr>
        <w:t xml:space="preserve">. Hours played is an implicit, honest behavioral signal far stronger than explicit ratings, which are sparse and biased. The enrichment dataset adds textual tags, genres, and descriptions, enabling the content-based filtering layer of the hybrid model. </w:t>
      </w:r>
      <w:r>
        <w:rPr>
          <w:rFonts w:ascii="Arial" w:cs="Arial" w:eastAsia="Arial" w:hAnsi="Arial"/>
          <w:b/>
          <w:bCs/>
          <w:color w:val="000000"/>
          <w:sz w:val="20"/>
          <w:szCs w:val="20"/>
        </w:rPr>
        <w:t xml:space="preserve">Note on data availability:</w:t>
      </w:r>
      <w:r>
        <w:rPr>
          <w:rFonts w:ascii="Arial" w:cs="Arial" w:eastAsia="Arial" w:hAnsi="Arial"/>
          <w:b w:val="false"/>
          <w:bCs w:val="false"/>
          <w:color w:val="000000"/>
          <w:sz w:val="20"/>
          <w:szCs w:val="20"/>
        </w:rPr>
        <w:t xml:space="preserve"> Steam’s public API was restricted in 2019 — no public dataset contains granular per-session data. Session-level features will be constructed as justified proxies from playtime, a deliberate and documented feature engineering decision evaluated in Phase 3. The nikdavis metadata dataset supplies the median playtime per game required for </w:t>
      </w:r>
      <w:r>
        <w:rPr>
          <w:rFonts w:ascii="Courier New" w:cs="Courier New" w:eastAsia="Courier New" w:hAnsi="Courier New"/>
          <w:b w:val="false"/>
          <w:bCs w:val="false"/>
          <w:color w:val="000000"/>
          <w:sz w:val="19"/>
          <w:szCs w:val="19"/>
        </w:rPr>
        <w:t xml:space="preserve">completion_ratio</w:t>
      </w:r>
      <w:r>
        <w:rPr>
          <w:rFonts w:ascii="Arial" w:cs="Arial" w:eastAsia="Arial" w:hAnsi="Arial"/>
          <w:b w:val="false"/>
          <w:bCs w:val="false"/>
          <w:color w:val="000000"/>
          <w:sz w:val="20"/>
          <w:szCs w:val="20"/>
        </w:rPr>
        <w:t xml:space="preserve">, and the community tags (</w:t>
      </w:r>
      <w:r>
        <w:rPr>
          <w:rFonts w:ascii="Arial" w:cs="Arial" w:eastAsia="Arial" w:hAnsi="Arial"/>
          <w:b w:val="false"/>
          <w:bCs w:val="false"/>
          <w:color w:val="000000"/>
          <w:sz w:val="20"/>
          <w:szCs w:val="20"/>
        </w:rPr>
        <w:t xml:space="preserve">Multiplayer</w:t>
      </w:r>
      <w:r>
        <w:rPr>
          <w:rFonts w:ascii="Arial" w:cs="Arial" w:eastAsia="Arial" w:hAnsi="Arial"/>
          <w:b w:val="false"/>
          <w:bCs w:val="false"/>
          <w:color w:val="000000"/>
          <w:sz w:val="20"/>
          <w:szCs w:val="20"/>
        </w:rPr>
        <w:t xml:space="preserve">, </w:t>
      </w:r>
      <w:r>
        <w:rPr>
          <w:rFonts w:ascii="Arial" w:cs="Arial" w:eastAsia="Arial" w:hAnsi="Arial"/>
          <w:b w:val="false"/>
          <w:bCs w:val="false"/>
          <w:color w:val="000000"/>
          <w:sz w:val="20"/>
          <w:szCs w:val="20"/>
        </w:rPr>
        <w:t xml:space="preserve">Open World</w:t>
      </w:r>
      <w:r>
        <w:rPr>
          <w:rFonts w:ascii="Arial" w:cs="Arial" w:eastAsia="Arial" w:hAnsi="Arial"/>
          <w:b w:val="false"/>
          <w:bCs w:val="false"/>
          <w:color w:val="000000"/>
          <w:sz w:val="20"/>
          <w:szCs w:val="20"/>
        </w:rPr>
        <w:t xml:space="preserve">, </w:t>
      </w:r>
      <w:r>
        <w:rPr>
          <w:rFonts w:ascii="Arial" w:cs="Arial" w:eastAsia="Arial" w:hAnsi="Arial"/>
          <w:b w:val="false"/>
          <w:bCs w:val="false"/>
          <w:color w:val="000000"/>
          <w:sz w:val="20"/>
          <w:szCs w:val="20"/>
        </w:rPr>
        <w:t xml:space="preserve">Story Rich</w:t>
      </w:r>
      <w:r>
        <w:rPr>
          <w:rFonts w:ascii="Arial" w:cs="Arial" w:eastAsia="Arial" w:hAnsi="Arial"/>
          <w:b w:val="false"/>
          <w:bCs w:val="false"/>
          <w:color w:val="000000"/>
          <w:sz w:val="20"/>
          <w:szCs w:val="20"/>
        </w:rPr>
        <w:t xml:space="preserve">) needed for </w:t>
      </w:r>
      <w:r>
        <w:rPr>
          <w:rFonts w:ascii="Courier New" w:cs="Courier New" w:eastAsia="Courier New" w:hAnsi="Courier New"/>
          <w:b w:val="false"/>
          <w:bCs w:val="false"/>
          <w:color w:val="000000"/>
          <w:sz w:val="19"/>
          <w:szCs w:val="19"/>
        </w:rPr>
        <w:t xml:space="preserve">competitive_index</w:t>
      </w:r>
      <w:r>
        <w:rPr>
          <w:rFonts w:ascii="Arial" w:cs="Arial" w:eastAsia="Arial" w:hAnsi="Arial"/>
          <w:b w:val="false"/>
          <w:bCs w:val="false"/>
          <w:color w:val="000000"/>
          <w:sz w:val="20"/>
          <w:szCs w:val="20"/>
        </w:rPr>
        <w:t xml:space="preserve">, </w:t>
      </w:r>
      <w:r>
        <w:rPr>
          <w:rFonts w:ascii="Courier New" w:cs="Courier New" w:eastAsia="Courier New" w:hAnsi="Courier New"/>
          <w:b w:val="false"/>
          <w:bCs w:val="false"/>
          <w:color w:val="000000"/>
          <w:sz w:val="19"/>
          <w:szCs w:val="19"/>
        </w:rPr>
        <w:t xml:space="preserve">exploration_score</w:t>
      </w:r>
      <w:r>
        <w:rPr>
          <w:rFonts w:ascii="Arial" w:cs="Arial" w:eastAsia="Arial" w:hAnsi="Arial"/>
          <w:b w:val="false"/>
          <w:bCs w:val="false"/>
          <w:color w:val="000000"/>
          <w:sz w:val="20"/>
          <w:szCs w:val="20"/>
        </w:rPr>
        <w:t xml:space="preserve">, and </w:t>
      </w:r>
      <w:r>
        <w:rPr>
          <w:rFonts w:ascii="Courier New" w:cs="Courier New" w:eastAsia="Courier New" w:hAnsi="Courier New"/>
          <w:b w:val="false"/>
          <w:bCs w:val="false"/>
          <w:color w:val="000000"/>
          <w:sz w:val="19"/>
          <w:szCs w:val="19"/>
        </w:rPr>
        <w:t xml:space="preserve">narrative_affinity</w:t>
      </w:r>
      <w:r>
        <w:rPr>
          <w:rFonts w:ascii="Arial" w:cs="Arial" w:eastAsia="Arial" w:hAnsi="Arial"/>
          <w:b w:val="false"/>
          <w:bCs w:val="false"/>
          <w:color w:val="000000"/>
          <w:sz w:val="20"/>
          <w:szCs w:val="20"/>
        </w:rPr>
        <w:t xml:space="preserve">.</w:t>
      </w:r>
    </w:p>
    <w:p>
      <w:pPr>
        <w:spacing w:after="60" w:before="200"/>
      </w:pPr>
      <w:r>
        <w:t xml:space="preserve"/>
      </w:r>
    </w:p>
    <w:p>
      <w:pPr>
        <w:pBdr>
          <w:bottom w:val="single" w:color="2E5494" w:sz="6" w:space="2"/>
        </w:pBdr>
        <w:spacing w:after="60" w:before="280"/>
      </w:pPr>
      <w:r>
        <w:rPr>
          <w:rFonts w:ascii="Arial" w:cs="Arial" w:eastAsia="Arial" w:hAnsi="Arial"/>
          <w:b/>
          <w:bCs/>
          <w:color w:val="1F3864"/>
          <w:sz w:val="26"/>
          <w:szCs w:val="26"/>
        </w:rPr>
        <w:t xml:space="preserve">3. Dataset Validation — 7 Criteria</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2060"/>
        <w:gridCol w:w="5000"/>
      </w:tblGrid>
      <w:tr>
        <w:tc>
          <w:tcPr>
            <w:tcW w:type="dxa" w:w="4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N</w:t>
            </w:r>
          </w:p>
        </w:tc>
        <w:tc>
          <w:tcPr>
            <w:tcW w:type="dxa" w:w="19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Criterion</w:t>
            </w:r>
          </w:p>
        </w:tc>
        <w:tc>
          <w:tcPr>
            <w:tcW w:type="dxa" w:w="206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Requirement</w:t>
            </w:r>
          </w:p>
        </w:tc>
        <w:tc>
          <w:tcPr>
            <w:tcW w:type="dxa" w:w="50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Verification</w:t>
            </w:r>
          </w:p>
        </w:tc>
      </w:tr>
      <w:tr>
        <w:tc>
          <w:tcPr>
            <w:tcW w:type="dxa" w:w="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1</w:t>
            </w:r>
          </w:p>
        </w:tc>
        <w:tc>
          <w:tcPr>
            <w:tcW w:type="dxa" w:w="19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Minimum size</w:t>
            </w:r>
          </w:p>
        </w:tc>
        <w:tc>
          <w:tcPr>
            <w:tcW w:type="dxa" w:w="20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1,000+ rows · 8+
features</w:t>
            </w:r>
          </w:p>
        </w:tc>
        <w:tc>
          <w:tcPr>
            <w:tcW w:type="dxa" w:w="5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200,000 interactions. After join with metadata: 10+ features per record.</w:t>
            </w:r>
          </w:p>
        </w:tc>
      </w:tr>
      <w:tr>
        <w:tc>
          <w:tcPr>
            <w:tcW w:type="dxa" w:w="4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w:t>
            </w:r>
          </w:p>
        </w:tc>
        <w:tc>
          <w:tcPr>
            <w:tcW w:type="dxa" w:w="19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Public availability</w:t>
            </w:r>
          </w:p>
        </w:tc>
        <w:tc>
          <w:tcPr>
            <w:tcW w:type="dxa" w:w="20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Kaggle / UCI / OpenML</w:t>
            </w:r>
          </w:p>
        </w:tc>
        <w:tc>
          <w:tcPr>
            <w:tcW w:type="dxa" w:w="50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kaggle.com/datasets/tamber/steam-video-games — open access.</w:t>
            </w:r>
          </w:p>
        </w:tc>
      </w:tr>
      <w:tr>
        <w:tc>
          <w:tcPr>
            <w:tcW w:type="dxa" w:w="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3</w:t>
            </w:r>
          </w:p>
        </w:tc>
        <w:tc>
          <w:tcPr>
            <w:tcW w:type="dxa" w:w="19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Real-world origin</w:t>
            </w:r>
          </w:p>
        </w:tc>
        <w:tc>
          <w:tcPr>
            <w:tcW w:type="dxa" w:w="20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Real observations, not synthetic</w:t>
            </w:r>
          </w:p>
        </w:tc>
        <w:tc>
          <w:tcPr>
            <w:tcW w:type="dxa" w:w="5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Extracted from actual Steam user libraries. Real IDs, real hours played.</w:t>
            </w:r>
          </w:p>
        </w:tc>
      </w:tr>
      <w:tr>
        <w:tc>
          <w:tcPr>
            <w:tcW w:type="dxa" w:w="4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4</w:t>
            </w:r>
          </w:p>
        </w:tc>
        <w:tc>
          <w:tcPr>
            <w:tcW w:type="dxa" w:w="19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Heterogeneous features</w:t>
            </w:r>
          </w:p>
        </w:tc>
        <w:tc>
          <w:tcPr>
            <w:tcW w:type="dxa" w:w="20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2+ distinct feature types</w:t>
            </w:r>
          </w:p>
        </w:tc>
        <w:tc>
          <w:tcPr>
            <w:tcW w:type="dxa" w:w="50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Numerical (hours_played), categorical (game title), textual (tags via join).</w:t>
            </w:r>
          </w:p>
        </w:tc>
      </w:tr>
      <w:tr>
        <w:tc>
          <w:tcPr>
            <w:tcW w:type="dxa" w:w="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5</w:t>
            </w:r>
          </w:p>
        </w:tc>
        <w:tc>
          <w:tcPr>
            <w:tcW w:type="dxa" w:w="19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Imperfections</w:t>
            </w:r>
          </w:p>
        </w:tc>
        <w:tc>
          <w:tcPr>
            <w:tcW w:type="dxa" w:w="20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Missing values, noise, duplicates</w:t>
            </w:r>
          </w:p>
        </w:tc>
        <w:tc>
          <w:tcPr>
            <w:tcW w:type="dxa" w:w="5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Duplicate purchase/play pairs, zero-hour entries (purchased not played), extreme outliers (10,000h+). ~30% of metadata games missing genre tags.</w:t>
            </w:r>
          </w:p>
        </w:tc>
      </w:tr>
      <w:tr>
        <w:tc>
          <w:tcPr>
            <w:tcW w:type="dxa" w:w="4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6</w:t>
            </w:r>
          </w:p>
        </w:tc>
        <w:tc>
          <w:tcPr>
            <w:tcW w:type="dxa" w:w="19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Clear objective</w:t>
            </w:r>
          </w:p>
        </w:tc>
        <w:tc>
          <w:tcPr>
            <w:tcW w:type="dxa" w:w="20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Unsupervised: clustering or reduction goal</w:t>
            </w:r>
          </w:p>
        </w:tc>
        <w:tc>
          <w:tcPr>
            <w:tcW w:type="dxa" w:w="50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Generate ranked Top-K recommendations per user, evaluated by NDCG@K.</w:t>
            </w:r>
          </w:p>
        </w:tc>
      </w:tr>
      <w:tr>
        <w:tc>
          <w:tcPr>
            <w:tcW w:type="dxa" w:w="4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7</w:t>
            </w:r>
          </w:p>
        </w:tc>
        <w:tc>
          <w:tcPr>
            <w:tcW w:type="dxa" w:w="19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Ethics check</w:t>
            </w:r>
          </w:p>
        </w:tc>
        <w:tc>
          <w:tcPr>
            <w:tcW w:type="dxa" w:w="20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No sensitive personal data</w:t>
            </w:r>
          </w:p>
        </w:tc>
        <w:tc>
          <w:tcPr>
            <w:tcW w:type="dxa" w:w="5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User IDs are anonymous integers. No names, emails, or location data. GDPR compliant.</w:t>
            </w:r>
          </w:p>
        </w:tc>
      </w:tr>
    </w:tbl>
    <w:p>
      <w:pPr>
        <w:spacing w:after="60" w:before="200"/>
      </w:pPr>
      <w:r>
        <w:t xml:space="preserve"/>
      </w:r>
    </w:p>
    <w:p>
      <w:pPr>
        <w:pBdr>
          <w:bottom w:val="single" w:color="2E5494" w:sz="6" w:space="2"/>
        </w:pBdr>
        <w:spacing w:after="60" w:before="280"/>
      </w:pPr>
      <w:r>
        <w:rPr>
          <w:rFonts w:ascii="Arial" w:cs="Arial" w:eastAsia="Arial" w:hAnsi="Arial"/>
          <w:b/>
          <w:bCs/>
          <w:color w:val="1F3864"/>
          <w:sz w:val="26"/>
          <w:szCs w:val="26"/>
        </w:rPr>
        <w:t xml:space="preserve">4. Preliminary Algorithm List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580"/>
        <w:gridCol w:w="1580"/>
        <w:gridCol w:w="1800"/>
      </w:tblGrid>
      <w:tr>
        <w:tc>
          <w:tcPr>
            <w:tcW w:type="dxa" w:w="16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Algorithm</w:t>
            </w:r>
          </w:p>
        </w:tc>
        <w:tc>
          <w:tcPr>
            <w:tcW w:type="dxa" w:w="28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How it works</w:t>
            </w:r>
          </w:p>
        </w:tc>
        <w:tc>
          <w:tcPr>
            <w:tcW w:type="dxa" w:w="158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Strength</w:t>
            </w:r>
          </w:p>
        </w:tc>
        <w:tc>
          <w:tcPr>
            <w:tcW w:type="dxa" w:w="158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Weakness</w:t>
            </w:r>
          </w:p>
        </w:tc>
        <w:tc>
          <w:tcPr>
            <w:tcW w:type="dxa" w:w="18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Decision</w:t>
            </w:r>
          </w:p>
        </w:tc>
      </w:tr>
      <w:tr>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User-Based KNN</w:t>
            </w:r>
          </w:p>
        </w:tc>
        <w:tc>
          <w:tcPr>
            <w:tcW w:type="dxa" w:w="2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Cosine similarity on behavioral vectors; recommends what similar users played.</w:t>
            </w:r>
          </w:p>
        </w:tc>
        <w:tc>
          <w:tcPr>
            <w:tcW w:type="dxa" w:w="15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Interpretable, simple baseline</w:t>
            </w:r>
          </w:p>
        </w:tc>
        <w:tc>
          <w:tcPr>
            <w:tcW w:type="dxa" w:w="15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Cold start, poor scalability</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885500"/>
                <w:sz w:val="18"/>
                <w:szCs w:val="18"/>
              </w:rPr>
              <w:t xml:space="preserve">Baseline</w:t>
            </w:r>
          </w:p>
        </w:tc>
      </w:tr>
      <w:tr>
        <w:tc>
          <w:tcPr>
            <w:tcW w:type="dxa" w:w="16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Item-Based CF</w:t>
            </w:r>
          </w:p>
        </w:tc>
        <w:tc>
          <w:tcPr>
            <w:tcW w:type="dxa" w:w="28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Item-item co-play similarity matrix across the user base.</w:t>
            </w:r>
          </w:p>
        </w:tc>
        <w:tc>
          <w:tcPr>
            <w:tcW w:type="dxa" w:w="158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Stable item similarities</w:t>
            </w:r>
          </w:p>
        </w:tc>
        <w:tc>
          <w:tcPr>
            <w:tcW w:type="dxa" w:w="158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Memory-heavy, genre-biased</w:t>
            </w:r>
          </w:p>
        </w:tc>
        <w:tc>
          <w:tcPr>
            <w:tcW w:type="dxa" w:w="18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CC0000"/>
                <w:sz w:val="18"/>
                <w:szCs w:val="18"/>
              </w:rPr>
              <w:t xml:space="preserve">Rejected</w:t>
            </w:r>
          </w:p>
        </w:tc>
      </w:tr>
      <w:tr>
        <w:tc>
          <w:tcPr>
            <w:tcW w:type="dxa" w:w="1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SVD (Matrix
Factorization)</w:t>
            </w:r>
          </w:p>
        </w:tc>
        <w:tc>
          <w:tcPr>
            <w:tcW w:type="dxa" w:w="2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Decomposes user-item matrix into latent play-style factors via SVD.</w:t>
            </w:r>
          </w:p>
        </w:tc>
        <w:tc>
          <w:tcPr>
            <w:tcW w:type="dxa" w:w="15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Handles sparsity, finds hidden patterns</w:t>
            </w:r>
          </w:p>
        </w:tc>
        <w:tc>
          <w:tcPr>
            <w:tcW w:type="dxa" w:w="15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Less interpretable</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06600"/>
                <w:sz w:val="18"/>
                <w:szCs w:val="18"/>
              </w:rPr>
              <w:t xml:space="preserve">Retained</w:t>
            </w:r>
          </w:p>
        </w:tc>
      </w:tr>
      <w:tr>
        <w:tc>
          <w:tcPr>
            <w:tcW w:type="dxa" w:w="16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Content-Based
(TF-IDF)</w:t>
            </w:r>
          </w:p>
        </w:tc>
        <w:tc>
          <w:tcPr>
            <w:tcW w:type="dxa" w:w="28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TF-IDF on game tags + cosine similarity; no user history needed.</w:t>
            </w:r>
          </w:p>
        </w:tc>
        <w:tc>
          <w:tcPr>
            <w:tcW w:type="dxa" w:w="158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Solves cold start</w:t>
            </w:r>
          </w:p>
        </w:tc>
        <w:tc>
          <w:tcPr>
            <w:tcW w:type="dxa" w:w="158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No serendipity</w:t>
            </w:r>
          </w:p>
        </w:tc>
        <w:tc>
          <w:tcPr>
            <w:tcW w:type="dxa" w:w="18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006600"/>
                <w:sz w:val="18"/>
                <w:szCs w:val="18"/>
              </w:rPr>
              <w:t xml:space="preserve">Retained</w:t>
            </w:r>
          </w:p>
        </w:tc>
      </w:tr>
    </w:tbl>
    <w:p>
      <w:pPr>
        <w:spacing w:after="40" w:before="120"/>
      </w:pPr>
      <w:r>
        <w:t xml:space="preserve"/>
      </w:r>
    </w:p>
    <w:p>
      <w:pPr>
        <w:shd w:fill="1F3864" w:val="clear"/>
        <w:spacing w:after="0" w:before="0"/>
        <w:ind w:left="0"/>
      </w:pPr>
      <w:r>
        <w:rPr>
          <w:rFonts w:ascii="Arial" w:cs="Arial" w:eastAsia="Arial" w:hAnsi="Arial"/>
          <w:b/>
          <w:bCs/>
          <w:color w:val="FFFFFF"/>
          <w:sz w:val="18"/>
          <w:szCs w:val="18"/>
        </w:rPr>
        <w:t xml:space="preserve">Final Model — Hybrid (SVD + Content-Based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BF3FB" w:val="clear"/>
            <w:tcMar>
              <w:top w:type="dxa" w:w="120"/>
              <w:left w:type="dxa" w:w="180"/>
              <w:bottom w:type="dxa" w:w="120"/>
              <w:right w:type="dxa" w:w="180"/>
            </w:tcMar>
          </w:tcPr>
          <w:p>
            <w:pPr>
              <w:spacing w:after="60" w:before="60"/>
              <w:jc w:val="left"/>
            </w:pPr>
            <w:r>
              <w:rPr>
                <w:rFonts w:ascii="Arial" w:cs="Arial" w:eastAsia="Arial" w:hAnsi="Arial"/>
                <w:b w:val="false"/>
                <w:bCs w:val="false"/>
                <w:color w:val="000000"/>
                <w:sz w:val="20"/>
                <w:szCs w:val="20"/>
              </w:rPr>
              <w:t xml:space="preserve">score = alpha × SVD_score + (1 - alpha) × CBF_score</w:t>
            </w:r>
            <w:r>
              <w:rPr>
                <w:rFonts w:ascii="Arial" w:cs="Arial" w:eastAsia="Arial" w:hAnsi="Arial"/>
                <w:b w:val="false"/>
                <w:bCs w:val="false"/>
                <w:color w:val="000000"/>
                <w:sz w:val="20"/>
                <w:szCs w:val="20"/>
              </w:rPr>
              <w:t xml:space="preserve">, where alpha is optimized by GridSearchCV on NDCG@10. SVD handles collaborative patterns in the sparse playtime matrix; TF-IDF CBF ensures recommendations for users with no history (cold start problem). PCA is applied prior to SVD training to reduce the dimensionality of the user–item matrix and extract dominant play-style patterns, mitigating the extreme sparsity inherent to Steam interaction data. The combination yields the best of both approaches.</w:t>
            </w:r>
          </w:p>
        </w:tc>
      </w:tr>
    </w:tbl>
    <w:p>
      <w:pPr>
        <w:spacing w:after="60" w:before="200"/>
      </w:pPr>
      <w:r>
        <w:t xml:space="preserve"/>
      </w:r>
    </w:p>
    <w:p>
      <w:pPr>
        <w:pBdr>
          <w:bottom w:val="single" w:color="2E5494" w:sz="6" w:space="2"/>
        </w:pBdr>
        <w:spacing w:after="60" w:before="280"/>
      </w:pPr>
      <w:r>
        <w:rPr>
          <w:rFonts w:ascii="Arial" w:cs="Arial" w:eastAsia="Arial" w:hAnsi="Arial"/>
          <w:b/>
          <w:bCs/>
          <w:color w:val="1F3864"/>
          <w:sz w:val="26"/>
          <w:szCs w:val="26"/>
        </w:rPr>
        <w:t xml:space="preserve">5. Technical Stack</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Layer</w:t>
            </w:r>
          </w:p>
        </w:tc>
        <w:tc>
          <w:tcPr>
            <w:tcW w:type="dxa" w:w="716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Tools &amp; Libraries</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Environment</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Python 3.10+ · Jupyter Notebook / JupyterLab · Git + GitHub (public repository)</w:t>
            </w:r>
          </w:p>
        </w:tc>
      </w:tr>
      <w:tr>
        <w:tc>
          <w:tcPr>
            <w:tcW w:type="dxa" w:w="22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Data &amp; Wrangling</w:t>
            </w:r>
          </w:p>
        </w:tc>
        <w:tc>
          <w:tcPr>
            <w:tcW w:type="dxa" w:w="71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pandas · numpy · sqlite3 (Phase 3 mandatory) · fuzzywuzzy / rapidfuzz (fuzzy join between datasets)</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Visualisation</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matplotlib · seaborn · plotly (optional interactive charts)</w:t>
            </w:r>
          </w:p>
        </w:tc>
      </w:tr>
      <w:tr>
        <w:tc>
          <w:tcPr>
            <w:tcW w:type="dxa" w:w="22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ML — Recommender</w:t>
            </w:r>
          </w:p>
        </w:tc>
        <w:tc>
          <w:tcPr>
            <w:tcW w:type="dxa" w:w="71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scikit-learn (TF-IDF, cosine similarity, PCA, GridSearchCV) · Surprise (SVD, KNN-CF) · scipy (sparse matrices)</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NLP</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sklearn TfidfVectorizer · nltk (basic preprocessing for tag normalization)</w:t>
            </w:r>
          </w:p>
        </w:tc>
      </w:tr>
      <w:tr>
        <w:tc>
          <w:tcPr>
            <w:tcW w:type="dxa" w:w="22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Serialization</w:t>
            </w:r>
          </w:p>
        </w:tc>
        <w:tc>
          <w:tcPr>
            <w:tcW w:type="dxa" w:w="71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joblib / pickle (.pkl export of the final hybrid model)</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Report &amp; Slides</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LaTeX or Word (report ≤25 pages) · PowerPoint / Impress (5-min presentation)</w:t>
            </w:r>
          </w:p>
        </w:tc>
      </w:tr>
      <w:tr>
        <w:tc>
          <w:tcPr>
            <w:tcW w:type="dxa" w:w="22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Optional (Bonus)</w:t>
            </w:r>
          </w:p>
        </w:tc>
        <w:tc>
          <w:tcPr>
            <w:tcW w:type="dxa" w:w="71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Spring Boot REST API (backend) · Next.js 14 (frontend) · HuggingFace Transformers (RAG explanations)</w:t>
            </w:r>
          </w:p>
        </w:tc>
      </w:tr>
    </w:tbl>
    <w:p>
      <w:pPr>
        <w:spacing w:after="60" w:before="200"/>
      </w:pPr>
      <w:r>
        <w:t xml:space="preserve"/>
      </w:r>
    </w:p>
    <w:p>
      <w:pPr>
        <w:pBdr>
          <w:bottom w:val="single" w:color="2E5494" w:sz="6" w:space="2"/>
        </w:pBdr>
        <w:spacing w:after="60" w:before="280"/>
      </w:pPr>
      <w:r>
        <w:rPr>
          <w:rFonts w:ascii="Arial" w:cs="Arial" w:eastAsia="Arial" w:hAnsi="Arial"/>
          <w:b/>
          <w:bCs/>
          <w:color w:val="1F3864"/>
          <w:sz w:val="26"/>
          <w:szCs w:val="26"/>
        </w:rPr>
        <w:t xml:space="preserve">6. Planned Pipeline Sketch</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60"/>
        <w:gridCol w:w="5800"/>
      </w:tblGrid>
      <w:tr>
        <w:tc>
          <w:tcPr>
            <w:tcW w:type="dxa" w:w="10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Phase</w:t>
            </w:r>
          </w:p>
        </w:tc>
        <w:tc>
          <w:tcPr>
            <w:tcW w:type="dxa" w:w="256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Title</w:t>
            </w:r>
          </w:p>
        </w:tc>
        <w:tc>
          <w:tcPr>
            <w:tcW w:type="dxa" w:w="58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F3864"/>
                <w:sz w:val="18"/>
                <w:szCs w:val="18"/>
              </w:rPr>
              <w:t xml:space="preserve">Deliverables</w:t>
            </w:r>
          </w:p>
        </w:tc>
      </w:tr>
      <w:tr>
        <w:tc>
          <w:tcPr>
            <w:tcW w:type="dxa" w:w="1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Ph. 0</w:t>
            </w:r>
          </w:p>
        </w:tc>
        <w:tc>
          <w:tcPr>
            <w:tcW w:type="dxa" w:w="25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Proposal
(current document)</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Problem statement · Dataset URLs · Algorithm list · Pipeline sketch</w:t>
            </w:r>
          </w:p>
        </w:tc>
      </w:tr>
      <w:tr>
        <w:tc>
          <w:tcPr>
            <w:tcW w:type="dxa" w:w="10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Ph. 1</w:t>
            </w:r>
          </w:p>
        </w:tc>
        <w:tc>
          <w:tcPr>
            <w:tcW w:type="dxa" w:w="25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Problem Framing &amp;
Data Acquisition</w:t>
            </w:r>
          </w:p>
        </w:tc>
        <w:tc>
          <w:tcPr>
            <w:tcW w:type="dxa" w:w="58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Written problem statement · Git repository initialization · Python ingestion script · basic statistics (shape, dtypes, null counts)</w:t>
            </w:r>
          </w:p>
        </w:tc>
      </w:tr>
      <w:tr>
        <w:tc>
          <w:tcPr>
            <w:tcW w:type="dxa" w:w="1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Ph. 2</w:t>
            </w:r>
          </w:p>
        </w:tc>
        <w:tc>
          <w:tcPr>
            <w:tcW w:type="dxa" w:w="25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Data Wrangling &amp; EDA</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Full data audit · cleaning decisions · IQR + Z-score outlier detection · 8 visualizations · written EDA summary</w:t>
            </w:r>
          </w:p>
        </w:tc>
      </w:tr>
      <w:tr>
        <w:tc>
          <w:tcPr>
            <w:tcW w:type="dxa" w:w="10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Ph. 3</w:t>
            </w:r>
          </w:p>
        </w:tc>
        <w:tc>
          <w:tcPr>
            <w:tcW w:type="dxa" w:w="25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Feature Engineering &amp;
Data Management</w:t>
            </w:r>
          </w:p>
        </w:tc>
        <w:tc>
          <w:tcPr>
            <w:tcW w:type="dxa" w:w="58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7 behavioral features per user (completion_ratio, session_intensity, diversity_score, abandonment_rate, competitive_index, exploration_score, narrative_affinity) · SQLite database · 4 SQL queries · feature engineering log</w:t>
            </w:r>
          </w:p>
        </w:tc>
      </w:tr>
      <w:tr>
        <w:tc>
          <w:tcPr>
            <w:tcW w:type="dxa" w:w="1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Ph. 4</w:t>
            </w:r>
          </w:p>
        </w:tc>
        <w:tc>
          <w:tcPr>
            <w:tcW w:type="dxa" w:w="25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Algorithm Selection &amp;
Justification</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Written comparison of 4 candidate algorithms · justified selection · evaluation metrics discussion (Precision@K, Recall@K, NDCG@K, Coverage)</w:t>
            </w:r>
          </w:p>
        </w:tc>
      </w:tr>
      <w:tr>
        <w:tc>
          <w:tcPr>
            <w:tcW w:type="dxa" w:w="10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Ph. 5</w:t>
            </w:r>
          </w:p>
        </w:tc>
        <w:tc>
          <w:tcPr>
            <w:tcW w:type="dxa" w:w="256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Model Training,
Evaluation &amp; Tuning</w:t>
            </w:r>
          </w:p>
        </w:tc>
        <w:tc>
          <w:tcPr>
            <w:tcW w:type="dxa" w:w="5800"/>
            <w:tcBorders>
              <w:top w:val="single" w:color="AAAAAA" w:sz="4"/>
              <w:left w:val="single" w:color="AAAAAA" w:sz="4"/>
              <w:bottom w:val="single" w:color="AAAAAA" w:sz="4"/>
              <w:right w:val="single" w:color="AAAAAA" w:sz="4"/>
            </w:tcBorders>
            <w:shd w:fill="F5F5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Train 3 models on training split · evaluate on test split · GridSearchCV on Hybrid alpha parameter · PCA dimensionality reduction · model comparison table · save best model as .pkl</w:t>
            </w:r>
          </w:p>
        </w:tc>
      </w:tr>
      <w:tr>
        <w:tc>
          <w:tcPr>
            <w:tcW w:type="dxa" w:w="1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Ph. 6</w:t>
            </w:r>
          </w:p>
        </w:tc>
        <w:tc>
          <w:tcPr>
            <w:tcW w:type="dxa" w:w="25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F3864"/>
                <w:sz w:val="18"/>
                <w:szCs w:val="18"/>
              </w:rPr>
              <w:t xml:space="preserve">Model Card &amp;
Ethical Reflection</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000000"/>
                <w:sz w:val="18"/>
                <w:szCs w:val="18"/>
              </w:rPr>
              <w:t xml:space="preserve">One-page model card · popularity bias analysis · cold-start fairness · addiction risk · privacy considerations</w:t>
            </w:r>
          </w:p>
        </w:tc>
      </w:tr>
    </w:tbl>
    <w:p>
      <w:pPr>
        <w:spacing w:after="60" w:before="160"/>
      </w:pPr>
      <w:r>
        <w:t xml:space="preserve"/>
      </w:r>
    </w:p>
    <w:p>
      <w:pPr>
        <w:pBdr>
          <w:top w:val="single" w:color="AAAAAA" w:sz="4" w:space="4"/>
        </w:pBdr>
        <w:spacing w:after="60" w:before="120"/>
      </w:pPr>
      <w:r>
        <w:rPr>
          <w:rFonts w:ascii="Arial" w:cs="Arial" w:eastAsia="Arial" w:hAnsi="Arial"/>
          <w:i/>
          <w:iCs/>
          <w:color w:val="666666"/>
          <w:sz w:val="17"/>
          <w:szCs w:val="17"/>
        </w:rPr>
        <w:t xml:space="preserve">This proposal may evolve after instructor approval. All algorithm selection and feature engineering decisions will be fully documented and justified in the corresponding project phases. All code is original team work. Any AI-assisted content will be declared in a dedicated appendix, specifying the tools used and the nature of assistance provided, as required by the academic integrity policy.</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after="0" w:before="100"/>
      <w:jc w:val="center"/>
    </w:pPr>
    <w:r>
      <w:rPr>
        <w:rFonts w:ascii="Arial" w:cs="Arial" w:eastAsia="Arial" w:hAnsi="Arial"/>
        <w:color w:val="555555"/>
        <w:sz w:val="16"/>
        <w:szCs w:val="16"/>
      </w:rPr>
      <w:t xml:space="preserve">Academic Year 2025–2026</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spacing w:after="100" w:before="0"/>
      <w:jc w:val="center"/>
    </w:pPr>
    <w:r>
      <w:rPr>
        <w:rFonts w:ascii="Arial" w:cs="Arial" w:eastAsia="Arial" w:hAnsi="Arial"/>
        <w:color w:val="555555"/>
        <w:sz w:val="16"/>
        <w:szCs w:val="16"/>
      </w:rPr>
      <w:t xml:space="preserve">GameFlow — Behavior-Driven Game Recommendation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8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2026-06-06T21:12:00.683Z</dcterms:created>
  <dcterms:modified xsi:type="dcterms:W3CDTF">2026-06-06T21:12:00.684Z</dcterms:modified>
</cp:coreProperties>
</file>

<file path=docProps/custom.xml><?xml version="1.0" encoding="utf-8"?>
<Properties xmlns="http://schemas.openxmlformats.org/officeDocument/2006/custom-properties" xmlns:vt="http://schemas.openxmlformats.org/officeDocument/2006/docPropsVTypes"/>
</file>