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74326" w14:textId="77777777" w:rsidR="00064A94" w:rsidRPr="004E729D" w:rsidRDefault="00000000" w:rsidP="004E729D">
      <w:pPr>
        <w:spacing w:after="80"/>
        <w:jc w:val="both"/>
      </w:pPr>
      <w:r w:rsidRPr="004E729D">
        <w:rPr>
          <w:b/>
          <w:bCs/>
          <w:sz w:val="40"/>
          <w:szCs w:val="40"/>
        </w:rPr>
        <w:t>PLS-SEM Analytics Portfolio</w:t>
      </w:r>
    </w:p>
    <w:p w14:paraId="4CC7B995" w14:textId="77777777" w:rsidR="00064A94" w:rsidRPr="004E729D" w:rsidRDefault="00000000" w:rsidP="004E729D">
      <w:pPr>
        <w:spacing w:after="240"/>
        <w:jc w:val="both"/>
      </w:pPr>
      <w:r w:rsidRPr="004E729D">
        <w:rPr>
          <w:sz w:val="26"/>
          <w:szCs w:val="26"/>
        </w:rPr>
        <w:t>Public-Sector Workforce Outcomes: Entrepreneurial Leadership, Well-Being, Inclusion, Stress, and Organizational Effectiveness</w:t>
      </w:r>
    </w:p>
    <w:p w14:paraId="252777FD" w14:textId="77777777" w:rsidR="00064A94" w:rsidRPr="004E729D" w:rsidRDefault="00000000" w:rsidP="004E729D">
      <w:pPr>
        <w:spacing w:after="160"/>
        <w:jc w:val="both"/>
      </w:pPr>
      <w:r w:rsidRPr="004E729D">
        <w:rPr>
          <w:b/>
          <w:bCs/>
        </w:rPr>
        <w:t>O.M. Akojenu (Oluwaseyi Maugbe Akojenu)</w:t>
      </w:r>
    </w:p>
    <w:p w14:paraId="7632E173" w14:textId="77777777" w:rsidR="00064A94" w:rsidRPr="004E729D" w:rsidRDefault="00000000" w:rsidP="004E729D">
      <w:pPr>
        <w:spacing w:after="160"/>
        <w:jc w:val="both"/>
      </w:pPr>
      <w:r w:rsidRPr="004E729D">
        <w:rPr>
          <w:sz w:val="20"/>
          <w:szCs w:val="20"/>
        </w:rPr>
        <w:t>Credit Analyst, Thrive Microfinance Bank | Consultant, Elytics Data Analytics &amp; Advisory</w:t>
      </w:r>
    </w:p>
    <w:p w14:paraId="18FFEFFE" w14:textId="77777777" w:rsidR="00064A94" w:rsidRPr="004E729D" w:rsidRDefault="00000000" w:rsidP="004E729D">
      <w:pPr>
        <w:spacing w:after="160"/>
        <w:jc w:val="both"/>
      </w:pPr>
      <w:r w:rsidRPr="004E729D">
        <w:rPr>
          <w:sz w:val="20"/>
          <w:szCs w:val="20"/>
        </w:rPr>
        <w:t>BSc Statistics (First Class Honours), University of Ibadan</w:t>
      </w:r>
    </w:p>
    <w:p w14:paraId="2DA69673" w14:textId="77777777" w:rsidR="00064A94" w:rsidRPr="004E729D" w:rsidRDefault="00000000" w:rsidP="004E729D">
      <w:pPr>
        <w:spacing w:after="160"/>
        <w:jc w:val="both"/>
      </w:pPr>
      <w:r w:rsidRPr="004E729D">
        <w:rPr>
          <w:sz w:val="20"/>
          <w:szCs w:val="20"/>
        </w:rPr>
        <w:t>GitHub: OMAkojenu   |   Email: oakojenu176@stu.ui.edu.ng</w:t>
      </w:r>
    </w:p>
    <w:p w14:paraId="6AE695F0" w14:textId="77777777" w:rsidR="00064A94" w:rsidRPr="004E729D" w:rsidRDefault="00064A94" w:rsidP="004E729D">
      <w:pPr>
        <w:pBdr>
          <w:bottom w:val="single" w:sz="6" w:space="4" w:color="888888"/>
        </w:pBdr>
        <w:spacing w:after="200"/>
        <w:jc w:val="both"/>
      </w:pPr>
    </w:p>
    <w:p w14:paraId="2B130210" w14:textId="77777777" w:rsidR="00064A94" w:rsidRPr="004E729D" w:rsidRDefault="00000000" w:rsidP="004E729D">
      <w:pPr>
        <w:pStyle w:val="Heading1"/>
        <w:jc w:val="both"/>
        <w:rPr>
          <w:color w:val="auto"/>
        </w:rPr>
      </w:pPr>
      <w:r w:rsidRPr="004E729D">
        <w:rPr>
          <w:color w:val="auto"/>
        </w:rPr>
        <w:t>Role &amp; Scope of This Case Study</w:t>
      </w:r>
    </w:p>
    <w:p w14:paraId="1342EC9E" w14:textId="77777777" w:rsidR="00064A94" w:rsidRPr="004E729D" w:rsidRDefault="00000000" w:rsidP="004E729D">
      <w:pPr>
        <w:spacing w:after="160"/>
        <w:jc w:val="both"/>
      </w:pPr>
      <w:r w:rsidRPr="004E729D">
        <w:t>This document presents a technical walkthrough of the quantitative analysis I conducted on two large-scale public-sector employee survey datasets (valid n = 117,263), using Partial Least Squares Structural Equation Modelling (PLS-SEM). I was responsible for the measurement model specification, structural model estimation, bootstrapped significance testing, mediation analysis, and reliability/validity diagnostics presented below.</w:t>
      </w:r>
    </w:p>
    <w:p w14:paraId="097C23D9" w14:textId="77777777" w:rsidR="00064A94" w:rsidRPr="004E729D" w:rsidRDefault="00000000" w:rsidP="004E729D">
      <w:pPr>
        <w:spacing w:after="160"/>
        <w:jc w:val="both"/>
      </w:pPr>
      <w:r w:rsidRPr="004E729D">
        <w:t>The two analyses fed into research subsequently published in peer-reviewed journals:</w:t>
      </w:r>
    </w:p>
    <w:p w14:paraId="7A77E304" w14:textId="77777777" w:rsidR="00064A94" w:rsidRPr="004E729D" w:rsidRDefault="00000000" w:rsidP="004E729D">
      <w:pPr>
        <w:pStyle w:val="ListParagraph"/>
        <w:numPr>
          <w:ilvl w:val="0"/>
          <w:numId w:val="1"/>
        </w:numPr>
        <w:spacing w:after="80"/>
        <w:jc w:val="both"/>
      </w:pPr>
      <w:r w:rsidRPr="004E729D">
        <w:t>Olumekor, M., Cinar, E., Vivona, R., &amp; Demircioglu, M. A. (2025). Entrepreneurial leadership, well-being, and inclusion in public sector organizations. Public Administration Review. (Early online 30 Oct 2025.)</w:t>
      </w:r>
    </w:p>
    <w:p w14:paraId="644D1094" w14:textId="77777777" w:rsidR="00064A94" w:rsidRPr="004E729D" w:rsidRDefault="00000000" w:rsidP="004E729D">
      <w:pPr>
        <w:pStyle w:val="ListParagraph"/>
        <w:numPr>
          <w:ilvl w:val="0"/>
          <w:numId w:val="1"/>
        </w:numPr>
        <w:spacing w:after="80"/>
        <w:jc w:val="both"/>
      </w:pPr>
      <w:r w:rsidRPr="004E729D">
        <w:t>Olumekor, M., Van Der Meer, J., Polbitsyn, S. N., &amp; Palumbo, R. (2025). Public sector effectiveness: The role of wellbeing, and inclusive working environment. Public Management Review, 1–24. https://doi.org/10.1080/14719037.2025.2597960</w:t>
      </w:r>
    </w:p>
    <w:p w14:paraId="7B81EEFB" w14:textId="2110E505" w:rsidR="00064A94" w:rsidRPr="004E729D" w:rsidRDefault="00000000" w:rsidP="004E729D">
      <w:pPr>
        <w:spacing w:after="160"/>
        <w:jc w:val="both"/>
      </w:pPr>
      <w:r w:rsidRPr="004E729D">
        <w:t>This document is presented as a portfolio record of analytical methodology and rigor</w:t>
      </w:r>
      <w:r w:rsidR="007A168E">
        <w:t xml:space="preserve">, </w:t>
      </w:r>
      <w:r w:rsidRPr="004E729D">
        <w:t xml:space="preserve"> not as an independent claim of new empirical findings, given the results already appear in the peer-reviewed record under the above authorship.</w:t>
      </w:r>
    </w:p>
    <w:p w14:paraId="42B9FEA2" w14:textId="77777777" w:rsidR="00064A94" w:rsidRPr="004E729D" w:rsidRDefault="00000000" w:rsidP="004E729D">
      <w:pPr>
        <w:jc w:val="both"/>
      </w:pPr>
      <w:r w:rsidRPr="004E729D">
        <w:br w:type="page"/>
      </w:r>
    </w:p>
    <w:p w14:paraId="746A529B" w14:textId="127C46EA" w:rsidR="00064A94" w:rsidRPr="004E729D" w:rsidRDefault="00000000" w:rsidP="004E729D">
      <w:pPr>
        <w:pStyle w:val="Heading1"/>
        <w:jc w:val="both"/>
        <w:rPr>
          <w:color w:val="auto"/>
        </w:rPr>
      </w:pPr>
      <w:r w:rsidRPr="004E729D">
        <w:rPr>
          <w:color w:val="auto"/>
        </w:rPr>
        <w:lastRenderedPageBreak/>
        <w:t>Study One</w:t>
      </w:r>
      <w:r w:rsidR="007A168E">
        <w:rPr>
          <w:color w:val="auto"/>
        </w:rPr>
        <w:t>:</w:t>
      </w:r>
      <w:r w:rsidRPr="004E729D">
        <w:rPr>
          <w:color w:val="auto"/>
        </w:rPr>
        <w:t xml:space="preserve"> Entrepreneurial Leadership, Inclusion, and Well-Being</w:t>
      </w:r>
    </w:p>
    <w:p w14:paraId="2DF008A2" w14:textId="77777777" w:rsidR="00064A94" w:rsidRPr="004E729D" w:rsidRDefault="00000000" w:rsidP="004E729D">
      <w:pPr>
        <w:spacing w:after="200"/>
        <w:jc w:val="both"/>
      </w:pPr>
      <w:r w:rsidRPr="004E729D">
        <w:rPr>
          <w:i/>
          <w:iCs/>
          <w:sz w:val="20"/>
          <w:szCs w:val="20"/>
        </w:rPr>
        <w:t>Underlies: Olumekor, Cinar, Vivona &amp; Demircioglu (2025), Public Administration Review</w:t>
      </w:r>
    </w:p>
    <w:p w14:paraId="6C88004C" w14:textId="77777777" w:rsidR="00064A94" w:rsidRPr="004E729D" w:rsidRDefault="00000000" w:rsidP="004E729D">
      <w:pPr>
        <w:pStyle w:val="Heading2"/>
        <w:spacing w:before="280"/>
        <w:jc w:val="both"/>
        <w:rPr>
          <w:color w:val="auto"/>
        </w:rPr>
      </w:pPr>
      <w:r w:rsidRPr="004E729D">
        <w:rPr>
          <w:color w:val="auto"/>
        </w:rPr>
        <w:t>1.1 Objective</w:t>
      </w:r>
    </w:p>
    <w:p w14:paraId="38804E75" w14:textId="77777777" w:rsidR="00064A94" w:rsidRPr="004E729D" w:rsidRDefault="00000000" w:rsidP="004E729D">
      <w:pPr>
        <w:spacing w:after="160"/>
        <w:jc w:val="both"/>
      </w:pPr>
      <w:r w:rsidRPr="004E729D">
        <w:t>To examine whether entrepreneurial leadership (EL) in public sector organizations promotes an inclusive workplace culture (IP), employee well-being (WP), and organizational effectiveness (EFF), and to test the indirect pathways by which EL affects EFF through WP and IP.</w:t>
      </w:r>
    </w:p>
    <w:p w14:paraId="2D4EB93E" w14:textId="77777777" w:rsidR="00064A94" w:rsidRPr="004E729D" w:rsidRDefault="00000000" w:rsidP="004E729D">
      <w:pPr>
        <w:pStyle w:val="Heading2"/>
        <w:spacing w:before="280"/>
        <w:jc w:val="both"/>
        <w:rPr>
          <w:color w:val="auto"/>
        </w:rPr>
      </w:pPr>
      <w:r w:rsidRPr="004E729D">
        <w:rPr>
          <w:color w:val="auto"/>
        </w:rPr>
        <w:t>1.2 Sample</w:t>
      </w:r>
    </w:p>
    <w:p w14:paraId="40255817" w14:textId="77777777" w:rsidR="00064A94" w:rsidRPr="004E729D" w:rsidRDefault="00000000" w:rsidP="004E729D">
      <w:pPr>
        <w:spacing w:after="160"/>
        <w:jc w:val="both"/>
      </w:pPr>
      <w:r w:rsidRPr="004E729D">
        <w:t>Valid respondent sample size: n = 117,263 public sector employees. Given this scale, PLS-SEM was selected for its robustness with large samples and its suitability for complex models combining reflective multi-item and single-item constructs.</w:t>
      </w:r>
    </w:p>
    <w:p w14:paraId="73B138A7" w14:textId="77777777" w:rsidR="00064A94" w:rsidRPr="004E729D" w:rsidRDefault="00000000" w:rsidP="004E729D">
      <w:pPr>
        <w:pStyle w:val="Heading2"/>
        <w:spacing w:before="280"/>
        <w:jc w:val="both"/>
        <w:rPr>
          <w:color w:val="auto"/>
        </w:rPr>
      </w:pPr>
      <w:r w:rsidRPr="004E729D">
        <w:rPr>
          <w:color w:val="auto"/>
        </w:rPr>
        <w:t>1.3 Measurement Model</w:t>
      </w:r>
    </w:p>
    <w:p w14:paraId="70D757C0" w14:textId="77777777" w:rsidR="00064A94" w:rsidRPr="004E729D" w:rsidRDefault="00000000" w:rsidP="004E729D">
      <w:pPr>
        <w:spacing w:after="160"/>
        <w:jc w:val="both"/>
      </w:pPr>
      <w:r w:rsidRPr="004E729D">
        <w:t>Reflective-mode measurement model. Indicator loadings were assessed against a relaxed threshold of 0.50 (ideal ≥0.708, ≥50% explained variance). EL_8 was dropped for low explained variance, retaining an 8-item EL scale (EL_1–EL_7, EL_9). All VIF values remained below the conservative threshold of 4, indicating collinearity was not a concern.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900"/>
        <w:gridCol w:w="900"/>
        <w:gridCol w:w="900"/>
        <w:gridCol w:w="1000"/>
        <w:gridCol w:w="900"/>
        <w:gridCol w:w="900"/>
        <w:gridCol w:w="1000"/>
        <w:gridCol w:w="700"/>
      </w:tblGrid>
      <w:tr w:rsidR="00064A94" w:rsidRPr="004E729D" w14:paraId="5DBDBF84" w14:textId="77777777"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E4EF9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Indicator → Construct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8616D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Loading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E6A90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Boot. Mean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AF998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Boot. SD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6098C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T Stat.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904B9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2.5% CI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6DDEA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97.5% CI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C1009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Expl. Var.</w:t>
            </w:r>
          </w:p>
        </w:tc>
        <w:tc>
          <w:tcPr>
            <w:tcW w:w="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FDB53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VIF</w:t>
            </w:r>
          </w:p>
        </w:tc>
      </w:tr>
      <w:tr w:rsidR="00064A94" w:rsidRPr="004E729D" w14:paraId="5D182EED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905E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EL_1 → EL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4CF79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0.863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8639E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0.863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29E9C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B83F6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929.131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26489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0.861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7B264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0.864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358E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0.744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68710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3.587</w:t>
            </w:r>
          </w:p>
        </w:tc>
      </w:tr>
      <w:tr w:rsidR="00064A94" w:rsidRPr="004E729D" w14:paraId="1C914A85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D2A32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EL_2 → EL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86972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0.819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23DD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0.819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B2BA9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6C1F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548.063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C1D2F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0.816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888F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0.822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B2CF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0.670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EE22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2.742</w:t>
            </w:r>
          </w:p>
        </w:tc>
      </w:tr>
      <w:tr w:rsidR="00064A94" w:rsidRPr="004E729D" w14:paraId="5AD7DB80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4A4B0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EL_3 → EL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EBBA5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0.855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17C44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0.855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8EF94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BE76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693.650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9C7D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0.852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55AE0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0.857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C2B4E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0.731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60058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3.448</w:t>
            </w:r>
          </w:p>
        </w:tc>
      </w:tr>
      <w:tr w:rsidR="00064A94" w:rsidRPr="004E729D" w14:paraId="370EC3BA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CABCC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EL_4 → EL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772F9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0.846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28756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0.846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EAFA8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5897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765.087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74E01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0.844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869E8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0.848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3D8B4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0.716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D28B1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3.226</w:t>
            </w:r>
          </w:p>
        </w:tc>
      </w:tr>
      <w:tr w:rsidR="00064A94" w:rsidRPr="004E729D" w14:paraId="3E95EAA5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7949B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EL_5 → EL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CD694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0.782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09E32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0.782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1A101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A9016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542.180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664F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0.779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C7B26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0.785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D40B6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0.611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87324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2.092</w:t>
            </w:r>
          </w:p>
        </w:tc>
      </w:tr>
      <w:tr w:rsidR="00064A94" w:rsidRPr="004E729D" w14:paraId="7F27F630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7891F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EL_6 → EL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4212E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0.652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9E761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0.652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E763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AE1B2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290.408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133D9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0.648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EB891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0.657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B5703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0.425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5F1BE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1.587</w:t>
            </w:r>
          </w:p>
        </w:tc>
      </w:tr>
      <w:tr w:rsidR="00064A94" w:rsidRPr="004E729D" w14:paraId="657A7F4F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C8C6B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EL_7 → EL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3BDCF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0.655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59F58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0.655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EB115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C62B8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304.816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422DB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0.651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A089F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0.659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98629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0.429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CE142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1.695</w:t>
            </w:r>
          </w:p>
        </w:tc>
      </w:tr>
      <w:tr w:rsidR="00064A94" w:rsidRPr="004E729D" w14:paraId="4197C9CC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2EDD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EL_9 → EL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B1968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0.650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AB5D9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0.649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F2478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6D2E1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304.760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4DFEC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0.645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F46EF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0.654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135BC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0.422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75153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1.576</w:t>
            </w:r>
          </w:p>
        </w:tc>
      </w:tr>
      <w:tr w:rsidR="00064A94" w:rsidRPr="004E729D" w14:paraId="69CD77DC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57F7B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WP_1 → WP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892DB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0.852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6E175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0.853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40FC1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D5F8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760.697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717B5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0.851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56E24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0.855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F50C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0.727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B3CEF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3.291</w:t>
            </w:r>
          </w:p>
        </w:tc>
      </w:tr>
      <w:tr w:rsidR="00064A94" w:rsidRPr="004E729D" w14:paraId="37B1E4AA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C275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WP_2 → WP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ED89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0.822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8602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0.822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E0B64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7D6E5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567.567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BC152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0.819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42E1F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0.824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A321B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0.675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0FD4B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3.122</w:t>
            </w:r>
          </w:p>
        </w:tc>
      </w:tr>
      <w:tr w:rsidR="00064A94" w:rsidRPr="004E729D" w14:paraId="6660F59D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E0CFF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WP_3 → WP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5782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0.849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FC1D1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0.849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B519B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6899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734.743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A31D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0.847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7BF5B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0.851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4D842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0.722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9196B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3.876</w:t>
            </w:r>
          </w:p>
        </w:tc>
      </w:tr>
      <w:tr w:rsidR="00064A94" w:rsidRPr="004E729D" w14:paraId="4A932044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B6D6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WP_4 → WP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14C22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0.851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278E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0.851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56433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1E565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864.717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A50F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0.849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12EE9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0.853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15AF1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0.724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A8F29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3.084</w:t>
            </w:r>
          </w:p>
        </w:tc>
      </w:tr>
      <w:tr w:rsidR="00064A94" w:rsidRPr="004E729D" w14:paraId="7B79F554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99AA9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WP_5 → WP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F0395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0.731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96231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0.731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8BD54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41CF3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468.735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78399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0.729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05F05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0.734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A25E0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0.535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BBACC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1.810</w:t>
            </w:r>
          </w:p>
        </w:tc>
      </w:tr>
      <w:tr w:rsidR="00064A94" w:rsidRPr="004E729D" w14:paraId="474E0699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593D3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WP_6 → WP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4C652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0.687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8E1E6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0.687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F118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0C4EF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376.977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FCA96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0.683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B9418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0.690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D07A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0.472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B6E95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1.706</w:t>
            </w:r>
          </w:p>
        </w:tc>
      </w:tr>
      <w:tr w:rsidR="00064A94" w:rsidRPr="004E729D" w14:paraId="1B20ED06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FE57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IP_1 → IP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2BD74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0.903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ADFF5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0.902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EAB85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6EE59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1262.262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2AEC9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0.901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848C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0.904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D12EB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0.815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BC1A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2.467</w:t>
            </w:r>
          </w:p>
        </w:tc>
      </w:tr>
      <w:tr w:rsidR="00064A94" w:rsidRPr="004E729D" w14:paraId="1E1EDC8C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1D259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IP_2 → IP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F91FF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0.893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0D288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0.893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97EA6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C9EF0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1115.458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A481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0.891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D3BB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0.895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93B72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0.798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A34F8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2.396</w:t>
            </w:r>
          </w:p>
        </w:tc>
      </w:tr>
      <w:tr w:rsidR="00064A94" w:rsidRPr="004E729D" w14:paraId="1E49B2D7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FA128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IP_3 → IP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63B26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0.679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7DC72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0.680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0F1BC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67790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296.881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5A6FB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0.675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3B296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0.684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728AB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0.462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FEB7C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1.241</w:t>
            </w:r>
          </w:p>
        </w:tc>
      </w:tr>
      <w:tr w:rsidR="00064A94" w:rsidRPr="004E729D" w14:paraId="13B6B2CE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E9DD4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EFF → EFF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97894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37FD6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05D1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0.000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7EAEF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NA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C9BA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C44C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7BB2B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44CE5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</w:tr>
    </w:tbl>
    <w:p w14:paraId="62F6327F" w14:textId="77777777" w:rsidR="00064A94" w:rsidRDefault="00064A94" w:rsidP="004E729D">
      <w:pPr>
        <w:spacing w:after="160"/>
        <w:jc w:val="both"/>
      </w:pPr>
    </w:p>
    <w:p w14:paraId="3B4A216C" w14:textId="77777777" w:rsidR="007A168E" w:rsidRPr="004E729D" w:rsidRDefault="007A168E" w:rsidP="004E729D">
      <w:pPr>
        <w:spacing w:after="160"/>
        <w:jc w:val="both"/>
      </w:pPr>
    </w:p>
    <w:p w14:paraId="19FC0BAE" w14:textId="77777777" w:rsidR="00064A94" w:rsidRPr="004E729D" w:rsidRDefault="00000000" w:rsidP="004E729D">
      <w:pPr>
        <w:pStyle w:val="Heading2"/>
        <w:spacing w:before="280"/>
        <w:jc w:val="both"/>
        <w:rPr>
          <w:color w:val="auto"/>
        </w:rPr>
      </w:pPr>
      <w:r w:rsidRPr="004E729D">
        <w:rPr>
          <w:color w:val="auto"/>
        </w:rPr>
        <w:lastRenderedPageBreak/>
        <w:t>1.4 Structural Model</w:t>
      </w:r>
    </w:p>
    <w:p w14:paraId="7558C802" w14:textId="77777777" w:rsidR="00064A94" w:rsidRPr="004E729D" w:rsidRDefault="00000000" w:rsidP="004E729D">
      <w:pPr>
        <w:spacing w:after="160"/>
        <w:jc w:val="both"/>
      </w:pPr>
      <w:r w:rsidRPr="004E729D">
        <w:t>EL was modelled as the exogenous construct driving IP, WP, and EFF. All three hypothesized paths were significant at p &lt; 0.001.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900"/>
        <w:gridCol w:w="1100"/>
        <w:gridCol w:w="900"/>
        <w:gridCol w:w="1000"/>
        <w:gridCol w:w="700"/>
        <w:gridCol w:w="1000"/>
        <w:gridCol w:w="1000"/>
      </w:tblGrid>
      <w:tr w:rsidR="00064A94" w:rsidRPr="004E729D" w14:paraId="4BAD6BAE" w14:textId="77777777">
        <w:trPr>
          <w:tblHeader/>
        </w:trPr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DDE99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186BF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Est.</w:t>
            </w:r>
          </w:p>
        </w:tc>
        <w:tc>
          <w:tcPr>
            <w:tcW w:w="1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B2E32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Boot. Mean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801B6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Boot. SD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6A340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T Stat.</w:t>
            </w:r>
          </w:p>
        </w:tc>
        <w:tc>
          <w:tcPr>
            <w:tcW w:w="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172BE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BA81B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2.5% CI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CFFC7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97.5% CI</w:t>
            </w:r>
          </w:p>
        </w:tc>
      </w:tr>
      <w:tr w:rsidR="00064A94" w:rsidRPr="004E729D" w14:paraId="38CF7969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8CBC0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EL → IP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D60E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0.859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BB484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0.859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91F0B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8C2D5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729.476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75D6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0.000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784E6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0.856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239C8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0.861</w:t>
            </w:r>
          </w:p>
        </w:tc>
      </w:tr>
      <w:tr w:rsidR="00064A94" w:rsidRPr="004E729D" w14:paraId="0731BC50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17D20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EL → WP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9EF25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0.684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832F6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0.685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7DD03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6872C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385.177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C569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0.000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37E49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0.682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0614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0.688</w:t>
            </w:r>
          </w:p>
        </w:tc>
      </w:tr>
      <w:tr w:rsidR="00064A94" w:rsidRPr="004E729D" w14:paraId="692BCCEA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20DC6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EL → EFF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72E0F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0.343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EDA14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0.343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108EE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0.005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0803B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62.702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43551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0.000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E551F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0.333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440EE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0.354</w:t>
            </w:r>
          </w:p>
        </w:tc>
      </w:tr>
    </w:tbl>
    <w:p w14:paraId="506120C5" w14:textId="77777777" w:rsidR="00064A94" w:rsidRPr="004E729D" w:rsidRDefault="00000000" w:rsidP="004E729D">
      <w:pPr>
        <w:spacing w:after="160"/>
        <w:jc w:val="both"/>
      </w:pPr>
      <w:r w:rsidRPr="004E729D">
        <w:t>H1 (EL → EFF, direct): confirmed, β = 0.343. H2 (EL → WP): confirmed, β = 0.684. H3 (EL → IP): confirmed, β = 0.859.</w:t>
      </w:r>
    </w:p>
    <w:p w14:paraId="393317C2" w14:textId="77777777" w:rsidR="00064A94" w:rsidRPr="004E729D" w:rsidRDefault="00000000" w:rsidP="004E729D">
      <w:pPr>
        <w:pStyle w:val="Heading2"/>
        <w:spacing w:before="280"/>
        <w:jc w:val="both"/>
        <w:rPr>
          <w:color w:val="auto"/>
        </w:rPr>
      </w:pPr>
      <w:r w:rsidRPr="004E729D">
        <w:rPr>
          <w:color w:val="auto"/>
        </w:rPr>
        <w:t>1.5 Indirect Effects (Mediation)</w:t>
      </w:r>
    </w:p>
    <w:p w14:paraId="7823406B" w14:textId="77777777" w:rsidR="00064A94" w:rsidRPr="004E729D" w:rsidRDefault="00000000" w:rsidP="004E729D">
      <w:pPr>
        <w:spacing w:after="160"/>
        <w:jc w:val="both"/>
      </w:pPr>
      <w:r w:rsidRPr="004E729D">
        <w:t>Indirect paths from EL to EFF were tested through WP and IP as mediators.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1100"/>
        <w:gridCol w:w="900"/>
        <w:gridCol w:w="1000"/>
        <w:gridCol w:w="1000"/>
        <w:gridCol w:w="1000"/>
      </w:tblGrid>
      <w:tr w:rsidR="00064A94" w:rsidRPr="004E729D" w14:paraId="57BD2441" w14:textId="77777777">
        <w:trPr>
          <w:tblHeader/>
        </w:trPr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B4BFE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Indirect path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F4AAE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Est.</w:t>
            </w:r>
          </w:p>
        </w:tc>
        <w:tc>
          <w:tcPr>
            <w:tcW w:w="1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0D559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Boot. Mean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56C89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Boot. SD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175E5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T Stat.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4BFE2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2.5% CI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23E4E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97.5% CI</w:t>
            </w:r>
          </w:p>
        </w:tc>
      </w:tr>
      <w:tr w:rsidR="00064A94" w:rsidRPr="004E729D" w14:paraId="357D7A8B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4BD5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EL → WP → EFF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153E8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0.107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CAAD3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0.107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21554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90598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48.480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85608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0.103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96B7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0.111</w:t>
            </w:r>
          </w:p>
        </w:tc>
      </w:tr>
      <w:tr w:rsidR="00064A94" w:rsidRPr="004E729D" w14:paraId="14C247B2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3020F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EL → IP → EFF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2D1F1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-0.098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CD1E2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-0.098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CA1F2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0.005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D8866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-21.125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66F79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-0.109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F3432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-0.090</w:t>
            </w:r>
          </w:p>
        </w:tc>
      </w:tr>
    </w:tbl>
    <w:p w14:paraId="7C452FEF" w14:textId="77777777" w:rsidR="00064A94" w:rsidRPr="004E729D" w:rsidRDefault="00000000" w:rsidP="004E729D">
      <w:pPr>
        <w:spacing w:after="160"/>
        <w:jc w:val="both"/>
      </w:pPr>
      <w:r w:rsidRPr="004E729D">
        <w:t>H4a (EL → WP → EFF): significant and positive (0.107); combined with a significant positive direct effect, well-being promotion acts as a complementary mediator. H4b (EL → IP → EFF): significant but negative (-0.098); combined with the positive direct effect, inclusive workplace culture acts as a competitive mediator on this path.</w:t>
      </w:r>
    </w:p>
    <w:p w14:paraId="054CCD7A" w14:textId="77777777" w:rsidR="00064A94" w:rsidRPr="004E729D" w:rsidRDefault="00000000" w:rsidP="004E729D">
      <w:pPr>
        <w:pStyle w:val="Heading2"/>
        <w:spacing w:before="280"/>
        <w:jc w:val="both"/>
        <w:rPr>
          <w:color w:val="auto"/>
        </w:rPr>
      </w:pPr>
      <w:r w:rsidRPr="004E729D">
        <w:rPr>
          <w:color w:val="auto"/>
        </w:rPr>
        <w:t>1.6 Reliability &amp; Convergent Validity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1400"/>
        <w:gridCol w:w="1400"/>
        <w:gridCol w:w="1400"/>
      </w:tblGrid>
      <w:tr w:rsidR="00064A94" w:rsidRPr="004E729D" w14:paraId="153D34A9" w14:textId="77777777">
        <w:trPr>
          <w:tblHeader/>
        </w:trPr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3794A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Construct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10005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Alpha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AAEA3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rhoC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A6F7E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AVE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40B2A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rhoA</w:t>
            </w:r>
          </w:p>
        </w:tc>
      </w:tr>
      <w:tr w:rsidR="00064A94" w:rsidRPr="004E729D" w14:paraId="5A06C0D2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9E82C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EL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CC35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0.899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EB4E6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0.920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EC2A8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0.594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E7E79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0.905</w:t>
            </w:r>
          </w:p>
        </w:tc>
      </w:tr>
      <w:tr w:rsidR="00064A94" w:rsidRPr="004E729D" w14:paraId="61293CEB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02276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IP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6F17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0.770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A51F2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0.869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6AA86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0.691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8A908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0.802</w:t>
            </w:r>
          </w:p>
        </w:tc>
      </w:tr>
      <w:tr w:rsidR="00064A94" w:rsidRPr="004E729D" w14:paraId="2D602702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2F93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WP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041EC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0.887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DCD61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0.915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CE97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0.642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645C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0.887</w:t>
            </w:r>
          </w:p>
        </w:tc>
      </w:tr>
      <w:tr w:rsidR="00064A94" w:rsidRPr="004E729D" w14:paraId="180ABAD1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53C49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EFF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69E14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B2BC6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B21D9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E504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</w:tr>
    </w:tbl>
    <w:p w14:paraId="6EADA3B0" w14:textId="77777777" w:rsidR="00064A94" w:rsidRPr="004E729D" w:rsidRDefault="00000000" w:rsidP="004E729D">
      <w:pPr>
        <w:spacing w:after="160"/>
        <w:jc w:val="both"/>
      </w:pPr>
      <w:r w:rsidRPr="004E729D">
        <w:t>All constructs exceeded the 0.70 threshold for Cronbach's alpha, composite reliability (rhoC), and rhoA, confirming internal consistency. AVE values confirmed convergent validity.</w:t>
      </w:r>
    </w:p>
    <w:p w14:paraId="166D86E2" w14:textId="77777777" w:rsidR="00064A94" w:rsidRPr="004E729D" w:rsidRDefault="00000000" w:rsidP="004E729D">
      <w:pPr>
        <w:pStyle w:val="Heading2"/>
        <w:spacing w:before="280"/>
        <w:jc w:val="both"/>
        <w:rPr>
          <w:color w:val="auto"/>
        </w:rPr>
      </w:pPr>
      <w:r w:rsidRPr="004E729D">
        <w:rPr>
          <w:color w:val="auto"/>
        </w:rPr>
        <w:t>1.7 Discriminant Validity (HTMT)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900"/>
        <w:gridCol w:w="1100"/>
        <w:gridCol w:w="900"/>
        <w:gridCol w:w="1000"/>
        <w:gridCol w:w="1000"/>
        <w:gridCol w:w="1000"/>
      </w:tblGrid>
      <w:tr w:rsidR="00064A94" w:rsidRPr="004E729D" w14:paraId="4A440810" w14:textId="77777777"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C4DF8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Construct pair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7C99B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Est.</w:t>
            </w:r>
          </w:p>
        </w:tc>
        <w:tc>
          <w:tcPr>
            <w:tcW w:w="1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E2716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Boot. Mean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E576D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Boot. SD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CC1AC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T Stat.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EAB7E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2.5% CI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5C99B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97.5% CI</w:t>
            </w:r>
          </w:p>
        </w:tc>
      </w:tr>
      <w:tr w:rsidR="00064A94" w:rsidRPr="004E729D" w14:paraId="3D8FFB6B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635F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EL → IP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10AA4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1.018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1FB1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1.018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B5098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F8E84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830.702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B39B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1.016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2F50E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1.021</w:t>
            </w:r>
          </w:p>
        </w:tc>
      </w:tr>
      <w:tr w:rsidR="00064A94" w:rsidRPr="004E729D" w14:paraId="235E3876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D0FD6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EL → WP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56806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0.759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47B81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0.759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2EF1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AF622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403.402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159B5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0.756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B490B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0.763</w:t>
            </w:r>
          </w:p>
        </w:tc>
      </w:tr>
      <w:tr w:rsidR="00064A94" w:rsidRPr="004E729D" w14:paraId="3B795F87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8DE4E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EL → EFF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55591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0.378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05FA2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0.378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1C063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0.003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E7D70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129.579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F2BF8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0.373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6B3B8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0.384</w:t>
            </w:r>
          </w:p>
        </w:tc>
      </w:tr>
      <w:tr w:rsidR="00064A94" w:rsidRPr="004E729D" w14:paraId="24DA5646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29509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IP → WP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C4FB1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0.786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9EF79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0.787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4DB4F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E4456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384.190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05A8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0.783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DCB3B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0.791</w:t>
            </w:r>
          </w:p>
        </w:tc>
      </w:tr>
      <w:tr w:rsidR="00064A94" w:rsidRPr="004E729D" w14:paraId="6690F499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C8BF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IP → EFF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2D9C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0.332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9669C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0.332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234CE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0.004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09D46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93.912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E697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0.325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198D4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0.339</w:t>
            </w:r>
          </w:p>
        </w:tc>
      </w:tr>
      <w:tr w:rsidR="00064A94" w:rsidRPr="004E729D" w14:paraId="239E09E5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48DE3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WP → EFF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4246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0.339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5E65F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0.339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3D1FC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0.003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B739C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123.648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EF0F3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0.334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E8CD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0.343</w:t>
            </w:r>
          </w:p>
        </w:tc>
      </w:tr>
    </w:tbl>
    <w:p w14:paraId="00EE5E5A" w14:textId="77777777" w:rsidR="00064A94" w:rsidRPr="004E729D" w:rsidRDefault="00000000" w:rsidP="004E729D">
      <w:pPr>
        <w:spacing w:after="160"/>
        <w:jc w:val="both"/>
      </w:pPr>
      <w:r w:rsidRPr="004E729D">
        <w:t>HTMT ratios were within accepted thresholds (&lt; 0.85 for conceptually distinct constructs, &lt; 0.90 for conceptually similar ones), confirming the constructs are empirically distinct.</w:t>
      </w:r>
    </w:p>
    <w:p w14:paraId="53A65319" w14:textId="77777777" w:rsidR="00064A94" w:rsidRPr="004E729D" w:rsidRDefault="00000000" w:rsidP="004E729D">
      <w:pPr>
        <w:jc w:val="both"/>
      </w:pPr>
      <w:r w:rsidRPr="004E729D">
        <w:br w:type="page"/>
      </w:r>
    </w:p>
    <w:p w14:paraId="69E810ED" w14:textId="06DE44B8" w:rsidR="004E729D" w:rsidRPr="004E729D" w:rsidRDefault="004E729D" w:rsidP="004E729D">
      <w:pPr>
        <w:jc w:val="both"/>
      </w:pPr>
      <w:r w:rsidRPr="004E729D">
        <w:rPr>
          <w:noProof/>
        </w:rPr>
        <w:lastRenderedPageBreak/>
        <w:drawing>
          <wp:inline distT="0" distB="0" distL="0" distR="0" wp14:anchorId="17FEFA8C" wp14:editId="2BDE8D13">
            <wp:extent cx="5943600" cy="3673475"/>
            <wp:effectExtent l="0" t="0" r="0" b="3175"/>
            <wp:docPr id="183474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40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4A99" w14:textId="77777777" w:rsidR="004E729D" w:rsidRDefault="004E729D" w:rsidP="004E729D">
      <w:pPr>
        <w:pStyle w:val="Heading1"/>
        <w:jc w:val="both"/>
        <w:rPr>
          <w:color w:val="auto"/>
        </w:rPr>
      </w:pPr>
    </w:p>
    <w:p w14:paraId="726A1E59" w14:textId="77777777" w:rsidR="004E729D" w:rsidRDefault="004E729D" w:rsidP="004E729D">
      <w:pPr>
        <w:pStyle w:val="Heading1"/>
        <w:jc w:val="both"/>
        <w:rPr>
          <w:color w:val="auto"/>
        </w:rPr>
      </w:pPr>
    </w:p>
    <w:p w14:paraId="67DD9455" w14:textId="77777777" w:rsidR="004E729D" w:rsidRDefault="004E729D" w:rsidP="004E729D">
      <w:pPr>
        <w:pStyle w:val="Heading1"/>
        <w:jc w:val="both"/>
        <w:rPr>
          <w:color w:val="auto"/>
        </w:rPr>
      </w:pPr>
    </w:p>
    <w:p w14:paraId="4F4B52A3" w14:textId="77777777" w:rsidR="004E729D" w:rsidRDefault="004E729D" w:rsidP="004E729D">
      <w:pPr>
        <w:pStyle w:val="Heading1"/>
        <w:jc w:val="both"/>
        <w:rPr>
          <w:color w:val="auto"/>
        </w:rPr>
      </w:pPr>
    </w:p>
    <w:p w14:paraId="0A782748" w14:textId="77777777" w:rsidR="004E729D" w:rsidRDefault="004E729D" w:rsidP="004E729D">
      <w:pPr>
        <w:pStyle w:val="Heading1"/>
        <w:jc w:val="both"/>
        <w:rPr>
          <w:color w:val="auto"/>
        </w:rPr>
      </w:pPr>
    </w:p>
    <w:p w14:paraId="74AAE88A" w14:textId="77777777" w:rsidR="004E729D" w:rsidRDefault="004E729D" w:rsidP="004E729D">
      <w:pPr>
        <w:pStyle w:val="Heading1"/>
        <w:jc w:val="both"/>
        <w:rPr>
          <w:color w:val="auto"/>
        </w:rPr>
      </w:pPr>
    </w:p>
    <w:p w14:paraId="539CAA44" w14:textId="77777777" w:rsidR="004E729D" w:rsidRDefault="004E729D" w:rsidP="004E729D">
      <w:pPr>
        <w:pStyle w:val="Heading1"/>
        <w:jc w:val="both"/>
        <w:rPr>
          <w:color w:val="auto"/>
        </w:rPr>
      </w:pPr>
    </w:p>
    <w:p w14:paraId="066840AD" w14:textId="77777777" w:rsidR="004E729D" w:rsidRDefault="004E729D" w:rsidP="004E729D">
      <w:pPr>
        <w:pStyle w:val="Heading1"/>
        <w:jc w:val="both"/>
        <w:rPr>
          <w:color w:val="auto"/>
        </w:rPr>
      </w:pPr>
    </w:p>
    <w:p w14:paraId="73EFF6D4" w14:textId="77777777" w:rsidR="004E729D" w:rsidRDefault="004E729D" w:rsidP="004E729D">
      <w:pPr>
        <w:pStyle w:val="Heading1"/>
        <w:jc w:val="both"/>
        <w:rPr>
          <w:color w:val="auto"/>
        </w:rPr>
      </w:pPr>
    </w:p>
    <w:p w14:paraId="62A555BC" w14:textId="77777777" w:rsidR="00947498" w:rsidRDefault="00947498" w:rsidP="004E729D">
      <w:pPr>
        <w:pStyle w:val="Heading1"/>
        <w:jc w:val="both"/>
        <w:rPr>
          <w:color w:val="auto"/>
        </w:rPr>
      </w:pPr>
    </w:p>
    <w:p w14:paraId="2ECECCF6" w14:textId="65E80EFD" w:rsidR="00064A94" w:rsidRPr="004E729D" w:rsidRDefault="00000000" w:rsidP="004E729D">
      <w:pPr>
        <w:pStyle w:val="Heading1"/>
        <w:jc w:val="both"/>
        <w:rPr>
          <w:color w:val="auto"/>
        </w:rPr>
      </w:pPr>
      <w:r w:rsidRPr="004E729D">
        <w:rPr>
          <w:color w:val="auto"/>
        </w:rPr>
        <w:lastRenderedPageBreak/>
        <w:t>Study Two</w:t>
      </w:r>
      <w:r w:rsidR="007A168E">
        <w:rPr>
          <w:color w:val="auto"/>
        </w:rPr>
        <w:t>:</w:t>
      </w:r>
      <w:r w:rsidRPr="004E729D">
        <w:rPr>
          <w:color w:val="auto"/>
        </w:rPr>
        <w:t xml:space="preserve"> Stress, Burnout, and Inclusive Workplaces on Effectiveness</w:t>
      </w:r>
    </w:p>
    <w:p w14:paraId="4E99C75E" w14:textId="77777777" w:rsidR="00064A94" w:rsidRPr="004E729D" w:rsidRDefault="00000000" w:rsidP="004E729D">
      <w:pPr>
        <w:spacing w:after="200"/>
        <w:jc w:val="both"/>
      </w:pPr>
      <w:r w:rsidRPr="004E729D">
        <w:rPr>
          <w:i/>
          <w:iCs/>
          <w:sz w:val="20"/>
          <w:szCs w:val="20"/>
        </w:rPr>
        <w:t>Underlies: Olumekor, Van Der Meer, Polbitsyn &amp; Palumbo (2025), Public Management Review</w:t>
      </w:r>
    </w:p>
    <w:p w14:paraId="7C823E5B" w14:textId="77777777" w:rsidR="00064A94" w:rsidRPr="004E729D" w:rsidRDefault="00000000" w:rsidP="004E729D">
      <w:pPr>
        <w:pStyle w:val="Heading2"/>
        <w:spacing w:before="280"/>
        <w:jc w:val="both"/>
        <w:rPr>
          <w:color w:val="auto"/>
        </w:rPr>
      </w:pPr>
      <w:r w:rsidRPr="004E729D">
        <w:rPr>
          <w:color w:val="auto"/>
        </w:rPr>
        <w:t>2.1 Objective</w:t>
      </w:r>
    </w:p>
    <w:p w14:paraId="2B9F27C4" w14:textId="77777777" w:rsidR="00064A94" w:rsidRPr="004E729D" w:rsidRDefault="00000000" w:rsidP="004E729D">
      <w:pPr>
        <w:spacing w:after="160"/>
        <w:jc w:val="both"/>
      </w:pPr>
      <w:r w:rsidRPr="004E729D">
        <w:t>To examine the influence of stress and burnout (WO), discrimination (DD), and harassment/bullying (HB) on organizational effectiveness (EFF) in public sector organizations, and to test whether stress and burnout mediate the effects of discrimination and harassment/bullying on effectiveness.</w:t>
      </w:r>
    </w:p>
    <w:p w14:paraId="13C543AD" w14:textId="77777777" w:rsidR="00064A94" w:rsidRPr="004E729D" w:rsidRDefault="00000000" w:rsidP="004E729D">
      <w:pPr>
        <w:pStyle w:val="Heading2"/>
        <w:spacing w:before="280"/>
        <w:jc w:val="both"/>
        <w:rPr>
          <w:color w:val="auto"/>
        </w:rPr>
      </w:pPr>
      <w:r w:rsidRPr="004E729D">
        <w:rPr>
          <w:color w:val="auto"/>
        </w:rPr>
        <w:t>2.2 Sample</w:t>
      </w:r>
    </w:p>
    <w:p w14:paraId="11C2038A" w14:textId="77777777" w:rsidR="00064A94" w:rsidRPr="004E729D" w:rsidRDefault="00000000" w:rsidP="004E729D">
      <w:pPr>
        <w:spacing w:after="160"/>
        <w:jc w:val="both"/>
      </w:pPr>
      <w:r w:rsidRPr="004E729D">
        <w:t>Same valid sample: n = 117,263. PLS-SEM was again used for its robustness at this scale and its ability to combine multi-item reflective constructs (well-being outcome/stress-burnout) with single-item constructs (discrimination; harassment &amp; bullying; effectiveness).</w:t>
      </w:r>
    </w:p>
    <w:p w14:paraId="5B0E87BE" w14:textId="77777777" w:rsidR="00064A94" w:rsidRPr="004E729D" w:rsidRDefault="00000000" w:rsidP="004E729D">
      <w:pPr>
        <w:pStyle w:val="Heading2"/>
        <w:spacing w:before="280"/>
        <w:jc w:val="both"/>
        <w:rPr>
          <w:color w:val="auto"/>
        </w:rPr>
      </w:pPr>
      <w:r w:rsidRPr="004E729D">
        <w:rPr>
          <w:color w:val="auto"/>
        </w:rPr>
        <w:t>2.3 Measurement Model</w:t>
      </w:r>
    </w:p>
    <w:p w14:paraId="577A7038" w14:textId="77777777" w:rsidR="00064A94" w:rsidRPr="004E729D" w:rsidRDefault="00000000" w:rsidP="004E729D">
      <w:pPr>
        <w:spacing w:after="160"/>
        <w:jc w:val="both"/>
      </w:pPr>
      <w:r w:rsidRPr="004E729D">
        <w:t>Stress and burnout (WO) was measured with three items, each with loadings above 0.708 and explained variance above 50%. Discrimination (DD), harassment/bullying (HB), and effectiveness (EFF) were single-indicator constructs, with loadings of 1.000 by definition.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900"/>
        <w:gridCol w:w="900"/>
        <w:gridCol w:w="900"/>
        <w:gridCol w:w="1000"/>
        <w:gridCol w:w="900"/>
        <w:gridCol w:w="900"/>
        <w:gridCol w:w="1000"/>
        <w:gridCol w:w="700"/>
      </w:tblGrid>
      <w:tr w:rsidR="00064A94" w:rsidRPr="004E729D" w14:paraId="17E78EE2" w14:textId="77777777"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FF947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Indicator → Construct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ABF9B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Loading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57A99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Boot. Mean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CF888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Boot. SD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72EAE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T Stat.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6A8AC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2.5% CI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19D28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97.5% CI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6FD17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Expl. Var.</w:t>
            </w:r>
          </w:p>
        </w:tc>
        <w:tc>
          <w:tcPr>
            <w:tcW w:w="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85B68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VIF</w:t>
            </w:r>
          </w:p>
        </w:tc>
      </w:tr>
      <w:tr w:rsidR="00064A94" w:rsidRPr="004E729D" w14:paraId="005670C2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12F5F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WO_1 → WO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31CFE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0.854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BE8B5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0.854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B3693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9A8E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624.947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1775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0.851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D15A2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0.856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3C271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0.729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733AF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2.004</w:t>
            </w:r>
          </w:p>
        </w:tc>
      </w:tr>
      <w:tr w:rsidR="00064A94" w:rsidRPr="004E729D" w14:paraId="32B84FF3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06E1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WO_2 → WO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C10E4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0.897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0ED4E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0.897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C734C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FF9A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977.581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99412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0.895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261E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0.898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31B0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0.804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0F79E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2.437</w:t>
            </w:r>
          </w:p>
        </w:tc>
      </w:tr>
      <w:tr w:rsidR="00064A94" w:rsidRPr="004E729D" w14:paraId="54533656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FF850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WO_3 → WO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60981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0.889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757A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0.889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B826F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7961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994.492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5F24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0.887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C8CCB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0.890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24361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0.790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FAED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2.072</w:t>
            </w:r>
          </w:p>
        </w:tc>
      </w:tr>
      <w:tr w:rsidR="00064A94" w:rsidRPr="004E729D" w14:paraId="403C6F0F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85EFB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DD → DD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07F94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B13AE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EB58F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0.000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7DD0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NA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74A95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5057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000DF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E45E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</w:tr>
      <w:tr w:rsidR="00064A94" w:rsidRPr="004E729D" w14:paraId="0D43E7B6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D5881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HB → HB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946B3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A01D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57384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0.000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D63B2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NA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68E36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A92D9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05185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4281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</w:tr>
      <w:tr w:rsidR="00064A94" w:rsidRPr="004E729D" w14:paraId="14140C90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CD84F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EFF → EFF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3021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46A26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91CC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0.000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1EA7E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NA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DA25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9B0C8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FC5F1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98DD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</w:tr>
    </w:tbl>
    <w:p w14:paraId="6032A968" w14:textId="77777777" w:rsidR="00064A94" w:rsidRPr="004E729D" w:rsidRDefault="00000000" w:rsidP="004E729D">
      <w:pPr>
        <w:pStyle w:val="Heading2"/>
        <w:spacing w:before="280"/>
        <w:jc w:val="both"/>
        <w:rPr>
          <w:color w:val="auto"/>
        </w:rPr>
      </w:pPr>
      <w:r w:rsidRPr="004E729D">
        <w:rPr>
          <w:color w:val="auto"/>
        </w:rPr>
        <w:t>2.4 Structural Model</w:t>
      </w:r>
    </w:p>
    <w:p w14:paraId="1299E45C" w14:textId="77777777" w:rsidR="00064A94" w:rsidRPr="004E729D" w:rsidRDefault="00000000" w:rsidP="004E729D">
      <w:pPr>
        <w:spacing w:after="160"/>
        <w:jc w:val="both"/>
      </w:pPr>
      <w:r w:rsidRPr="004E729D">
        <w:t>All three constructs showed a significant negative effect on organizational effectiveness.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900"/>
        <w:gridCol w:w="1100"/>
        <w:gridCol w:w="900"/>
        <w:gridCol w:w="1000"/>
        <w:gridCol w:w="700"/>
        <w:gridCol w:w="1000"/>
        <w:gridCol w:w="1000"/>
      </w:tblGrid>
      <w:tr w:rsidR="00064A94" w:rsidRPr="004E729D" w14:paraId="04DC4A27" w14:textId="77777777">
        <w:trPr>
          <w:tblHeader/>
        </w:trPr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A4E47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9BDC1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Est.</w:t>
            </w:r>
          </w:p>
        </w:tc>
        <w:tc>
          <w:tcPr>
            <w:tcW w:w="1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16549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Boot. Mean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788FE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Boot. SD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F728E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T Stat.</w:t>
            </w:r>
          </w:p>
        </w:tc>
        <w:tc>
          <w:tcPr>
            <w:tcW w:w="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A9C36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7894D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2.5% CI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B25F8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97.5% CI</w:t>
            </w:r>
          </w:p>
        </w:tc>
      </w:tr>
      <w:tr w:rsidR="00064A94" w:rsidRPr="004E729D" w14:paraId="5A0ADBE1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57058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WO → EFF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39FF5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-0.134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C587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-0.134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B8F1E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0.003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E7EB0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-46.842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F0B76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0.000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7B2DE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-0.139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5B203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-0.129</w:t>
            </w:r>
          </w:p>
        </w:tc>
      </w:tr>
      <w:tr w:rsidR="00064A94" w:rsidRPr="004E729D" w14:paraId="1EF42AA8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228D1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DD → EFF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4D13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-0.051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AE50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-0.051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1F4CC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0.003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9099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-14.672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2C9E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0.000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8F5D6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-0.057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C1F29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-0.044</w:t>
            </w:r>
          </w:p>
        </w:tc>
      </w:tr>
      <w:tr w:rsidR="00064A94" w:rsidRPr="004E729D" w14:paraId="1CEE5155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542CE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HB → EFF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08F2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-0.068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0E5D2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-0.068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D7F88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0.004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277DF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-19.411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D7C55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0.000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785F2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-0.075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A702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-0.062</w:t>
            </w:r>
          </w:p>
        </w:tc>
      </w:tr>
    </w:tbl>
    <w:p w14:paraId="7DB2DB54" w14:textId="77777777" w:rsidR="00064A94" w:rsidRPr="004E729D" w:rsidRDefault="00000000" w:rsidP="004E729D">
      <w:pPr>
        <w:spacing w:after="160"/>
        <w:jc w:val="both"/>
      </w:pPr>
      <w:r w:rsidRPr="004E729D">
        <w:t>H1 (stress/burnout → EFF): confirmed, β = -0.134. H2 (discrimination → EFF): confirmed, β = -0.051. H3 (harassment/bullying → EFF): confirmed, β = -0.068.</w:t>
      </w:r>
    </w:p>
    <w:p w14:paraId="51952139" w14:textId="77777777" w:rsidR="00064A94" w:rsidRPr="004E729D" w:rsidRDefault="00000000" w:rsidP="004E729D">
      <w:pPr>
        <w:pStyle w:val="Heading2"/>
        <w:spacing w:before="280"/>
        <w:jc w:val="both"/>
        <w:rPr>
          <w:color w:val="auto"/>
        </w:rPr>
      </w:pPr>
      <w:r w:rsidRPr="004E729D">
        <w:rPr>
          <w:color w:val="auto"/>
        </w:rPr>
        <w:t>2.5 Indirect Effects (Mediation)</w:t>
      </w:r>
    </w:p>
    <w:p w14:paraId="61285D59" w14:textId="77777777" w:rsidR="00064A94" w:rsidRPr="004E729D" w:rsidRDefault="00000000" w:rsidP="004E729D">
      <w:pPr>
        <w:spacing w:after="160"/>
        <w:jc w:val="both"/>
      </w:pPr>
      <w:r w:rsidRPr="004E729D">
        <w:t>Stress and burnout (WO) was tested as a mediator of the effects of discrimination and harassment/bullying on effectiveness.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1100"/>
        <w:gridCol w:w="900"/>
        <w:gridCol w:w="1000"/>
        <w:gridCol w:w="1000"/>
        <w:gridCol w:w="1000"/>
      </w:tblGrid>
      <w:tr w:rsidR="00064A94" w:rsidRPr="004E729D" w14:paraId="241AD8AA" w14:textId="77777777">
        <w:trPr>
          <w:tblHeader/>
        </w:trPr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210C6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Indirect path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A55EB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Est.</w:t>
            </w:r>
          </w:p>
        </w:tc>
        <w:tc>
          <w:tcPr>
            <w:tcW w:w="1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EF7FC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Boot. Mean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C2954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Boot. SD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A70DA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T Stat.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84645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2.5% CI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C8E46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97.5% CI</w:t>
            </w:r>
          </w:p>
        </w:tc>
      </w:tr>
      <w:tr w:rsidR="00064A94" w:rsidRPr="004E729D" w14:paraId="0DFF31CA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6C54E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HB → WO → EFF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C091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-0.014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69E30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-0.014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F6CA2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74A7C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-26.420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1436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-0.015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37D6B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-0.013</w:t>
            </w:r>
          </w:p>
        </w:tc>
      </w:tr>
      <w:tr w:rsidR="00064A94" w:rsidRPr="004E729D" w14:paraId="12325BFD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5C38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lastRenderedPageBreak/>
              <w:t>DD → WO → EFF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B3E9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-0.025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D8000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-0.025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4429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C46DF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-32.827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79793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-0.026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ED5F1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-0.024</w:t>
            </w:r>
          </w:p>
        </w:tc>
      </w:tr>
    </w:tbl>
    <w:p w14:paraId="30FFBFCB" w14:textId="161C8180" w:rsidR="00064A94" w:rsidRPr="004E729D" w:rsidRDefault="00000000" w:rsidP="004E729D">
      <w:pPr>
        <w:spacing w:after="160"/>
        <w:jc w:val="both"/>
      </w:pPr>
      <w:r w:rsidRPr="004E729D">
        <w:t>H4a (discrimination → WO → EFF): confirmed, -0.025 — stress/burnout partially and complementarily mediates the effect of discrimination on effectiveness. H4b (harassment/bullying → WO → EFF): confirmed, -0.014</w:t>
      </w:r>
      <w:r w:rsidR="007A168E">
        <w:t>,</w:t>
      </w:r>
      <w:r w:rsidRPr="004E729D">
        <w:t xml:space="preserve"> stress/burnout partially and complementarily mediates the effect of harassment/bullying on effectiveness.</w:t>
      </w:r>
    </w:p>
    <w:p w14:paraId="5E6DA224" w14:textId="77777777" w:rsidR="00064A94" w:rsidRPr="004E729D" w:rsidRDefault="00000000" w:rsidP="004E729D">
      <w:pPr>
        <w:pStyle w:val="Heading2"/>
        <w:spacing w:before="280"/>
        <w:jc w:val="both"/>
        <w:rPr>
          <w:color w:val="auto"/>
        </w:rPr>
      </w:pPr>
      <w:r w:rsidRPr="004E729D">
        <w:rPr>
          <w:color w:val="auto"/>
        </w:rPr>
        <w:t>2.6 Reliability &amp; Convergent Validity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1400"/>
        <w:gridCol w:w="1400"/>
        <w:gridCol w:w="1400"/>
      </w:tblGrid>
      <w:tr w:rsidR="00064A94" w:rsidRPr="004E729D" w14:paraId="4277D19C" w14:textId="77777777">
        <w:trPr>
          <w:tblHeader/>
        </w:trPr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21F4A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Construct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7160E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Alpha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5C518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rhoC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6F16E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AVE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8B5EB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rhoA</w:t>
            </w:r>
          </w:p>
        </w:tc>
      </w:tr>
      <w:tr w:rsidR="00064A94" w:rsidRPr="004E729D" w14:paraId="69BD4E27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13454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WO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12825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0.855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E0508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0.911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3EBD5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0.774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B21D2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0.864</w:t>
            </w:r>
          </w:p>
        </w:tc>
      </w:tr>
      <w:tr w:rsidR="00064A94" w:rsidRPr="004E729D" w14:paraId="77B1D075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C1858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DD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EAA35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47C9B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D3FD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70CC6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</w:tr>
      <w:tr w:rsidR="00064A94" w:rsidRPr="004E729D" w14:paraId="13783237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7121C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HB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EB4E1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E0D8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AD720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BDF08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</w:tr>
      <w:tr w:rsidR="00064A94" w:rsidRPr="004E729D" w14:paraId="2ADC091A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B2893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EFF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0328B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FDF9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2005E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505C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1.000</w:t>
            </w:r>
          </w:p>
        </w:tc>
      </w:tr>
    </w:tbl>
    <w:p w14:paraId="5655E171" w14:textId="77777777" w:rsidR="00064A94" w:rsidRPr="004E729D" w:rsidRDefault="00000000" w:rsidP="004E729D">
      <w:pPr>
        <w:spacing w:after="160"/>
        <w:jc w:val="both"/>
      </w:pPr>
      <w:r w:rsidRPr="004E729D">
        <w:t>Alpha, rhoC, and rhoA values each exceeded 0.70, confirming internal consistency across all constructs.</w:t>
      </w:r>
    </w:p>
    <w:p w14:paraId="37B69254" w14:textId="77777777" w:rsidR="00064A94" w:rsidRPr="004E729D" w:rsidRDefault="00000000" w:rsidP="004E729D">
      <w:pPr>
        <w:pStyle w:val="Heading2"/>
        <w:spacing w:before="280"/>
        <w:jc w:val="both"/>
        <w:rPr>
          <w:color w:val="auto"/>
        </w:rPr>
      </w:pPr>
      <w:r w:rsidRPr="004E729D">
        <w:rPr>
          <w:color w:val="auto"/>
        </w:rPr>
        <w:t>2.7 Discriminant Validity (HTMT)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900"/>
        <w:gridCol w:w="1100"/>
        <w:gridCol w:w="900"/>
        <w:gridCol w:w="1000"/>
        <w:gridCol w:w="1000"/>
        <w:gridCol w:w="1000"/>
      </w:tblGrid>
      <w:tr w:rsidR="00064A94" w:rsidRPr="004E729D" w14:paraId="35B49E3D" w14:textId="77777777"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87807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Construct pair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1AABE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Est.</w:t>
            </w:r>
          </w:p>
        </w:tc>
        <w:tc>
          <w:tcPr>
            <w:tcW w:w="1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FACA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Boot. Mean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4E0F6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Boot. SD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72571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T Stat.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4455A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2.5% CI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57DB6" w14:textId="77777777" w:rsidR="00064A94" w:rsidRPr="004E729D" w:rsidRDefault="00000000" w:rsidP="004E729D">
            <w:pPr>
              <w:jc w:val="both"/>
            </w:pPr>
            <w:r w:rsidRPr="004E729D">
              <w:rPr>
                <w:b/>
                <w:bCs/>
                <w:sz w:val="18"/>
                <w:szCs w:val="18"/>
              </w:rPr>
              <w:t>97.5% CI</w:t>
            </w:r>
          </w:p>
        </w:tc>
      </w:tr>
      <w:tr w:rsidR="00064A94" w:rsidRPr="004E729D" w14:paraId="1FC5D000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74BF2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WO → DD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96F30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0.189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B4A0B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0.189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47E63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0.003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14F24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62.478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5F43E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0.184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7B208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0.195</w:t>
            </w:r>
          </w:p>
        </w:tc>
      </w:tr>
      <w:tr w:rsidR="00064A94" w:rsidRPr="004E729D" w14:paraId="46B481F1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9437B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WO → HB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E70F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0.243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199A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0.243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0F3FC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0.003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CF39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71.229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A0188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0.236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9AD2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0.249</w:t>
            </w:r>
          </w:p>
        </w:tc>
      </w:tr>
      <w:tr w:rsidR="00064A94" w:rsidRPr="004E729D" w14:paraId="36EFAD09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9CD0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WO → EFF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C1EA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0.168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19A1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0.168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1CDAE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0.003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C7E2E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54.091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168D3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0.163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F56BF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0.174</w:t>
            </w:r>
          </w:p>
        </w:tc>
      </w:tr>
      <w:tr w:rsidR="00064A94" w:rsidRPr="004E729D" w14:paraId="0535DB66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E0F55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DD → HB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EFA49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0.380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48429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0.379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ED0D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0.004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FA26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99.096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6F7E7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0.372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13D9F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0.386</w:t>
            </w:r>
          </w:p>
        </w:tc>
      </w:tr>
      <w:tr w:rsidR="00064A94" w:rsidRPr="004E729D" w14:paraId="43226152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E9B56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DD → EFF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A36C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0.101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4C9A8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0.100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92FE9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0.003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FDD7B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30.008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0775F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0.093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0607D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0.105</w:t>
            </w:r>
          </w:p>
        </w:tc>
      </w:tr>
      <w:tr w:rsidR="00064A94" w:rsidRPr="004E729D" w14:paraId="6C5DBB73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C4C53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HB → EFF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8D536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0.118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82FEA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0.117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2FFCC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0.003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BFC25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35.904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4D269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0.111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8DE1C" w14:textId="77777777" w:rsidR="00064A94" w:rsidRPr="004E729D" w:rsidRDefault="00000000" w:rsidP="004E729D">
            <w:pPr>
              <w:jc w:val="both"/>
            </w:pPr>
            <w:r w:rsidRPr="004E729D">
              <w:rPr>
                <w:sz w:val="18"/>
                <w:szCs w:val="18"/>
              </w:rPr>
              <w:t>0.123</w:t>
            </w:r>
          </w:p>
        </w:tc>
      </w:tr>
    </w:tbl>
    <w:p w14:paraId="3DB6A674" w14:textId="74AE28BF" w:rsidR="00064A94" w:rsidRDefault="00000000" w:rsidP="00947498">
      <w:pPr>
        <w:spacing w:after="160"/>
        <w:jc w:val="both"/>
      </w:pPr>
      <w:r w:rsidRPr="004E729D">
        <w:t>All HTMT ratios fell below the 0.85 threshold, confirming the constructs are empirically distinct.</w:t>
      </w:r>
    </w:p>
    <w:p w14:paraId="2D7830BE" w14:textId="76F2C57B" w:rsidR="00947498" w:rsidRDefault="00947498" w:rsidP="00947498">
      <w:pPr>
        <w:spacing w:after="160"/>
        <w:jc w:val="both"/>
      </w:pPr>
      <w:r w:rsidRPr="007D526D">
        <w:rPr>
          <w:noProof/>
        </w:rPr>
        <w:drawing>
          <wp:inline distT="0" distB="0" distL="0" distR="0" wp14:anchorId="5A8F056E" wp14:editId="3BD02FA4">
            <wp:extent cx="4975860" cy="3013160"/>
            <wp:effectExtent l="0" t="0" r="0" b="0"/>
            <wp:docPr id="383000605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00605" name="Picture 1" descr="A diagram of a 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9942" cy="301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C8AA" w14:textId="77777777" w:rsidR="00947498" w:rsidRPr="004E729D" w:rsidRDefault="00947498" w:rsidP="00947498">
      <w:pPr>
        <w:spacing w:after="160"/>
        <w:jc w:val="both"/>
      </w:pPr>
    </w:p>
    <w:p w14:paraId="231C8736" w14:textId="77777777" w:rsidR="00064A94" w:rsidRPr="004E729D" w:rsidRDefault="00000000" w:rsidP="004E729D">
      <w:pPr>
        <w:pStyle w:val="Heading1"/>
        <w:jc w:val="both"/>
        <w:rPr>
          <w:color w:val="auto"/>
        </w:rPr>
      </w:pPr>
      <w:r w:rsidRPr="004E729D">
        <w:rPr>
          <w:color w:val="auto"/>
        </w:rPr>
        <w:lastRenderedPageBreak/>
        <w:t>Methodological Approach Demonstrated</w:t>
      </w:r>
    </w:p>
    <w:p w14:paraId="187BD8A5" w14:textId="77777777" w:rsidR="00064A94" w:rsidRPr="004E729D" w:rsidRDefault="00000000" w:rsidP="004E729D">
      <w:pPr>
        <w:pStyle w:val="ListParagraph"/>
        <w:numPr>
          <w:ilvl w:val="0"/>
          <w:numId w:val="1"/>
        </w:numPr>
        <w:spacing w:after="80"/>
        <w:jc w:val="both"/>
      </w:pPr>
      <w:r w:rsidRPr="004E729D">
        <w:t>Reflective measurement model specification and indicator retention/elimination decisions (e.g., dropping EL_8 for low explained variance)</w:t>
      </w:r>
    </w:p>
    <w:p w14:paraId="6232E3FE" w14:textId="77777777" w:rsidR="00064A94" w:rsidRPr="004E729D" w:rsidRDefault="00000000" w:rsidP="004E729D">
      <w:pPr>
        <w:pStyle w:val="ListParagraph"/>
        <w:numPr>
          <w:ilvl w:val="0"/>
          <w:numId w:val="1"/>
        </w:numPr>
        <w:spacing w:after="80"/>
        <w:jc w:val="both"/>
      </w:pPr>
      <w:r w:rsidRPr="004E729D">
        <w:t>Multicollinearity screening via Variance Inflation Factor (VIF)</w:t>
      </w:r>
    </w:p>
    <w:p w14:paraId="55616E00" w14:textId="77777777" w:rsidR="00064A94" w:rsidRPr="004E729D" w:rsidRDefault="00000000" w:rsidP="004E729D">
      <w:pPr>
        <w:pStyle w:val="ListParagraph"/>
        <w:numPr>
          <w:ilvl w:val="0"/>
          <w:numId w:val="1"/>
        </w:numPr>
        <w:spacing w:after="80"/>
        <w:jc w:val="both"/>
      </w:pPr>
      <w:r w:rsidRPr="004E729D">
        <w:t>Bootstrapped structural path estimation (percentile method, 95% confidence intervals)</w:t>
      </w:r>
    </w:p>
    <w:p w14:paraId="15C5D0F7" w14:textId="77777777" w:rsidR="00064A94" w:rsidRPr="004E729D" w:rsidRDefault="00000000" w:rsidP="004E729D">
      <w:pPr>
        <w:pStyle w:val="ListParagraph"/>
        <w:numPr>
          <w:ilvl w:val="0"/>
          <w:numId w:val="1"/>
        </w:numPr>
        <w:spacing w:after="80"/>
        <w:jc w:val="both"/>
      </w:pPr>
      <w:r w:rsidRPr="004E729D">
        <w:t>Specific indirect effect (mediation) testing and classification of mediation type (complementary vs. competitive) from the sign of direct vs. indirect effect products</w:t>
      </w:r>
    </w:p>
    <w:p w14:paraId="60EE5AD6" w14:textId="77777777" w:rsidR="00064A94" w:rsidRPr="004E729D" w:rsidRDefault="00000000" w:rsidP="004E729D">
      <w:pPr>
        <w:pStyle w:val="ListParagraph"/>
        <w:numPr>
          <w:ilvl w:val="0"/>
          <w:numId w:val="1"/>
        </w:numPr>
        <w:spacing w:after="80"/>
        <w:jc w:val="both"/>
      </w:pPr>
      <w:r w:rsidRPr="004E729D">
        <w:t>Internal consistency reliability (Cronbach's alpha, composite reliability rhoC, rhoA) and convergent validity (AVE) assessment</w:t>
      </w:r>
    </w:p>
    <w:p w14:paraId="331FAC0B" w14:textId="77777777" w:rsidR="00064A94" w:rsidRPr="004E729D" w:rsidRDefault="00000000" w:rsidP="004E729D">
      <w:pPr>
        <w:pStyle w:val="ListParagraph"/>
        <w:numPr>
          <w:ilvl w:val="0"/>
          <w:numId w:val="1"/>
        </w:numPr>
        <w:spacing w:after="80"/>
        <w:jc w:val="both"/>
      </w:pPr>
      <w:r w:rsidRPr="004E729D">
        <w:t>Discriminant validity via the Heterotrait-Monotrait (HTMT) ratio</w:t>
      </w:r>
    </w:p>
    <w:p w14:paraId="6117F5D7" w14:textId="77777777" w:rsidR="00064A94" w:rsidRPr="004E729D" w:rsidRDefault="00000000" w:rsidP="004E729D">
      <w:pPr>
        <w:pStyle w:val="ListParagraph"/>
        <w:numPr>
          <w:ilvl w:val="0"/>
          <w:numId w:val="1"/>
        </w:numPr>
        <w:spacing w:after="80"/>
        <w:jc w:val="both"/>
      </w:pPr>
      <w:r w:rsidRPr="004E729D">
        <w:t>Handling of both multi-item reflective constructs and single-item constructs within one structural model</w:t>
      </w:r>
    </w:p>
    <w:p w14:paraId="6F3F1CC2" w14:textId="77777777" w:rsidR="00064A94" w:rsidRPr="004E729D" w:rsidRDefault="00000000" w:rsidP="004E729D">
      <w:pPr>
        <w:pStyle w:val="ListParagraph"/>
        <w:numPr>
          <w:ilvl w:val="0"/>
          <w:numId w:val="1"/>
        </w:numPr>
        <w:spacing w:after="80"/>
        <w:jc w:val="both"/>
      </w:pPr>
      <w:r w:rsidRPr="004E729D">
        <w:t>Analysis executed at large-sample scale (n = 117,263), appropriate diagnostic reporting for PLS-SEM at this scale</w:t>
      </w:r>
    </w:p>
    <w:p w14:paraId="633F2EA4" w14:textId="77777777" w:rsidR="00064A94" w:rsidRPr="004E729D" w:rsidRDefault="00000000" w:rsidP="004E729D">
      <w:pPr>
        <w:pStyle w:val="Heading1"/>
        <w:jc w:val="both"/>
        <w:rPr>
          <w:color w:val="auto"/>
        </w:rPr>
      </w:pPr>
      <w:r w:rsidRPr="004E729D">
        <w:rPr>
          <w:color w:val="auto"/>
        </w:rPr>
        <w:t>Note on Use</w:t>
      </w:r>
    </w:p>
    <w:p w14:paraId="09ED46A3" w14:textId="77777777" w:rsidR="00064A94" w:rsidRPr="004E729D" w:rsidRDefault="00000000" w:rsidP="004E729D">
      <w:pPr>
        <w:spacing w:after="160"/>
        <w:jc w:val="both"/>
      </w:pPr>
      <w:r w:rsidRPr="004E729D">
        <w:t>This case study is intended for portfolio and professional-development purposes (e.g., Elytics consultancy materials, GitHub, CV). Findings and figures are drawn directly from analysis I conducted; the substantive conclusions were subsequently published by Olumekor et al. as cited above, and any onward sharing of this document should retain that attribution.</w:t>
      </w:r>
    </w:p>
    <w:sectPr w:rsidR="00064A94" w:rsidRPr="004E729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A38B7"/>
    <w:multiLevelType w:val="hybridMultilevel"/>
    <w:tmpl w:val="071C375C"/>
    <w:lvl w:ilvl="0" w:tplc="56C4EF32">
      <w:start w:val="1"/>
      <w:numFmt w:val="bullet"/>
      <w:lvlText w:val="●"/>
      <w:lvlJc w:val="left"/>
      <w:pPr>
        <w:ind w:left="720" w:hanging="360"/>
      </w:pPr>
    </w:lvl>
    <w:lvl w:ilvl="1" w:tplc="E026B5FE">
      <w:start w:val="1"/>
      <w:numFmt w:val="bullet"/>
      <w:lvlText w:val="○"/>
      <w:lvlJc w:val="left"/>
      <w:pPr>
        <w:ind w:left="1440" w:hanging="360"/>
      </w:pPr>
    </w:lvl>
    <w:lvl w:ilvl="2" w:tplc="6658ABD2">
      <w:start w:val="1"/>
      <w:numFmt w:val="bullet"/>
      <w:lvlText w:val="■"/>
      <w:lvlJc w:val="left"/>
      <w:pPr>
        <w:ind w:left="2160" w:hanging="360"/>
      </w:pPr>
    </w:lvl>
    <w:lvl w:ilvl="3" w:tplc="132CEBF8">
      <w:start w:val="1"/>
      <w:numFmt w:val="bullet"/>
      <w:lvlText w:val="●"/>
      <w:lvlJc w:val="left"/>
      <w:pPr>
        <w:ind w:left="2880" w:hanging="360"/>
      </w:pPr>
    </w:lvl>
    <w:lvl w:ilvl="4" w:tplc="2202FB58">
      <w:start w:val="1"/>
      <w:numFmt w:val="bullet"/>
      <w:lvlText w:val="○"/>
      <w:lvlJc w:val="left"/>
      <w:pPr>
        <w:ind w:left="3600" w:hanging="360"/>
      </w:pPr>
    </w:lvl>
    <w:lvl w:ilvl="5" w:tplc="1E3AF692">
      <w:start w:val="1"/>
      <w:numFmt w:val="bullet"/>
      <w:lvlText w:val="■"/>
      <w:lvlJc w:val="left"/>
      <w:pPr>
        <w:ind w:left="4320" w:hanging="360"/>
      </w:pPr>
    </w:lvl>
    <w:lvl w:ilvl="6" w:tplc="E6E215A8">
      <w:start w:val="1"/>
      <w:numFmt w:val="bullet"/>
      <w:lvlText w:val="●"/>
      <w:lvlJc w:val="left"/>
      <w:pPr>
        <w:ind w:left="5040" w:hanging="360"/>
      </w:pPr>
    </w:lvl>
    <w:lvl w:ilvl="7" w:tplc="20F0DD1E">
      <w:start w:val="1"/>
      <w:numFmt w:val="bullet"/>
      <w:lvlText w:val="●"/>
      <w:lvlJc w:val="left"/>
      <w:pPr>
        <w:ind w:left="5760" w:hanging="360"/>
      </w:pPr>
    </w:lvl>
    <w:lvl w:ilvl="8" w:tplc="4BA21240">
      <w:start w:val="1"/>
      <w:numFmt w:val="bullet"/>
      <w:lvlText w:val="●"/>
      <w:lvlJc w:val="left"/>
      <w:pPr>
        <w:ind w:left="6480" w:hanging="360"/>
      </w:pPr>
    </w:lvl>
  </w:abstractNum>
  <w:num w:numId="1" w16cid:durableId="2506240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A94"/>
    <w:rsid w:val="00064A94"/>
    <w:rsid w:val="004E729D"/>
    <w:rsid w:val="007A168E"/>
    <w:rsid w:val="00947498"/>
    <w:rsid w:val="00B458C5"/>
    <w:rsid w:val="00FB4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C8D59"/>
  <w15:docId w15:val="{B8EE3652-D3F8-40BD-AD07-67AEEA11F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E5395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4294966653</TotalTime>
  <Pages>7</Pages>
  <Words>1577</Words>
  <Characters>8994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Oluwaseyi Akojenu</cp:lastModifiedBy>
  <cp:revision>3</cp:revision>
  <dcterms:created xsi:type="dcterms:W3CDTF">2026-07-19T11:37:00Z</dcterms:created>
  <dcterms:modified xsi:type="dcterms:W3CDTF">2026-07-19T11:40:00Z</dcterms:modified>
</cp:coreProperties>
</file>