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="240" w:lineRule="auto"/>
      </w:pPr>
      <w:r>
        <w:rPr>
          <w:sz w:val="10"/>
        </w:rPr>
        <w:t xml:space="preserve">Pedro Sanchez Considera Dimitir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75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Punto clave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Considera dimitir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Debido a la campaña de desprestigio liderada por la derecha y la ultraderecha contra él y su esposa, Begoña</w:t>
            </w:r>
            <w:r>
              <w:rPr/>
            </w: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Situación sin precedentes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La situación actual es única y excepcional, según palabras del propio Pedro Sánchez</w:t>
            </w:r>
            <w:r>
              <w:rPr/>
            </w: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Fidelidad a su deber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Aunque considera dimitir, sigue siendo fiel a su deber y compromiso político</w:t>
            </w:r>
            <w:r>
              <w:rPr/>
            </w: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Continuarán trabajando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Seguirá trabajando aunque considere dimitir, enfatizando su dedicación al servicio público</w:t>
            </w:r>
            <w:r>
              <w:rPr/>
            </w: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Denuncia de Manos Limpias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La denuncia se basa en información espuria difundida por medios ultraconservadores</w:t>
            </w:r>
            <w:r>
              <w:rPr/>
            </w: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Nota: Las citas corresponden a XIMO.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2025-04-09T16:28:22.404Z</dcterms:created>
  <dcterms:modified xsi:type="dcterms:W3CDTF">2025-04-09T16:28:22.404Z</dcterms:modified>
</cp:coreProperties>
</file>