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Abonten — Implementation Timeline</w:t>
      </w:r>
    </w:p>
    <w:p>
      <w:pPr>
        <w:pStyle w:val="Subtitle"/>
        <w:jc w:val="center"/>
      </w:pPr>
      <w:r>
        <w:t>Project start: Monday, July 6, 2026 → Go-live: January 29, 2027</w:t>
      </w:r>
    </w:p>
    <w:p>
      <w:pPr>
        <w:pStyle w:val="Heading1"/>
      </w:pPr>
      <w:r>
        <w:t>Section 1: Phase Overview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1152"/>
        <w:gridCol w:w="1368"/>
        <w:gridCol w:w="2016"/>
        <w:gridCol w:w="1944"/>
      </w:tblGrid>
      <w:tr>
        <w:trPr>
          <w:tblHeader w:val="true"/>
        </w:trPr>
        <w:tc>
          <w:tcPr>
            <w:tcW w:type="dxa" w:w="2880"/>
            <w:shd w:val="clear" w:color="auto" w:fill="14467A"/>
          </w:tcPr>
          <w:p>
            <w:r/>
            <w:r>
              <w:rPr>
                <w:b/>
                <w:color w:val="FFFFFF"/>
                <w:sz w:val="21"/>
              </w:rPr>
              <w:t>Phase</w:t>
            </w:r>
          </w:p>
        </w:tc>
        <w:tc>
          <w:tcPr>
            <w:tcW w:type="dxa" w:w="1152"/>
            <w:shd w:val="clear" w:color="auto" w:fill="14467A"/>
          </w:tcPr>
          <w:p>
            <w:r/>
            <w:r>
              <w:rPr>
                <w:b/>
                <w:color w:val="FFFFFF"/>
                <w:sz w:val="21"/>
              </w:rPr>
              <w:t>Sprints</w:t>
            </w:r>
          </w:p>
        </w:tc>
        <w:tc>
          <w:tcPr>
            <w:tcW w:type="dxa" w:w="1368"/>
            <w:shd w:val="clear" w:color="auto" w:fill="14467A"/>
          </w:tcPr>
          <w:p>
            <w:r/>
            <w:r>
              <w:rPr>
                <w:b/>
                <w:color w:val="FFFFFF"/>
                <w:sz w:val="21"/>
              </w:rPr>
              <w:t>Weeks</w:t>
            </w:r>
          </w:p>
        </w:tc>
        <w:tc>
          <w:tcPr>
            <w:tcW w:type="dxa" w:w="2016"/>
            <w:shd w:val="clear" w:color="auto" w:fill="14467A"/>
          </w:tcPr>
          <w:p>
            <w:r/>
            <w:r>
              <w:rPr>
                <w:b/>
                <w:color w:val="FFFFFF"/>
                <w:sz w:val="21"/>
              </w:rPr>
              <w:t>Dates</w:t>
            </w:r>
          </w:p>
        </w:tc>
        <w:tc>
          <w:tcPr>
            <w:tcW w:type="dxa" w:w="1944"/>
            <w:shd w:val="clear" w:color="auto" w:fill="14467A"/>
          </w:tcPr>
          <w:p>
            <w:r/>
            <w:r>
              <w:rPr>
                <w:b/>
                <w:color w:val="FFFFFF"/>
                <w:sz w:val="21"/>
              </w:rPr>
              <w:t>Focus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Phase 0 — Foundation</w:t>
            </w:r>
          </w:p>
        </w:tc>
        <w:tc>
          <w:tcPr>
            <w:tcW w:type="dxa" w:w="1152"/>
          </w:tcPr>
          <w:p>
            <w:r/>
            <w:r>
              <w:rPr>
                <w:sz w:val="21"/>
              </w:rPr>
              <w:t>—</w:t>
            </w:r>
          </w:p>
        </w:tc>
        <w:tc>
          <w:tcPr>
            <w:tcW w:type="dxa" w:w="1368"/>
          </w:tcPr>
          <w:p>
            <w:r/>
            <w:r>
              <w:rPr>
                <w:sz w:val="21"/>
              </w:rPr>
              <w:t>Wk 1–2</w:t>
            </w:r>
          </w:p>
        </w:tc>
        <w:tc>
          <w:tcPr>
            <w:tcW w:type="dxa" w:w="2016"/>
          </w:tcPr>
          <w:p>
            <w:r/>
            <w:r>
              <w:rPr>
                <w:sz w:val="21"/>
              </w:rPr>
              <w:t>Jul 6 – Jul 17</w:t>
            </w:r>
          </w:p>
        </w:tc>
        <w:tc>
          <w:tcPr>
            <w:tcW w:type="dxa" w:w="1944"/>
          </w:tcPr>
          <w:p>
            <w:r/>
            <w:r>
              <w:rPr>
                <w:sz w:val="21"/>
              </w:rPr>
              <w:t>Spec, architecture decisions, repo scaffold, CI/CD (mostly done)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Phase 1 — MVP</w:t>
            </w:r>
          </w:p>
        </w:tc>
        <w:tc>
          <w:tcPr>
            <w:tcW w:type="dxa" w:w="1152"/>
          </w:tcPr>
          <w:p>
            <w:r/>
            <w:r>
              <w:rPr>
                <w:sz w:val="21"/>
              </w:rPr>
              <w:t>S1–S4</w:t>
            </w:r>
          </w:p>
        </w:tc>
        <w:tc>
          <w:tcPr>
            <w:tcW w:type="dxa" w:w="1368"/>
          </w:tcPr>
          <w:p>
            <w:r/>
            <w:r>
              <w:rPr>
                <w:sz w:val="21"/>
              </w:rPr>
              <w:t>Wk 3–10</w:t>
            </w:r>
          </w:p>
        </w:tc>
        <w:tc>
          <w:tcPr>
            <w:tcW w:type="dxa" w:w="2016"/>
          </w:tcPr>
          <w:p>
            <w:r/>
            <w:r>
              <w:rPr>
                <w:sz w:val="21"/>
              </w:rPr>
              <w:t>Jul 20 – Sep 11</w:t>
            </w:r>
          </w:p>
        </w:tc>
        <w:tc>
          <w:tcPr>
            <w:tcW w:type="dxa" w:w="1944"/>
          </w:tcPr>
          <w:p>
            <w:r/>
            <w:r>
              <w:rPr>
                <w:sz w:val="21"/>
              </w:rPr>
              <w:t>Inventory + basic booking + basic proof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Phase 2 — V1</w:t>
            </w:r>
          </w:p>
        </w:tc>
        <w:tc>
          <w:tcPr>
            <w:tcW w:type="dxa" w:w="1152"/>
          </w:tcPr>
          <w:p>
            <w:r/>
            <w:r>
              <w:rPr>
                <w:sz w:val="21"/>
              </w:rPr>
              <w:t>S5–S9</w:t>
            </w:r>
          </w:p>
        </w:tc>
        <w:tc>
          <w:tcPr>
            <w:tcW w:type="dxa" w:w="1368"/>
          </w:tcPr>
          <w:p>
            <w:r/>
            <w:r>
              <w:rPr>
                <w:sz w:val="21"/>
              </w:rPr>
              <w:t>Wk 11–20</w:t>
            </w:r>
          </w:p>
        </w:tc>
        <w:tc>
          <w:tcPr>
            <w:tcW w:type="dxa" w:w="2016"/>
          </w:tcPr>
          <w:p>
            <w:r/>
            <w:r>
              <w:rPr>
                <w:sz w:val="21"/>
              </w:rPr>
              <w:t>Sep 14 – Nov 20</w:t>
            </w:r>
          </w:p>
        </w:tc>
        <w:tc>
          <w:tcPr>
            <w:tcW w:type="dxa" w:w="1944"/>
          </w:tcPr>
          <w:p>
            <w:r/>
            <w:r>
              <w:rPr>
                <w:sz w:val="21"/>
              </w:rPr>
              <w:t>Full features: KPIs, campaign builder, marketplace, reporting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Phase 3 — V2</w:t>
            </w:r>
          </w:p>
        </w:tc>
        <w:tc>
          <w:tcPr>
            <w:tcW w:type="dxa" w:w="1152"/>
          </w:tcPr>
          <w:p>
            <w:r/>
            <w:r>
              <w:rPr>
                <w:sz w:val="21"/>
              </w:rPr>
              <w:t>S10–S13</w:t>
            </w:r>
          </w:p>
        </w:tc>
        <w:tc>
          <w:tcPr>
            <w:tcW w:type="dxa" w:w="1368"/>
          </w:tcPr>
          <w:p>
            <w:r/>
            <w:r>
              <w:rPr>
                <w:sz w:val="21"/>
              </w:rPr>
              <w:t>Wk 21–28</w:t>
            </w:r>
          </w:p>
        </w:tc>
        <w:tc>
          <w:tcPr>
            <w:tcW w:type="dxa" w:w="2016"/>
          </w:tcPr>
          <w:p>
            <w:r/>
            <w:r>
              <w:rPr>
                <w:sz w:val="21"/>
              </w:rPr>
              <w:t>Nov 23 – Jan 15</w:t>
            </w:r>
          </w:p>
        </w:tc>
        <w:tc>
          <w:tcPr>
            <w:tcW w:type="dxa" w:w="1944"/>
          </w:tcPr>
          <w:p>
            <w:r/>
            <w:r>
              <w:rPr>
                <w:sz w:val="21"/>
              </w:rPr>
              <w:t>Mobile/offline, bilingual, automation, beta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Phase 4 — Rollout</w:t>
            </w:r>
          </w:p>
        </w:tc>
        <w:tc>
          <w:tcPr>
            <w:tcW w:type="dxa" w:w="1152"/>
          </w:tcPr>
          <w:p>
            <w:r/>
            <w:r>
              <w:rPr>
                <w:sz w:val="21"/>
              </w:rPr>
              <w:t>S14–S15</w:t>
            </w:r>
          </w:p>
        </w:tc>
        <w:tc>
          <w:tcPr>
            <w:tcW w:type="dxa" w:w="1368"/>
          </w:tcPr>
          <w:p>
            <w:r/>
            <w:r>
              <w:rPr>
                <w:sz w:val="21"/>
              </w:rPr>
              <w:t>Wk 29–30</w:t>
            </w:r>
          </w:p>
        </w:tc>
        <w:tc>
          <w:tcPr>
            <w:tcW w:type="dxa" w:w="2016"/>
          </w:tcPr>
          <w:p>
            <w:r/>
            <w:r>
              <w:rPr>
                <w:sz w:val="21"/>
              </w:rPr>
              <w:t>Jan 18 – Jan 29</w:t>
            </w:r>
          </w:p>
        </w:tc>
        <w:tc>
          <w:tcPr>
            <w:tcW w:type="dxa" w:w="1944"/>
          </w:tcPr>
          <w:p>
            <w:r/>
            <w:r>
              <w:rPr>
                <w:sz w:val="21"/>
              </w:rPr>
              <w:t>Production deploy, onboarding, training, go-live</w:t>
            </w:r>
          </w:p>
        </w:tc>
      </w:tr>
    </w:tbl>
    <w:p>
      <w:pPr>
        <w:pStyle w:val="Heading1"/>
      </w:pPr>
      <w:r>
        <w:t>Section 2: Sprint-by-Sprint Breakdown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08"/>
        <w:gridCol w:w="1368"/>
        <w:gridCol w:w="2016"/>
        <w:gridCol w:w="4968"/>
      </w:tblGrid>
      <w:tr>
        <w:trPr>
          <w:tblHeader w:val="true"/>
        </w:trPr>
        <w:tc>
          <w:tcPr>
            <w:tcW w:type="dxa" w:w="1008"/>
            <w:shd w:val="clear" w:color="auto" w:fill="14467A"/>
          </w:tcPr>
          <w:p>
            <w:r/>
            <w:r>
              <w:rPr>
                <w:b/>
                <w:color w:val="FFFFFF"/>
                <w:sz w:val="21"/>
              </w:rPr>
              <w:t>Sprint</w:t>
            </w:r>
          </w:p>
        </w:tc>
        <w:tc>
          <w:tcPr>
            <w:tcW w:type="dxa" w:w="1368"/>
            <w:shd w:val="clear" w:color="auto" w:fill="14467A"/>
          </w:tcPr>
          <w:p>
            <w:r/>
            <w:r>
              <w:rPr>
                <w:b/>
                <w:color w:val="FFFFFF"/>
                <w:sz w:val="21"/>
              </w:rPr>
              <w:t>Weeks</w:t>
            </w:r>
          </w:p>
        </w:tc>
        <w:tc>
          <w:tcPr>
            <w:tcW w:type="dxa" w:w="2016"/>
            <w:shd w:val="clear" w:color="auto" w:fill="14467A"/>
          </w:tcPr>
          <w:p>
            <w:r/>
            <w:r>
              <w:rPr>
                <w:b/>
                <w:color w:val="FFFFFF"/>
                <w:sz w:val="21"/>
              </w:rPr>
              <w:t>Dates</w:t>
            </w:r>
          </w:p>
        </w:tc>
        <w:tc>
          <w:tcPr>
            <w:tcW w:type="dxa" w:w="4968"/>
            <w:shd w:val="clear" w:color="auto" w:fill="14467A"/>
          </w:tcPr>
          <w:p>
            <w:r/>
            <w:r>
              <w:rPr>
                <w:b/>
                <w:color w:val="FFFFFF"/>
                <w:sz w:val="21"/>
              </w:rPr>
              <w:t>Deliverables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1"/>
              </w:rPr>
              <w:t>S1</w:t>
            </w:r>
          </w:p>
        </w:tc>
        <w:tc>
          <w:tcPr>
            <w:tcW w:type="dxa" w:w="1368"/>
          </w:tcPr>
          <w:p>
            <w:r/>
            <w:r>
              <w:rPr>
                <w:sz w:val="21"/>
              </w:rPr>
              <w:t>Wk 3–4</w:t>
            </w:r>
          </w:p>
        </w:tc>
        <w:tc>
          <w:tcPr>
            <w:tcW w:type="dxa" w:w="2016"/>
          </w:tcPr>
          <w:p>
            <w:r/>
            <w:r>
              <w:rPr>
                <w:sz w:val="21"/>
              </w:rPr>
              <w:t>Jul 20 – Jul 31</w:t>
            </w:r>
          </w:p>
        </w:tc>
        <w:tc>
          <w:tcPr>
            <w:tcW w:type="dxa" w:w="4968"/>
          </w:tcPr>
          <w:p>
            <w:r/>
            <w:r>
              <w:rPr>
                <w:sz w:val="21"/>
              </w:rPr>
              <w:t>Multi-tenant auth &amp; org model, DB schema &amp; migrations, base API scaffold, project structure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1"/>
              </w:rPr>
              <w:t>S2</w:t>
            </w:r>
          </w:p>
        </w:tc>
        <w:tc>
          <w:tcPr>
            <w:tcW w:type="dxa" w:w="1368"/>
          </w:tcPr>
          <w:p>
            <w:r/>
            <w:r>
              <w:rPr>
                <w:sz w:val="21"/>
              </w:rPr>
              <w:t>Wk 5–6</w:t>
            </w:r>
          </w:p>
        </w:tc>
        <w:tc>
          <w:tcPr>
            <w:tcW w:type="dxa" w:w="2016"/>
          </w:tcPr>
          <w:p>
            <w:r/>
            <w:r>
              <w:rPr>
                <w:sz w:val="21"/>
              </w:rPr>
              <w:t>Aug 3 – Aug 14</w:t>
            </w:r>
          </w:p>
        </w:tc>
        <w:tc>
          <w:tcPr>
            <w:tcW w:type="dxa" w:w="4968"/>
          </w:tcPr>
          <w:p>
            <w:r/>
            <w:r>
              <w:rPr>
                <w:sz w:val="21"/>
              </w:rPr>
              <w:t>Billboard inventory CRUD, approval workflow, listing lifecycle, basic marketplace search/filter/map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1"/>
              </w:rPr>
              <w:t>S3</w:t>
            </w:r>
          </w:p>
        </w:tc>
        <w:tc>
          <w:tcPr>
            <w:tcW w:type="dxa" w:w="1368"/>
          </w:tcPr>
          <w:p>
            <w:r/>
            <w:r>
              <w:rPr>
                <w:sz w:val="21"/>
              </w:rPr>
              <w:t>Wk 7–8</w:t>
            </w:r>
          </w:p>
        </w:tc>
        <w:tc>
          <w:tcPr>
            <w:tcW w:type="dxa" w:w="2016"/>
          </w:tcPr>
          <w:p>
            <w:r/>
            <w:r>
              <w:rPr>
                <w:sz w:val="21"/>
              </w:rPr>
              <w:t>Aug 17 – Aug 28</w:t>
            </w:r>
          </w:p>
        </w:tc>
        <w:tc>
          <w:tcPr>
            <w:tcW w:type="dxa" w:w="4968"/>
          </w:tcPr>
          <w:p>
            <w:r/>
            <w:r>
              <w:rPr>
                <w:sz w:val="21"/>
              </w:rPr>
              <w:t>Basic booking &amp; reservations, availability, POP photo uploads, condition reports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1"/>
              </w:rPr>
              <w:t>S4</w:t>
            </w:r>
          </w:p>
        </w:tc>
        <w:tc>
          <w:tcPr>
            <w:tcW w:type="dxa" w:w="1368"/>
          </w:tcPr>
          <w:p>
            <w:r/>
            <w:r>
              <w:rPr>
                <w:sz w:val="21"/>
              </w:rPr>
              <w:t>Wk 9–10</w:t>
            </w:r>
          </w:p>
        </w:tc>
        <w:tc>
          <w:tcPr>
            <w:tcW w:type="dxa" w:w="2016"/>
          </w:tcPr>
          <w:p>
            <w:r/>
            <w:r>
              <w:rPr>
                <w:sz w:val="21"/>
              </w:rPr>
              <w:t>Aug 31 – Sep 11</w:t>
            </w:r>
          </w:p>
        </w:tc>
        <w:tc>
          <w:tcPr>
            <w:tcW w:type="dxa" w:w="4968"/>
          </w:tcPr>
          <w:p>
            <w:r/>
            <w:r>
              <w:rPr>
                <w:sz w:val="21"/>
              </w:rPr>
              <w:t>Client dashboard (campaign status, POP gallery), MVP integration testing, MVP release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1"/>
              </w:rPr>
              <w:t>S5</w:t>
            </w:r>
          </w:p>
        </w:tc>
        <w:tc>
          <w:tcPr>
            <w:tcW w:type="dxa" w:w="1368"/>
          </w:tcPr>
          <w:p>
            <w:r/>
            <w:r>
              <w:rPr>
                <w:sz w:val="21"/>
              </w:rPr>
              <w:t>Wk 11–12</w:t>
            </w:r>
          </w:p>
        </w:tc>
        <w:tc>
          <w:tcPr>
            <w:tcW w:type="dxa" w:w="2016"/>
          </w:tcPr>
          <w:p>
            <w:r/>
            <w:r>
              <w:rPr>
                <w:sz w:val="21"/>
              </w:rPr>
              <w:t>Sep 14 – Sep 25</w:t>
            </w:r>
          </w:p>
        </w:tc>
        <w:tc>
          <w:tcPr>
            <w:tcW w:type="dxa" w:w="4968"/>
          </w:tcPr>
          <w:p>
            <w:r/>
            <w:r>
              <w:rPr>
                <w:sz w:val="21"/>
              </w:rPr>
              <w:t>Bulk inventory import, multi-face structures, full spec schema, site metadata enrichment schema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1"/>
              </w:rPr>
              <w:t>S6</w:t>
            </w:r>
          </w:p>
        </w:tc>
        <w:tc>
          <w:tcPr>
            <w:tcW w:type="dxa" w:w="1368"/>
          </w:tcPr>
          <w:p>
            <w:r/>
            <w:r>
              <w:rPr>
                <w:sz w:val="21"/>
              </w:rPr>
              <w:t>Wk 13–14</w:t>
            </w:r>
          </w:p>
        </w:tc>
        <w:tc>
          <w:tcPr>
            <w:tcW w:type="dxa" w:w="2016"/>
          </w:tcPr>
          <w:p>
            <w:r/>
            <w:r>
              <w:rPr>
                <w:sz w:val="21"/>
              </w:rPr>
              <w:t>Sep 28 – Oct 9</w:t>
            </w:r>
          </w:p>
        </w:tc>
        <w:tc>
          <w:tcPr>
            <w:tcW w:type="dxa" w:w="4968"/>
          </w:tcPr>
          <w:p>
            <w:r/>
            <w:r>
              <w:rPr>
                <w:sz w:val="21"/>
              </w:rPr>
              <w:t>KPI estimation engine (impressions, reach, frequency, GRP/TRP, CPM, CPRP)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1"/>
              </w:rPr>
              <w:t>S7</w:t>
            </w:r>
          </w:p>
        </w:tc>
        <w:tc>
          <w:tcPr>
            <w:tcW w:type="dxa" w:w="1368"/>
          </w:tcPr>
          <w:p>
            <w:r/>
            <w:r>
              <w:rPr>
                <w:sz w:val="21"/>
              </w:rPr>
              <w:t>Wk 15–16</w:t>
            </w:r>
          </w:p>
        </w:tc>
        <w:tc>
          <w:tcPr>
            <w:tcW w:type="dxa" w:w="2016"/>
          </w:tcPr>
          <w:p>
            <w:r/>
            <w:r>
              <w:rPr>
                <w:sz w:val="21"/>
              </w:rPr>
              <w:t>Oct 12 – Oct 23</w:t>
            </w:r>
          </w:p>
        </w:tc>
        <w:tc>
          <w:tcPr>
            <w:tcW w:type="dxa" w:w="4968"/>
          </w:tcPr>
          <w:p>
            <w:r/>
            <w:r>
              <w:rPr>
                <w:sz w:val="21"/>
              </w:rPr>
              <w:t>Campaign builder (budget allocation, scheduling, scenarios, side-by-side comparison)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1"/>
              </w:rPr>
              <w:t>S8</w:t>
            </w:r>
          </w:p>
        </w:tc>
        <w:tc>
          <w:tcPr>
            <w:tcW w:type="dxa" w:w="1368"/>
          </w:tcPr>
          <w:p>
            <w:r/>
            <w:r>
              <w:rPr>
                <w:sz w:val="21"/>
              </w:rPr>
              <w:t>Wk 17–18</w:t>
            </w:r>
          </w:p>
        </w:tc>
        <w:tc>
          <w:tcPr>
            <w:tcW w:type="dxa" w:w="2016"/>
          </w:tcPr>
          <w:p>
            <w:r/>
            <w:r>
              <w:rPr>
                <w:sz w:val="21"/>
              </w:rPr>
              <w:t>Oct 26 – Nov 6</w:t>
            </w:r>
          </w:p>
        </w:tc>
        <w:tc>
          <w:tcPr>
            <w:tcW w:type="dxa" w:w="4968"/>
          </w:tcPr>
          <w:p>
            <w:r/>
            <w:r>
              <w:rPr>
                <w:sz w:val="21"/>
              </w:rPr>
              <w:t>Full marketplace &amp; booking (availability calendar, pricing, reservations, conflict management), multi-currency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1"/>
              </w:rPr>
              <w:t>S9</w:t>
            </w:r>
          </w:p>
        </w:tc>
        <w:tc>
          <w:tcPr>
            <w:tcW w:type="dxa" w:w="1368"/>
          </w:tcPr>
          <w:p>
            <w:r/>
            <w:r>
              <w:rPr>
                <w:sz w:val="21"/>
              </w:rPr>
              <w:t>Wk 19–20</w:t>
            </w:r>
          </w:p>
        </w:tc>
        <w:tc>
          <w:tcPr>
            <w:tcW w:type="dxa" w:w="2016"/>
          </w:tcPr>
          <w:p>
            <w:r/>
            <w:r>
              <w:rPr>
                <w:sz w:val="21"/>
              </w:rPr>
              <w:t>Nov 9 – Nov 20</w:t>
            </w:r>
          </w:p>
        </w:tc>
        <w:tc>
          <w:tcPr>
            <w:tcW w:type="dxa" w:w="4968"/>
          </w:tcPr>
          <w:p>
            <w:r/>
            <w:r>
              <w:rPr>
                <w:sz w:val="21"/>
              </w:rPr>
              <w:t>Reporting &amp; analytics module, V1 integration testing, V1 release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1"/>
              </w:rPr>
              <w:t>S10</w:t>
            </w:r>
          </w:p>
        </w:tc>
        <w:tc>
          <w:tcPr>
            <w:tcW w:type="dxa" w:w="1368"/>
          </w:tcPr>
          <w:p>
            <w:r/>
            <w:r>
              <w:rPr>
                <w:sz w:val="21"/>
              </w:rPr>
              <w:t>Wk 21–22</w:t>
            </w:r>
          </w:p>
        </w:tc>
        <w:tc>
          <w:tcPr>
            <w:tcW w:type="dxa" w:w="2016"/>
          </w:tcPr>
          <w:p>
            <w:r/>
            <w:r>
              <w:rPr>
                <w:sz w:val="21"/>
              </w:rPr>
              <w:t>Nov 23 – Dec 4</w:t>
            </w:r>
          </w:p>
        </w:tc>
        <w:tc>
          <w:tcPr>
            <w:tcW w:type="dxa" w:w="4968"/>
          </w:tcPr>
          <w:p>
            <w:r/>
            <w:r>
              <w:rPr>
                <w:sz w:val="21"/>
              </w:rPr>
              <w:t>Offline-first mobile apps (POP capture, field operator workflows)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1"/>
              </w:rPr>
              <w:t>S11</w:t>
            </w:r>
          </w:p>
        </w:tc>
        <w:tc>
          <w:tcPr>
            <w:tcW w:type="dxa" w:w="1368"/>
          </w:tcPr>
          <w:p>
            <w:r/>
            <w:r>
              <w:rPr>
                <w:sz w:val="21"/>
              </w:rPr>
              <w:t>Wk 23–24</w:t>
            </w:r>
          </w:p>
        </w:tc>
        <w:tc>
          <w:tcPr>
            <w:tcW w:type="dxa" w:w="2016"/>
          </w:tcPr>
          <w:p>
            <w:r/>
            <w:r>
              <w:rPr>
                <w:sz w:val="21"/>
              </w:rPr>
              <w:t>Dec 7 – Dec 18</w:t>
            </w:r>
          </w:p>
        </w:tc>
        <w:tc>
          <w:tcPr>
            <w:tcW w:type="dxa" w:w="4968"/>
          </w:tcPr>
          <w:p>
            <w:r/>
            <w:r>
              <w:rPr>
                <w:sz w:val="21"/>
              </w:rPr>
              <w:t>Bilingual EN/FR support, automated enrichment pipelines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1"/>
              </w:rPr>
              <w:t>S12</w:t>
            </w:r>
          </w:p>
        </w:tc>
        <w:tc>
          <w:tcPr>
            <w:tcW w:type="dxa" w:w="1368"/>
          </w:tcPr>
          <w:p>
            <w:r/>
            <w:r>
              <w:rPr>
                <w:sz w:val="21"/>
              </w:rPr>
              <w:t>Wk 25–26</w:t>
            </w:r>
          </w:p>
        </w:tc>
        <w:tc>
          <w:tcPr>
            <w:tcW w:type="dxa" w:w="2016"/>
          </w:tcPr>
          <w:p>
            <w:r/>
            <w:r>
              <w:rPr>
                <w:sz w:val="21"/>
              </w:rPr>
              <w:t>Dec 21 – Jan 1</w:t>
            </w:r>
          </w:p>
        </w:tc>
        <w:tc>
          <w:tcPr>
            <w:tcW w:type="dxa" w:w="4968"/>
          </w:tcPr>
          <w:p>
            <w:r/>
            <w:r>
              <w:rPr>
                <w:sz w:val="21"/>
              </w:rPr>
              <w:t>Automated spec validation, duplicate detection, API ecosystem integrations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1"/>
              </w:rPr>
              <w:t>S13</w:t>
            </w:r>
          </w:p>
        </w:tc>
        <w:tc>
          <w:tcPr>
            <w:tcW w:type="dxa" w:w="1368"/>
          </w:tcPr>
          <w:p>
            <w:r/>
            <w:r>
              <w:rPr>
                <w:sz w:val="21"/>
              </w:rPr>
              <w:t>Wk 27–28</w:t>
            </w:r>
          </w:p>
        </w:tc>
        <w:tc>
          <w:tcPr>
            <w:tcW w:type="dxa" w:w="2016"/>
          </w:tcPr>
          <w:p>
            <w:r/>
            <w:r>
              <w:rPr>
                <w:sz w:val="21"/>
              </w:rPr>
              <w:t>Jan 4 – Jan 15</w:t>
            </w:r>
          </w:p>
        </w:tc>
        <w:tc>
          <w:tcPr>
            <w:tcW w:type="dxa" w:w="4968"/>
          </w:tcPr>
          <w:p>
            <w:r/>
            <w:r>
              <w:rPr>
                <w:sz w:val="21"/>
              </w:rPr>
              <w:t>Security hardening, performance optimization, beta testing with OMG WeCA teams &amp; media partners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1"/>
              </w:rPr>
              <w:t>S14</w:t>
            </w:r>
          </w:p>
        </w:tc>
        <w:tc>
          <w:tcPr>
            <w:tcW w:type="dxa" w:w="1368"/>
          </w:tcPr>
          <w:p>
            <w:r/>
            <w:r>
              <w:rPr>
                <w:sz w:val="21"/>
              </w:rPr>
              <w:t>Wk 29</w:t>
            </w:r>
          </w:p>
        </w:tc>
        <w:tc>
          <w:tcPr>
            <w:tcW w:type="dxa" w:w="2016"/>
          </w:tcPr>
          <w:p>
            <w:r/>
            <w:r>
              <w:rPr>
                <w:sz w:val="21"/>
              </w:rPr>
              <w:t>Jan 18 – Jan 22</w:t>
            </w:r>
          </w:p>
        </w:tc>
        <w:tc>
          <w:tcPr>
            <w:tcW w:type="dxa" w:w="4968"/>
          </w:tcPr>
          <w:p>
            <w:r/>
            <w:r>
              <w:rPr>
                <w:sz w:val="21"/>
              </w:rPr>
              <w:t>Production deployment, infrastructure, monitoring, observability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1"/>
              </w:rPr>
              <w:t>S15</w:t>
            </w:r>
          </w:p>
        </w:tc>
        <w:tc>
          <w:tcPr>
            <w:tcW w:type="dxa" w:w="1368"/>
          </w:tcPr>
          <w:p>
            <w:r/>
            <w:r>
              <w:rPr>
                <w:sz w:val="21"/>
              </w:rPr>
              <w:t>Wk 30</w:t>
            </w:r>
          </w:p>
        </w:tc>
        <w:tc>
          <w:tcPr>
            <w:tcW w:type="dxa" w:w="2016"/>
          </w:tcPr>
          <w:p>
            <w:r/>
            <w:r>
              <w:rPr>
                <w:sz w:val="21"/>
              </w:rPr>
              <w:t>Jan 25 – Jan 29</w:t>
            </w:r>
          </w:p>
        </w:tc>
        <w:tc>
          <w:tcPr>
            <w:tcW w:type="dxa" w:w="4968"/>
          </w:tcPr>
          <w:p>
            <w:r/>
            <w:r>
              <w:rPr>
                <w:sz w:val="21"/>
              </w:rPr>
              <w:t>Partner onboarding, user training, documentation, go-live</w:t>
            </w:r>
          </w:p>
        </w:tc>
      </w:tr>
    </w:tbl>
    <w:p>
      <w:pPr>
        <w:pStyle w:val="Heading1"/>
      </w:pPr>
      <w:r>
        <w:t>Section 3: Key Milestones</w:t>
      </w:r>
    </w:p>
    <w:p>
      <w:pPr>
        <w:pStyle w:val="ListBullet"/>
      </w:pPr>
      <w:r>
        <w:rPr>
          <w:b/>
        </w:rPr>
        <w:t>MVP</w:t>
      </w:r>
      <w:r>
        <w:t xml:space="preserve"> — mid-Sep 2026 (inventory bookable, basic POP)</w:t>
      </w:r>
    </w:p>
    <w:p>
      <w:pPr>
        <w:pStyle w:val="ListBullet"/>
      </w:pPr>
      <w:r>
        <w:rPr>
          <w:b/>
        </w:rPr>
        <w:t>V1</w:t>
      </w:r>
      <w:r>
        <w:t xml:space="preserve"> — mid-Nov 2026 (full planning, KPIs, marketplace, reporting)</w:t>
      </w:r>
    </w:p>
    <w:p>
      <w:pPr>
        <w:pStyle w:val="ListBullet"/>
      </w:pPr>
      <w:r>
        <w:rPr>
          <w:b/>
        </w:rPr>
        <w:t>V2 beta</w:t>
      </w:r>
      <w:r>
        <w:t xml:space="preserve"> — mid-Jan 2027 (mobile, bilingual, automation)</w:t>
      </w:r>
    </w:p>
    <w:p>
      <w:pPr>
        <w:pStyle w:val="ListBullet"/>
      </w:pPr>
      <w:r>
        <w:rPr>
          <w:b/>
        </w:rPr>
        <w:t>Go-live</w:t>
      </w:r>
      <w:r>
        <w:t xml:space="preserve"> — end of Jan 2027</w:t>
      </w:r>
    </w:p>
    <w:p>
      <w:pPr>
        <w:pStyle w:val="Heading1"/>
      </w:pPr>
      <w:r>
        <w:t>Section 4: Summary</w:t>
      </w:r>
    </w:p>
    <w:p>
      <w:r>
        <w:rPr>
          <w:b/>
        </w:rPr>
        <w:t xml:space="preserve">Total: </w:t>
      </w:r>
      <w:r>
        <w:t>~30 weeks / 15 two-week sprints / ~7 months from start to rollout.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