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EE44" w14:textId="77777777" w:rsidR="008C018E" w:rsidRDefault="00D86330">
      <w:pPr>
        <w:pStyle w:val="4"/>
        <w:widowControl/>
        <w:spacing w:before="0" w:after="0" w:line="600" w:lineRule="exact"/>
        <w:jc w:val="left"/>
        <w:rPr>
          <w:rFonts w:ascii="仿宋_GB2312" w:eastAsia="仿宋_GB2312"/>
          <w:sz w:val="32"/>
          <w:szCs w:val="32"/>
        </w:rPr>
      </w:pPr>
      <w:r>
        <w:rPr>
          <w:rFonts w:ascii="仿宋_GB2312" w:eastAsia="仿宋_GB2312" w:hint="eastAsia"/>
          <w:sz w:val="32"/>
          <w:szCs w:val="32"/>
        </w:rPr>
        <w:t>专业资质</w:t>
      </w:r>
    </w:p>
    <w:p w14:paraId="125E6C64" w14:textId="77777777" w:rsidR="008C018E" w:rsidRDefault="00D86330">
      <w:pPr>
        <w:widowControl/>
        <w:spacing w:line="600" w:lineRule="exact"/>
        <w:ind w:firstLineChars="200" w:firstLine="640"/>
        <w:rPr>
          <w:rFonts w:ascii="仿宋" w:eastAsia="仿宋" w:hAnsi="仿宋"/>
        </w:rPr>
      </w:pPr>
      <w:r>
        <w:rPr>
          <w:rFonts w:ascii="仿宋" w:eastAsia="仿宋" w:hAnsi="仿宋" w:hint="eastAsia"/>
        </w:rPr>
        <w:t>上海联交所是财政部、国务院国资委认定的从事各类中央企业国有资产交易业务的指定平台，业务品类全面覆盖企业国有产权交易、国有资产交易和企业增资扩股以及包括债权、租赁权交易等多种业务。</w:t>
      </w:r>
    </w:p>
    <w:p w14:paraId="4B70E8F5" w14:textId="77777777" w:rsidR="008C018E" w:rsidRDefault="00D86330">
      <w:pPr>
        <w:widowControl/>
        <w:spacing w:line="600" w:lineRule="exact"/>
        <w:ind w:firstLineChars="200" w:firstLine="643"/>
        <w:rPr>
          <w:rFonts w:ascii="仿宋" w:eastAsia="仿宋" w:hAnsi="仿宋"/>
          <w:b/>
          <w:bCs/>
          <w:smallCaps/>
          <w:szCs w:val="32"/>
        </w:rPr>
      </w:pPr>
      <w:r>
        <w:rPr>
          <w:rFonts w:ascii="仿宋" w:eastAsia="仿宋" w:hAnsi="仿宋" w:hint="eastAsia"/>
          <w:b/>
          <w:bCs/>
          <w:smallCaps/>
          <w:szCs w:val="32"/>
        </w:rPr>
        <w:t>1</w:t>
      </w:r>
      <w:r>
        <w:rPr>
          <w:rFonts w:ascii="仿宋" w:eastAsia="仿宋" w:hAnsi="仿宋" w:hint="eastAsia"/>
          <w:b/>
          <w:bCs/>
          <w:smallCaps/>
          <w:szCs w:val="32"/>
        </w:rPr>
        <w:t>、</w:t>
      </w:r>
      <w:proofErr w:type="gramStart"/>
      <w:r>
        <w:rPr>
          <w:rFonts w:ascii="仿宋" w:eastAsia="仿宋" w:hAnsi="仿宋" w:hint="eastAsia"/>
          <w:b/>
          <w:bCs/>
          <w:smallCaps/>
          <w:szCs w:val="32"/>
        </w:rPr>
        <w:t>央企国有</w:t>
      </w:r>
      <w:proofErr w:type="gramEnd"/>
      <w:r>
        <w:rPr>
          <w:rFonts w:ascii="仿宋" w:eastAsia="仿宋" w:hAnsi="仿宋" w:hint="eastAsia"/>
          <w:b/>
          <w:bCs/>
          <w:smallCaps/>
          <w:szCs w:val="32"/>
        </w:rPr>
        <w:t>资产交易资质</w:t>
      </w:r>
    </w:p>
    <w:tbl>
      <w:tblPr>
        <w:tblStyle w:val="31"/>
        <w:tblW w:w="9923" w:type="dxa"/>
        <w:tblInd w:w="-709" w:type="dxa"/>
        <w:tblLook w:val="04A0" w:firstRow="1" w:lastRow="0" w:firstColumn="1" w:lastColumn="0" w:noHBand="0" w:noVBand="1"/>
      </w:tblPr>
      <w:tblGrid>
        <w:gridCol w:w="2460"/>
        <w:gridCol w:w="3494"/>
        <w:gridCol w:w="3969"/>
      </w:tblGrid>
      <w:tr w:rsidR="008C018E" w14:paraId="5B44BBDB" w14:textId="77777777" w:rsidTr="008C018E">
        <w:trPr>
          <w:cnfStyle w:val="100000000000" w:firstRow="1" w:lastRow="0" w:firstColumn="0" w:lastColumn="0" w:oddVBand="0" w:evenVBand="0" w:oddHBand="0" w:evenHBand="0" w:firstRowFirstColumn="0" w:firstRowLastColumn="0" w:lastRowFirstColumn="0" w:lastRowLastColumn="0"/>
          <w:trHeight w:val="624"/>
          <w:tblHeader/>
        </w:trPr>
        <w:tc>
          <w:tcPr>
            <w:cnfStyle w:val="001000000100" w:firstRow="0" w:lastRow="0" w:firstColumn="1" w:lastColumn="0" w:oddVBand="0" w:evenVBand="0" w:oddHBand="0" w:evenHBand="0" w:firstRowFirstColumn="1" w:firstRowLastColumn="0" w:lastRowFirstColumn="0" w:lastRowLastColumn="0"/>
            <w:tcW w:w="2460" w:type="dxa"/>
            <w:vAlign w:val="center"/>
          </w:tcPr>
          <w:p w14:paraId="45A5D46C" w14:textId="77777777" w:rsidR="008C018E" w:rsidRDefault="00D86330">
            <w:pPr>
              <w:widowControl/>
              <w:jc w:val="center"/>
              <w:rPr>
                <w:rFonts w:ascii="仿宋" w:eastAsia="仿宋" w:hAnsi="仿宋" w:cs="宋体"/>
                <w:color w:val="000000"/>
                <w:kern w:val="0"/>
                <w:sz w:val="24"/>
              </w:rPr>
            </w:pPr>
            <w:r>
              <w:rPr>
                <w:rFonts w:ascii="仿宋" w:eastAsia="仿宋" w:hAnsi="仿宋" w:cs="宋体" w:hint="eastAsia"/>
                <w:color w:val="000000"/>
                <w:kern w:val="0"/>
                <w:sz w:val="24"/>
              </w:rPr>
              <w:t>取得时间</w:t>
            </w:r>
          </w:p>
        </w:tc>
        <w:tc>
          <w:tcPr>
            <w:tcW w:w="3494" w:type="dxa"/>
            <w:vAlign w:val="center"/>
          </w:tcPr>
          <w:p w14:paraId="05D30FC6" w14:textId="77777777" w:rsidR="008C018E" w:rsidRDefault="00D86330">
            <w:pPr>
              <w:widowControl/>
              <w:jc w:val="center"/>
              <w:cnfStyle w:val="100000000000" w:firstRow="1" w:lastRow="0" w:firstColumn="0" w:lastColumn="0" w:oddVBand="0" w:evenVBand="0" w:oddHBand="0" w:evenHBand="0" w:firstRowFirstColumn="0" w:firstRowLastColumn="0" w:lastRowFirstColumn="0" w:lastRowLastColumn="0"/>
              <w:rPr>
                <w:rFonts w:ascii="仿宋" w:eastAsia="仿宋" w:hAnsi="仿宋" w:cs="宋体"/>
                <w:color w:val="000000"/>
                <w:kern w:val="0"/>
                <w:sz w:val="24"/>
              </w:rPr>
            </w:pPr>
            <w:r>
              <w:rPr>
                <w:rFonts w:ascii="仿宋" w:eastAsia="仿宋" w:hAnsi="仿宋" w:cs="宋体" w:hint="eastAsia"/>
                <w:color w:val="000000"/>
                <w:kern w:val="0"/>
                <w:sz w:val="24"/>
              </w:rPr>
              <w:t>专业资质</w:t>
            </w:r>
          </w:p>
        </w:tc>
        <w:tc>
          <w:tcPr>
            <w:tcW w:w="3969" w:type="dxa"/>
            <w:vAlign w:val="center"/>
          </w:tcPr>
          <w:p w14:paraId="0D10DEEC" w14:textId="77777777" w:rsidR="008C018E" w:rsidRDefault="00D86330">
            <w:pPr>
              <w:widowControl/>
              <w:jc w:val="center"/>
              <w:cnfStyle w:val="100000000000" w:firstRow="1" w:lastRow="0" w:firstColumn="0" w:lastColumn="0" w:oddVBand="0" w:evenVBand="0" w:oddHBand="0" w:evenHBand="0" w:firstRowFirstColumn="0" w:firstRowLastColumn="0" w:lastRowFirstColumn="0" w:lastRowLastColumn="0"/>
              <w:rPr>
                <w:rFonts w:ascii="仿宋" w:eastAsia="仿宋" w:hAnsi="仿宋" w:cs="宋体"/>
                <w:color w:val="000000"/>
                <w:kern w:val="0"/>
                <w:sz w:val="24"/>
              </w:rPr>
            </w:pPr>
            <w:r>
              <w:rPr>
                <w:rFonts w:ascii="仿宋" w:eastAsia="仿宋" w:hAnsi="仿宋" w:cs="宋体" w:hint="eastAsia"/>
                <w:color w:val="000000"/>
                <w:kern w:val="0"/>
                <w:sz w:val="24"/>
              </w:rPr>
              <w:t>情况介绍</w:t>
            </w:r>
          </w:p>
        </w:tc>
      </w:tr>
      <w:tr w:rsidR="008C018E" w14:paraId="75DBA487" w14:textId="77777777" w:rsidTr="008C018E">
        <w:trPr>
          <w:trHeight w:val="560"/>
        </w:trPr>
        <w:tc>
          <w:tcPr>
            <w:cnfStyle w:val="001000000000" w:firstRow="0" w:lastRow="0" w:firstColumn="1" w:lastColumn="0" w:oddVBand="0" w:evenVBand="0" w:oddHBand="0" w:evenHBand="0" w:firstRowFirstColumn="0" w:firstRowLastColumn="0" w:lastRowFirstColumn="0" w:lastRowLastColumn="0"/>
            <w:tcW w:w="2460" w:type="dxa"/>
            <w:shd w:val="clear" w:color="auto" w:fill="F2F2F2" w:themeFill="background1" w:themeFillShade="F2"/>
            <w:vAlign w:val="center"/>
          </w:tcPr>
          <w:p w14:paraId="76E79C45" w14:textId="77777777" w:rsidR="008C018E" w:rsidRDefault="00D86330">
            <w:pPr>
              <w:widowControl/>
              <w:jc w:val="center"/>
              <w:rPr>
                <w:rFonts w:ascii="仿宋" w:eastAsia="仿宋" w:hAnsi="仿宋" w:cs="宋体"/>
                <w:b w:val="0"/>
                <w:bCs w:val="0"/>
                <w:caps w:val="0"/>
                <w:color w:val="000000"/>
                <w:kern w:val="0"/>
                <w:sz w:val="24"/>
              </w:rPr>
            </w:pPr>
            <w:r>
              <w:rPr>
                <w:rFonts w:ascii="仿宋" w:eastAsia="仿宋" w:hAnsi="仿宋" w:cs="宋体" w:hint="eastAsia"/>
                <w:color w:val="000000"/>
                <w:kern w:val="0"/>
                <w:sz w:val="24"/>
              </w:rPr>
              <w:t>2004.3.8</w:t>
            </w:r>
          </w:p>
        </w:tc>
        <w:tc>
          <w:tcPr>
            <w:tcW w:w="3494" w:type="dxa"/>
            <w:shd w:val="clear" w:color="auto" w:fill="F2F2F2" w:themeFill="background1" w:themeFillShade="F2"/>
            <w:vAlign w:val="center"/>
          </w:tcPr>
          <w:p w14:paraId="2E62E97F" w14:textId="77777777" w:rsidR="008C018E" w:rsidRDefault="00D86330">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4"/>
              </w:rPr>
            </w:pPr>
            <w:r>
              <w:rPr>
                <w:rFonts w:ascii="仿宋" w:eastAsia="仿宋" w:hAnsi="仿宋" w:cs="宋体" w:hint="eastAsia"/>
                <w:color w:val="000000"/>
                <w:kern w:val="0"/>
                <w:sz w:val="24"/>
              </w:rPr>
              <w:t>中央企业国有产权转让业务</w:t>
            </w:r>
          </w:p>
        </w:tc>
        <w:tc>
          <w:tcPr>
            <w:tcW w:w="3969" w:type="dxa"/>
            <w:shd w:val="clear" w:color="auto" w:fill="F2F2F2" w:themeFill="background1" w:themeFillShade="F2"/>
            <w:vAlign w:val="center"/>
          </w:tcPr>
          <w:p w14:paraId="23A46C4E" w14:textId="77777777" w:rsidR="008C018E" w:rsidRDefault="00D86330">
            <w:pPr>
              <w:widowControl/>
              <w:spacing w:line="36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4"/>
              </w:rPr>
            </w:pPr>
            <w:r>
              <w:rPr>
                <w:rFonts w:ascii="仿宋" w:eastAsia="仿宋" w:hAnsi="仿宋" w:cs="宋体" w:hint="eastAsia"/>
                <w:b/>
                <w:bCs/>
                <w:color w:val="000000"/>
                <w:kern w:val="0"/>
                <w:sz w:val="24"/>
              </w:rPr>
              <w:t>国务院国资委</w:t>
            </w:r>
            <w:r>
              <w:rPr>
                <w:rFonts w:ascii="仿宋" w:eastAsia="仿宋" w:hAnsi="仿宋" w:cs="宋体" w:hint="eastAsia"/>
                <w:color w:val="000000"/>
                <w:kern w:val="0"/>
                <w:sz w:val="24"/>
              </w:rPr>
              <w:t>发布《关于做好贯彻落实</w:t>
            </w:r>
            <w:r>
              <w:rPr>
                <w:rFonts w:ascii="仿宋" w:eastAsia="仿宋" w:hAnsi="仿宋" w:cs="宋体" w:hint="eastAsia"/>
                <w:color w:val="000000"/>
                <w:kern w:val="0"/>
                <w:sz w:val="24"/>
              </w:rPr>
              <w:t>&lt;</w:t>
            </w:r>
            <w:r>
              <w:rPr>
                <w:rFonts w:ascii="仿宋" w:eastAsia="仿宋" w:hAnsi="仿宋" w:cs="宋体" w:hint="eastAsia"/>
                <w:color w:val="000000"/>
                <w:kern w:val="0"/>
                <w:sz w:val="24"/>
              </w:rPr>
              <w:t>企业国有产权转让管理暂行办法</w:t>
            </w:r>
            <w:r>
              <w:rPr>
                <w:rFonts w:ascii="仿宋" w:eastAsia="仿宋" w:hAnsi="仿宋" w:cs="宋体" w:hint="eastAsia"/>
                <w:color w:val="000000"/>
                <w:kern w:val="0"/>
                <w:sz w:val="24"/>
              </w:rPr>
              <w:t>&gt;</w:t>
            </w:r>
            <w:r>
              <w:rPr>
                <w:rFonts w:ascii="仿宋" w:eastAsia="仿宋" w:hAnsi="仿宋" w:cs="宋体" w:hint="eastAsia"/>
                <w:color w:val="000000"/>
                <w:kern w:val="0"/>
                <w:sz w:val="24"/>
              </w:rPr>
              <w:t>有关工作的通知》，将上海联交所确定为从事中央企业国有产权转让活动的产权交易机构。</w:t>
            </w:r>
          </w:p>
        </w:tc>
      </w:tr>
      <w:tr w:rsidR="008C018E" w14:paraId="27C9E1A6" w14:textId="77777777" w:rsidTr="008C018E">
        <w:trPr>
          <w:trHeight w:val="840"/>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0643D817" w14:textId="77777777" w:rsidR="008C018E" w:rsidRDefault="00D86330">
            <w:pPr>
              <w:widowControl/>
              <w:jc w:val="center"/>
              <w:rPr>
                <w:rFonts w:ascii="仿宋" w:eastAsia="仿宋" w:hAnsi="仿宋" w:cs="宋体"/>
                <w:b w:val="0"/>
                <w:bCs w:val="0"/>
                <w:caps w:val="0"/>
                <w:color w:val="000000"/>
                <w:kern w:val="0"/>
                <w:sz w:val="24"/>
              </w:rPr>
            </w:pPr>
            <w:r>
              <w:rPr>
                <w:rFonts w:ascii="仿宋" w:eastAsia="仿宋" w:hAnsi="仿宋" w:cs="宋体" w:hint="eastAsia"/>
                <w:color w:val="000000"/>
                <w:kern w:val="0"/>
                <w:sz w:val="24"/>
              </w:rPr>
              <w:t>2009.12.27</w:t>
            </w:r>
          </w:p>
        </w:tc>
        <w:tc>
          <w:tcPr>
            <w:tcW w:w="3494" w:type="dxa"/>
            <w:vAlign w:val="center"/>
          </w:tcPr>
          <w:p w14:paraId="73C5A65F" w14:textId="77777777" w:rsidR="008C018E" w:rsidRDefault="00D86330">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4"/>
              </w:rPr>
            </w:pPr>
            <w:r>
              <w:rPr>
                <w:rFonts w:ascii="仿宋" w:eastAsia="仿宋" w:hAnsi="仿宋" w:cs="宋体" w:hint="eastAsia"/>
                <w:color w:val="000000"/>
                <w:kern w:val="0"/>
                <w:sz w:val="24"/>
              </w:rPr>
              <w:t>中央管理金融企业国有资产转让业务</w:t>
            </w:r>
          </w:p>
        </w:tc>
        <w:tc>
          <w:tcPr>
            <w:tcW w:w="3969" w:type="dxa"/>
            <w:vAlign w:val="center"/>
          </w:tcPr>
          <w:p w14:paraId="008C7750" w14:textId="77777777" w:rsidR="008C018E" w:rsidRDefault="00D86330">
            <w:pPr>
              <w:widowControl/>
              <w:spacing w:line="36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4"/>
              </w:rPr>
            </w:pPr>
            <w:r>
              <w:rPr>
                <w:rFonts w:ascii="仿宋" w:eastAsia="仿宋" w:hAnsi="仿宋" w:cs="宋体" w:hint="eastAsia"/>
                <w:b/>
                <w:bCs/>
                <w:color w:val="000000"/>
                <w:kern w:val="0"/>
                <w:sz w:val="24"/>
              </w:rPr>
              <w:t>财政部</w:t>
            </w:r>
            <w:r>
              <w:rPr>
                <w:rFonts w:ascii="仿宋" w:eastAsia="仿宋" w:hAnsi="仿宋" w:cs="宋体" w:hint="eastAsia"/>
                <w:color w:val="000000"/>
                <w:kern w:val="0"/>
                <w:sz w:val="24"/>
              </w:rPr>
              <w:t>发布《关于贯彻落实</w:t>
            </w:r>
            <w:r>
              <w:rPr>
                <w:rFonts w:ascii="仿宋" w:eastAsia="仿宋" w:hAnsi="仿宋" w:cs="宋体" w:hint="eastAsia"/>
                <w:color w:val="000000"/>
                <w:kern w:val="0"/>
                <w:sz w:val="24"/>
              </w:rPr>
              <w:t>&lt;</w:t>
            </w:r>
            <w:r>
              <w:rPr>
                <w:rFonts w:ascii="仿宋" w:eastAsia="仿宋" w:hAnsi="仿宋" w:cs="宋体" w:hint="eastAsia"/>
                <w:color w:val="000000"/>
                <w:kern w:val="0"/>
                <w:sz w:val="24"/>
              </w:rPr>
              <w:t>金融企业国有资产转让管理办法</w:t>
            </w:r>
            <w:r>
              <w:rPr>
                <w:rFonts w:ascii="仿宋" w:eastAsia="仿宋" w:hAnsi="仿宋" w:cs="宋体" w:hint="eastAsia"/>
                <w:color w:val="000000"/>
                <w:kern w:val="0"/>
                <w:sz w:val="24"/>
              </w:rPr>
              <w:t>&gt;</w:t>
            </w:r>
            <w:r>
              <w:rPr>
                <w:rFonts w:ascii="仿宋" w:eastAsia="仿宋" w:hAnsi="仿宋" w:cs="宋体" w:hint="eastAsia"/>
                <w:color w:val="000000"/>
                <w:kern w:val="0"/>
                <w:sz w:val="24"/>
              </w:rPr>
              <w:t>有关事项的通知》（财金</w:t>
            </w:r>
            <w:r>
              <w:rPr>
                <w:rFonts w:ascii="仿宋" w:eastAsia="仿宋" w:hAnsi="仿宋" w:cs="宋体" w:hint="eastAsia"/>
                <w:color w:val="000000"/>
                <w:kern w:val="0"/>
                <w:sz w:val="24"/>
              </w:rPr>
              <w:t>[2009]178</w:t>
            </w:r>
            <w:r>
              <w:rPr>
                <w:rFonts w:ascii="仿宋" w:eastAsia="仿宋" w:hAnsi="仿宋" w:cs="宋体" w:hint="eastAsia"/>
                <w:color w:val="000000"/>
                <w:kern w:val="0"/>
                <w:sz w:val="24"/>
              </w:rPr>
              <w:t>号），将上海联交所确定为从事中央管理金融企业国有资产转让活动的产权交易机构。</w:t>
            </w:r>
          </w:p>
        </w:tc>
      </w:tr>
      <w:tr w:rsidR="008C018E" w14:paraId="347B91D6" w14:textId="77777777" w:rsidTr="008C018E">
        <w:trPr>
          <w:trHeight w:val="840"/>
        </w:trPr>
        <w:tc>
          <w:tcPr>
            <w:cnfStyle w:val="001000000000" w:firstRow="0" w:lastRow="0" w:firstColumn="1" w:lastColumn="0" w:oddVBand="0" w:evenVBand="0" w:oddHBand="0" w:evenHBand="0" w:firstRowFirstColumn="0" w:firstRowLastColumn="0" w:lastRowFirstColumn="0" w:lastRowLastColumn="0"/>
            <w:tcW w:w="2460" w:type="dxa"/>
            <w:shd w:val="clear" w:color="auto" w:fill="F2F2F2" w:themeFill="background1" w:themeFillShade="F2"/>
            <w:vAlign w:val="center"/>
          </w:tcPr>
          <w:p w14:paraId="06E26FE1" w14:textId="77777777" w:rsidR="008C018E" w:rsidRDefault="00D86330">
            <w:pPr>
              <w:widowControl/>
              <w:jc w:val="center"/>
              <w:rPr>
                <w:rFonts w:ascii="仿宋" w:eastAsia="仿宋" w:hAnsi="仿宋" w:cs="宋体"/>
                <w:b w:val="0"/>
                <w:bCs w:val="0"/>
                <w:caps w:val="0"/>
                <w:color w:val="000000"/>
                <w:kern w:val="0"/>
                <w:sz w:val="24"/>
              </w:rPr>
            </w:pPr>
            <w:r>
              <w:rPr>
                <w:rFonts w:ascii="仿宋" w:eastAsia="仿宋" w:hAnsi="仿宋" w:cs="宋体" w:hint="eastAsia"/>
                <w:color w:val="000000"/>
                <w:kern w:val="0"/>
                <w:sz w:val="24"/>
              </w:rPr>
              <w:t>2016.8.24</w:t>
            </w:r>
          </w:p>
        </w:tc>
        <w:tc>
          <w:tcPr>
            <w:tcW w:w="3494" w:type="dxa"/>
            <w:shd w:val="clear" w:color="auto" w:fill="F2F2F2" w:themeFill="background1" w:themeFillShade="F2"/>
            <w:vAlign w:val="center"/>
          </w:tcPr>
          <w:p w14:paraId="37EAD029" w14:textId="77777777" w:rsidR="008C018E" w:rsidRDefault="00D86330">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4"/>
              </w:rPr>
            </w:pPr>
            <w:r>
              <w:rPr>
                <w:rFonts w:ascii="仿宋" w:eastAsia="仿宋" w:hAnsi="仿宋" w:cs="宋体" w:hint="eastAsia"/>
                <w:color w:val="000000"/>
                <w:kern w:val="0"/>
                <w:sz w:val="24"/>
              </w:rPr>
              <w:t>中央企业增资业务</w:t>
            </w:r>
          </w:p>
        </w:tc>
        <w:tc>
          <w:tcPr>
            <w:tcW w:w="3969" w:type="dxa"/>
            <w:shd w:val="clear" w:color="auto" w:fill="F2F2F2" w:themeFill="background1" w:themeFillShade="F2"/>
            <w:vAlign w:val="center"/>
          </w:tcPr>
          <w:p w14:paraId="464086AE" w14:textId="77777777" w:rsidR="008C018E" w:rsidRDefault="00D86330">
            <w:pPr>
              <w:widowControl/>
              <w:spacing w:line="36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4"/>
              </w:rPr>
            </w:pPr>
            <w:r>
              <w:rPr>
                <w:rFonts w:ascii="仿宋" w:eastAsia="仿宋" w:hAnsi="仿宋" w:cs="宋体" w:hint="eastAsia"/>
                <w:b/>
                <w:bCs/>
                <w:color w:val="000000"/>
                <w:kern w:val="0"/>
                <w:sz w:val="24"/>
              </w:rPr>
              <w:t>国务院国资委</w:t>
            </w:r>
            <w:r>
              <w:rPr>
                <w:rFonts w:ascii="仿宋" w:eastAsia="仿宋" w:hAnsi="仿宋" w:cs="宋体" w:hint="eastAsia"/>
                <w:color w:val="000000"/>
                <w:kern w:val="0"/>
                <w:sz w:val="24"/>
              </w:rPr>
              <w:t>发布《关于公布从事中央企业增资业务产权交易机构的通知》，确定上海联交所从事中央企业增资业务，上海联交所成为首批从事中央企业国有资产交易全牌照的两家机构之一。</w:t>
            </w:r>
          </w:p>
        </w:tc>
      </w:tr>
      <w:tr w:rsidR="008C018E" w14:paraId="2578A4ED" w14:textId="77777777" w:rsidTr="008C018E">
        <w:trPr>
          <w:trHeight w:val="840"/>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0396834E" w14:textId="77777777" w:rsidR="008C018E" w:rsidRDefault="00D86330">
            <w:pPr>
              <w:widowControl/>
              <w:jc w:val="center"/>
              <w:rPr>
                <w:rFonts w:ascii="仿宋" w:eastAsia="仿宋" w:hAnsi="仿宋" w:cs="宋体"/>
                <w:caps w:val="0"/>
                <w:color w:val="000000"/>
                <w:kern w:val="0"/>
                <w:sz w:val="24"/>
              </w:rPr>
            </w:pPr>
            <w:r>
              <w:rPr>
                <w:rFonts w:ascii="仿宋" w:eastAsia="仿宋" w:hAnsi="仿宋" w:cs="宋体" w:hint="eastAsia"/>
                <w:color w:val="000000"/>
                <w:kern w:val="0"/>
                <w:sz w:val="24"/>
              </w:rPr>
              <w:t>2019.11.25</w:t>
            </w:r>
          </w:p>
        </w:tc>
        <w:tc>
          <w:tcPr>
            <w:tcW w:w="3494" w:type="dxa"/>
            <w:vAlign w:val="center"/>
          </w:tcPr>
          <w:p w14:paraId="40380288" w14:textId="77777777" w:rsidR="008C018E" w:rsidRDefault="00D86330">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b/>
                <w:bCs/>
                <w:color w:val="000000"/>
                <w:kern w:val="0"/>
                <w:sz w:val="24"/>
              </w:rPr>
            </w:pPr>
            <w:r>
              <w:rPr>
                <w:rFonts w:ascii="仿宋" w:eastAsia="仿宋" w:hAnsi="仿宋" w:cs="宋体" w:hint="eastAsia"/>
                <w:b/>
                <w:bCs/>
                <w:color w:val="000000"/>
                <w:kern w:val="0"/>
                <w:sz w:val="24"/>
              </w:rPr>
              <w:t>国有金融企业增资业务</w:t>
            </w:r>
          </w:p>
        </w:tc>
        <w:tc>
          <w:tcPr>
            <w:tcW w:w="3969" w:type="dxa"/>
            <w:vAlign w:val="center"/>
          </w:tcPr>
          <w:p w14:paraId="3FC5E1EA" w14:textId="77777777" w:rsidR="008C018E" w:rsidRDefault="00D86330">
            <w:pPr>
              <w:widowControl/>
              <w:spacing w:line="36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4"/>
              </w:rPr>
            </w:pPr>
            <w:r>
              <w:rPr>
                <w:rFonts w:ascii="仿宋" w:eastAsia="仿宋" w:hAnsi="仿宋" w:cs="宋体" w:hint="eastAsia"/>
                <w:b/>
                <w:bCs/>
                <w:color w:val="000000"/>
                <w:kern w:val="0"/>
                <w:sz w:val="24"/>
              </w:rPr>
              <w:t>财政部发布《关于进一步明确国有金融企业增资扩股股权管理有关问题的通知》（财金</w:t>
            </w:r>
            <w:r>
              <w:rPr>
                <w:rFonts w:ascii="仿宋" w:eastAsia="仿宋" w:hAnsi="仿宋" w:cs="宋体" w:hint="eastAsia"/>
                <w:b/>
                <w:bCs/>
                <w:color w:val="000000"/>
                <w:kern w:val="0"/>
                <w:sz w:val="24"/>
              </w:rPr>
              <w:t>[2019]130</w:t>
            </w:r>
            <w:r>
              <w:rPr>
                <w:rFonts w:ascii="仿宋" w:eastAsia="仿宋" w:hAnsi="仿宋" w:cs="宋体" w:hint="eastAsia"/>
                <w:b/>
                <w:bCs/>
                <w:color w:val="000000"/>
                <w:kern w:val="0"/>
                <w:sz w:val="24"/>
              </w:rPr>
              <w:t>号），明确国有金融企业增资原则上应在符合条件的省级（含）以上产权交易机构公开披露信息</w:t>
            </w:r>
            <w:r>
              <w:rPr>
                <w:rFonts w:ascii="仿宋" w:eastAsia="仿宋" w:hAnsi="仿宋" w:cs="宋体" w:hint="eastAsia"/>
                <w:color w:val="000000"/>
                <w:kern w:val="0"/>
                <w:sz w:val="24"/>
              </w:rPr>
              <w:t>。</w:t>
            </w:r>
          </w:p>
        </w:tc>
      </w:tr>
      <w:tr w:rsidR="008C018E" w14:paraId="007CD679" w14:textId="77777777" w:rsidTr="008C018E">
        <w:trPr>
          <w:trHeight w:val="840"/>
        </w:trPr>
        <w:tc>
          <w:tcPr>
            <w:cnfStyle w:val="001000000000" w:firstRow="0" w:lastRow="0" w:firstColumn="1" w:lastColumn="0" w:oddVBand="0" w:evenVBand="0" w:oddHBand="0" w:evenHBand="0" w:firstRowFirstColumn="0" w:firstRowLastColumn="0" w:lastRowFirstColumn="0" w:lastRowLastColumn="0"/>
            <w:tcW w:w="2460" w:type="dxa"/>
            <w:shd w:val="clear" w:color="auto" w:fill="F2F2F2" w:themeFill="background1" w:themeFillShade="F2"/>
            <w:vAlign w:val="center"/>
          </w:tcPr>
          <w:p w14:paraId="205BE68D" w14:textId="77777777" w:rsidR="008C018E" w:rsidRDefault="00D86330">
            <w:pPr>
              <w:widowControl/>
              <w:jc w:val="center"/>
              <w:rPr>
                <w:rFonts w:ascii="仿宋" w:eastAsia="仿宋" w:hAnsi="仿宋" w:cs="宋体"/>
                <w:caps w:val="0"/>
                <w:color w:val="000000"/>
                <w:kern w:val="0"/>
                <w:sz w:val="24"/>
              </w:rPr>
            </w:pPr>
            <w:r>
              <w:rPr>
                <w:rFonts w:ascii="仿宋" w:eastAsia="仿宋" w:hAnsi="仿宋" w:cs="宋体" w:hint="eastAsia"/>
                <w:color w:val="000000"/>
                <w:kern w:val="0"/>
                <w:sz w:val="24"/>
              </w:rPr>
              <w:t>2020.12.27</w:t>
            </w:r>
          </w:p>
        </w:tc>
        <w:tc>
          <w:tcPr>
            <w:tcW w:w="3494" w:type="dxa"/>
            <w:shd w:val="clear" w:color="auto" w:fill="F2F2F2" w:themeFill="background1" w:themeFillShade="F2"/>
            <w:vAlign w:val="center"/>
          </w:tcPr>
          <w:p w14:paraId="00A86985" w14:textId="77777777" w:rsidR="008C018E" w:rsidRDefault="00D86330">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b/>
                <w:bCs/>
                <w:color w:val="000000"/>
                <w:kern w:val="0"/>
                <w:sz w:val="24"/>
              </w:rPr>
            </w:pPr>
            <w:r>
              <w:rPr>
                <w:rFonts w:ascii="仿宋" w:eastAsia="仿宋" w:hAnsi="仿宋" w:cs="宋体" w:hint="eastAsia"/>
                <w:b/>
                <w:bCs/>
                <w:color w:val="000000"/>
                <w:kern w:val="0"/>
                <w:sz w:val="24"/>
              </w:rPr>
              <w:t>中央企业权益类和资产类业务的“全牌照”业务</w:t>
            </w:r>
          </w:p>
        </w:tc>
        <w:tc>
          <w:tcPr>
            <w:tcW w:w="3969" w:type="dxa"/>
            <w:shd w:val="clear" w:color="auto" w:fill="F2F2F2" w:themeFill="background1" w:themeFillShade="F2"/>
            <w:vAlign w:val="center"/>
          </w:tcPr>
          <w:p w14:paraId="57E4D2EE" w14:textId="77777777" w:rsidR="008C018E" w:rsidRDefault="00D86330">
            <w:pPr>
              <w:widowControl/>
              <w:spacing w:line="36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b/>
                <w:bCs/>
                <w:color w:val="000000"/>
                <w:kern w:val="0"/>
                <w:sz w:val="24"/>
              </w:rPr>
            </w:pPr>
            <w:r>
              <w:rPr>
                <w:rFonts w:ascii="仿宋" w:eastAsia="仿宋" w:hAnsi="仿宋" w:cs="宋体" w:hint="eastAsia"/>
                <w:b/>
                <w:bCs/>
                <w:color w:val="000000"/>
                <w:kern w:val="0"/>
                <w:sz w:val="24"/>
              </w:rPr>
              <w:t>国务院国资委发布《关于调整从事中央企业国有资产交易业务产权交易机构的通知》（</w:t>
            </w:r>
            <w:proofErr w:type="gramStart"/>
            <w:r>
              <w:rPr>
                <w:rFonts w:ascii="仿宋" w:eastAsia="仿宋" w:hAnsi="仿宋" w:cs="宋体" w:hint="eastAsia"/>
                <w:b/>
                <w:bCs/>
                <w:color w:val="000000"/>
                <w:kern w:val="0"/>
                <w:sz w:val="24"/>
              </w:rPr>
              <w:t>国资厅产权</w:t>
            </w:r>
            <w:proofErr w:type="gramEnd"/>
            <w:r>
              <w:rPr>
                <w:rFonts w:ascii="仿宋" w:eastAsia="仿宋" w:hAnsi="仿宋" w:cs="宋体" w:hint="eastAsia"/>
                <w:b/>
                <w:bCs/>
                <w:color w:val="000000"/>
                <w:kern w:val="0"/>
                <w:sz w:val="24"/>
              </w:rPr>
              <w:t>[2020]333</w:t>
            </w:r>
            <w:r>
              <w:rPr>
                <w:rFonts w:ascii="仿宋" w:eastAsia="仿宋" w:hAnsi="仿宋" w:cs="宋体" w:hint="eastAsia"/>
                <w:b/>
                <w:bCs/>
                <w:color w:val="000000"/>
                <w:kern w:val="0"/>
                <w:sz w:val="24"/>
              </w:rPr>
              <w:t>号），上海联交所再次获</w:t>
            </w:r>
            <w:proofErr w:type="gramStart"/>
            <w:r>
              <w:rPr>
                <w:rFonts w:ascii="仿宋" w:eastAsia="仿宋" w:hAnsi="仿宋" w:cs="宋体" w:hint="eastAsia"/>
                <w:b/>
                <w:bCs/>
                <w:color w:val="000000"/>
                <w:kern w:val="0"/>
                <w:sz w:val="24"/>
              </w:rPr>
              <w:t>批成为</w:t>
            </w:r>
            <w:proofErr w:type="gramEnd"/>
            <w:r>
              <w:rPr>
                <w:rFonts w:ascii="仿宋" w:eastAsia="仿宋" w:hAnsi="仿宋" w:cs="宋体" w:hint="eastAsia"/>
                <w:b/>
                <w:bCs/>
                <w:color w:val="000000"/>
                <w:kern w:val="0"/>
                <w:sz w:val="24"/>
              </w:rPr>
              <w:t>从事</w:t>
            </w:r>
            <w:r>
              <w:rPr>
                <w:rFonts w:ascii="仿宋" w:eastAsia="仿宋" w:hAnsi="仿宋" w:cs="宋体" w:hint="eastAsia"/>
                <w:b/>
                <w:bCs/>
                <w:color w:val="000000"/>
                <w:kern w:val="0"/>
                <w:sz w:val="24"/>
              </w:rPr>
              <w:lastRenderedPageBreak/>
              <w:t>中央企业权益类和资产类业务的“全牌照”交易机构。</w:t>
            </w:r>
          </w:p>
        </w:tc>
      </w:tr>
      <w:tr w:rsidR="008220F2" w:rsidRPr="008220F2" w14:paraId="4CBFCDB4" w14:textId="77777777" w:rsidTr="008C018E">
        <w:trPr>
          <w:trHeight w:val="840"/>
        </w:trPr>
        <w:tc>
          <w:tcPr>
            <w:cnfStyle w:val="001000000000" w:firstRow="0" w:lastRow="0" w:firstColumn="1" w:lastColumn="0" w:oddVBand="0" w:evenVBand="0" w:oddHBand="0" w:evenHBand="0" w:firstRowFirstColumn="0" w:firstRowLastColumn="0" w:lastRowFirstColumn="0" w:lastRowLastColumn="0"/>
            <w:tcW w:w="2460" w:type="dxa"/>
            <w:shd w:val="clear" w:color="auto" w:fill="F2F2F2" w:themeFill="background1" w:themeFillShade="F2"/>
            <w:vAlign w:val="center"/>
          </w:tcPr>
          <w:p w14:paraId="29FDF776" w14:textId="030A7435" w:rsidR="008220F2" w:rsidRPr="008220F2" w:rsidRDefault="008220F2">
            <w:pPr>
              <w:widowControl/>
              <w:jc w:val="center"/>
              <w:rPr>
                <w:rFonts w:ascii="仿宋" w:eastAsia="仿宋" w:hAnsi="仿宋" w:cs="宋体" w:hint="eastAsia"/>
                <w:color w:val="000000"/>
                <w:kern w:val="0"/>
                <w:sz w:val="24"/>
              </w:rPr>
            </w:pPr>
            <w:r>
              <w:rPr>
                <w:rFonts w:ascii="仿宋" w:eastAsia="仿宋" w:hAnsi="仿宋" w:cs="宋体" w:hint="eastAsia"/>
                <w:color w:val="000000"/>
                <w:kern w:val="0"/>
                <w:sz w:val="24"/>
              </w:rPr>
              <w:lastRenderedPageBreak/>
              <w:t>2</w:t>
            </w:r>
            <w:r>
              <w:rPr>
                <w:rFonts w:ascii="仿宋" w:eastAsia="仿宋" w:hAnsi="仿宋" w:cs="宋体"/>
                <w:color w:val="000000"/>
                <w:kern w:val="0"/>
                <w:sz w:val="24"/>
              </w:rPr>
              <w:t>021.7.19</w:t>
            </w:r>
          </w:p>
        </w:tc>
        <w:tc>
          <w:tcPr>
            <w:tcW w:w="3494" w:type="dxa"/>
            <w:shd w:val="clear" w:color="auto" w:fill="F2F2F2" w:themeFill="background1" w:themeFillShade="F2"/>
            <w:vAlign w:val="center"/>
          </w:tcPr>
          <w:p w14:paraId="0F0B3C5E" w14:textId="1BE129BD" w:rsidR="008220F2" w:rsidRPr="008220F2" w:rsidRDefault="008220F2">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hint="eastAsia"/>
                <w:b/>
                <w:bCs/>
                <w:color w:val="000000"/>
                <w:kern w:val="0"/>
                <w:sz w:val="24"/>
              </w:rPr>
            </w:pPr>
            <w:r w:rsidRPr="008220F2">
              <w:rPr>
                <w:rFonts w:ascii="仿宋" w:eastAsia="仿宋" w:hAnsi="仿宋" w:cs="宋体" w:hint="eastAsia"/>
                <w:b/>
                <w:bCs/>
                <w:color w:val="000000"/>
                <w:kern w:val="0"/>
                <w:sz w:val="24"/>
              </w:rPr>
              <w:t>中央金融企业国有资产交易牌照</w:t>
            </w:r>
          </w:p>
        </w:tc>
        <w:tc>
          <w:tcPr>
            <w:tcW w:w="3969" w:type="dxa"/>
            <w:shd w:val="clear" w:color="auto" w:fill="F2F2F2" w:themeFill="background1" w:themeFillShade="F2"/>
            <w:vAlign w:val="center"/>
          </w:tcPr>
          <w:p w14:paraId="3D17951A" w14:textId="5084BD0A" w:rsidR="008220F2" w:rsidRPr="008220F2" w:rsidRDefault="008220F2" w:rsidP="008220F2">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hint="eastAsia"/>
                <w:b/>
                <w:bCs/>
                <w:color w:val="000000"/>
                <w:kern w:val="0"/>
                <w:sz w:val="24"/>
              </w:rPr>
            </w:pPr>
            <w:r w:rsidRPr="008220F2">
              <w:rPr>
                <w:rFonts w:ascii="仿宋" w:eastAsia="仿宋" w:hAnsi="仿宋" w:cs="宋体" w:hint="eastAsia"/>
                <w:b/>
                <w:bCs/>
                <w:color w:val="000000"/>
                <w:kern w:val="0"/>
                <w:sz w:val="24"/>
              </w:rPr>
              <w:t>《</w:t>
            </w:r>
            <w:r w:rsidRPr="008220F2">
              <w:rPr>
                <w:rFonts w:ascii="仿宋" w:eastAsia="仿宋" w:hAnsi="仿宋" w:cs="宋体"/>
                <w:b/>
                <w:bCs/>
                <w:color w:val="000000"/>
                <w:kern w:val="0"/>
                <w:sz w:val="24"/>
              </w:rPr>
              <w:t>财政部办公厅关于公示具有承办中央管理金融企业国有产权交易能力的产权交易机构名单的通知</w:t>
            </w:r>
            <w:r w:rsidRPr="008220F2">
              <w:rPr>
                <w:rFonts w:ascii="仿宋" w:eastAsia="仿宋" w:hAnsi="仿宋" w:cs="宋体" w:hint="eastAsia"/>
                <w:b/>
                <w:bCs/>
                <w:color w:val="000000"/>
                <w:kern w:val="0"/>
                <w:sz w:val="24"/>
              </w:rPr>
              <w:t>》</w:t>
            </w:r>
            <w:r w:rsidRPr="008220F2">
              <w:rPr>
                <w:rFonts w:ascii="仿宋" w:eastAsia="仿宋" w:hAnsi="仿宋" w:cs="宋体" w:hint="eastAsia"/>
                <w:b/>
                <w:bCs/>
                <w:color w:val="000000"/>
                <w:kern w:val="0"/>
                <w:sz w:val="24"/>
              </w:rPr>
              <w:t>（财办金</w:t>
            </w:r>
            <w:r w:rsidRPr="008220F2">
              <w:rPr>
                <w:rFonts w:ascii="仿宋" w:eastAsia="仿宋" w:hAnsi="仿宋" w:cs="宋体"/>
                <w:b/>
                <w:bCs/>
                <w:color w:val="000000"/>
                <w:kern w:val="0"/>
                <w:sz w:val="24"/>
              </w:rPr>
              <w:t>[2021]69号</w:t>
            </w:r>
            <w:r w:rsidRPr="008220F2">
              <w:rPr>
                <w:rFonts w:ascii="仿宋" w:eastAsia="仿宋" w:hAnsi="仿宋" w:cs="宋体" w:hint="eastAsia"/>
                <w:b/>
                <w:bCs/>
                <w:color w:val="000000"/>
                <w:kern w:val="0"/>
                <w:sz w:val="24"/>
              </w:rPr>
              <w:t>）</w:t>
            </w:r>
          </w:p>
        </w:tc>
      </w:tr>
    </w:tbl>
    <w:p w14:paraId="503C8F03" w14:textId="77777777" w:rsidR="008C018E" w:rsidRDefault="008C018E">
      <w:pPr>
        <w:widowControl/>
        <w:spacing w:line="600" w:lineRule="exact"/>
        <w:ind w:firstLineChars="200" w:firstLine="643"/>
        <w:rPr>
          <w:rFonts w:ascii="仿宋" w:eastAsia="仿宋" w:hAnsi="仿宋"/>
          <w:b/>
          <w:bCs/>
          <w:smallCaps/>
          <w:szCs w:val="32"/>
        </w:rPr>
      </w:pPr>
    </w:p>
    <w:p w14:paraId="3E4742A1" w14:textId="77777777" w:rsidR="008C018E" w:rsidRDefault="00D86330">
      <w:pPr>
        <w:widowControl/>
        <w:spacing w:line="600" w:lineRule="exact"/>
        <w:ind w:firstLineChars="200" w:firstLine="643"/>
        <w:rPr>
          <w:rFonts w:ascii="仿宋" w:eastAsia="仿宋" w:hAnsi="仿宋"/>
          <w:b/>
          <w:bCs/>
          <w:smallCaps/>
          <w:szCs w:val="32"/>
        </w:rPr>
      </w:pPr>
      <w:r>
        <w:rPr>
          <w:rFonts w:ascii="仿宋" w:eastAsia="仿宋" w:hAnsi="仿宋" w:hint="eastAsia"/>
          <w:b/>
          <w:bCs/>
          <w:smallCaps/>
          <w:szCs w:val="32"/>
        </w:rPr>
        <w:t>2</w:t>
      </w:r>
      <w:r>
        <w:rPr>
          <w:rFonts w:ascii="仿宋" w:eastAsia="仿宋" w:hAnsi="仿宋" w:hint="eastAsia"/>
          <w:b/>
          <w:bCs/>
          <w:smallCaps/>
          <w:szCs w:val="32"/>
        </w:rPr>
        <w:t>、其他专业资质</w:t>
      </w:r>
    </w:p>
    <w:p w14:paraId="4ED3E5F1" w14:textId="77777777" w:rsidR="008C018E" w:rsidRDefault="00D86330">
      <w:pPr>
        <w:spacing w:line="600" w:lineRule="exact"/>
        <w:ind w:firstLineChars="200" w:firstLine="640"/>
        <w:rPr>
          <w:rFonts w:ascii="仿宋" w:eastAsia="仿宋" w:hAnsi="仿宋"/>
        </w:rPr>
      </w:pPr>
      <w:r>
        <w:rPr>
          <w:rFonts w:ascii="仿宋" w:eastAsia="仿宋" w:hAnsi="仿宋" w:hint="eastAsia"/>
        </w:rPr>
        <w:t>随着公信力的不断增强，上海联交所专业服务资质进一步丰富：</w:t>
      </w:r>
    </w:p>
    <w:p w14:paraId="32292505" w14:textId="77777777" w:rsidR="008C018E" w:rsidRDefault="00D86330">
      <w:pPr>
        <w:pStyle w:val="a4"/>
        <w:numPr>
          <w:ilvl w:val="0"/>
          <w:numId w:val="1"/>
        </w:numPr>
        <w:spacing w:line="600" w:lineRule="exact"/>
        <w:ind w:left="0" w:firstLineChars="0" w:firstLine="200"/>
        <w:rPr>
          <w:rFonts w:ascii="仿宋" w:eastAsia="仿宋" w:hAnsi="仿宋"/>
        </w:rPr>
      </w:pPr>
      <w:r>
        <w:rPr>
          <w:rFonts w:ascii="仿宋" w:eastAsia="仿宋" w:hAnsi="仿宋" w:hint="eastAsia"/>
        </w:rPr>
        <w:t>工信部指定的中小企业融资服务市场平台；</w:t>
      </w:r>
    </w:p>
    <w:p w14:paraId="6F7DFBD1" w14:textId="77777777" w:rsidR="008C018E" w:rsidRDefault="00D86330">
      <w:pPr>
        <w:pStyle w:val="a4"/>
        <w:numPr>
          <w:ilvl w:val="0"/>
          <w:numId w:val="1"/>
        </w:numPr>
        <w:spacing w:line="600" w:lineRule="exact"/>
        <w:ind w:left="0" w:firstLineChars="0" w:firstLine="200"/>
        <w:rPr>
          <w:rFonts w:ascii="仿宋" w:eastAsia="仿宋" w:hAnsi="仿宋"/>
        </w:rPr>
      </w:pPr>
      <w:r>
        <w:rPr>
          <w:rFonts w:ascii="仿宋" w:eastAsia="仿宋" w:hAnsi="仿宋" w:hint="eastAsia"/>
        </w:rPr>
        <w:t>中宣部指定的中央文化企业产权交易平台；</w:t>
      </w:r>
    </w:p>
    <w:p w14:paraId="4F327A4F" w14:textId="77777777" w:rsidR="008C018E" w:rsidRDefault="00D86330">
      <w:pPr>
        <w:pStyle w:val="a4"/>
        <w:numPr>
          <w:ilvl w:val="0"/>
          <w:numId w:val="1"/>
        </w:numPr>
        <w:spacing w:line="600" w:lineRule="exact"/>
        <w:ind w:left="0" w:firstLineChars="0" w:firstLine="200"/>
        <w:rPr>
          <w:rFonts w:ascii="仿宋" w:eastAsia="仿宋" w:hAnsi="仿宋"/>
        </w:rPr>
      </w:pPr>
      <w:r>
        <w:rPr>
          <w:rFonts w:ascii="仿宋" w:eastAsia="仿宋" w:hAnsi="仿宋" w:hint="eastAsia"/>
        </w:rPr>
        <w:t>生态环境部指定的环境能源交易平台；</w:t>
      </w:r>
    </w:p>
    <w:p w14:paraId="5E8B0C6D" w14:textId="77777777" w:rsidR="008C018E" w:rsidRDefault="00D86330">
      <w:pPr>
        <w:pStyle w:val="a4"/>
        <w:numPr>
          <w:ilvl w:val="0"/>
          <w:numId w:val="1"/>
        </w:numPr>
        <w:spacing w:line="600" w:lineRule="exact"/>
        <w:ind w:left="0" w:firstLineChars="0" w:firstLine="200"/>
        <w:rPr>
          <w:rFonts w:ascii="仿宋" w:eastAsia="仿宋" w:hAnsi="仿宋"/>
        </w:rPr>
      </w:pPr>
      <w:r>
        <w:rPr>
          <w:rFonts w:ascii="仿宋" w:eastAsia="仿宋" w:hAnsi="仿宋" w:hint="eastAsia"/>
        </w:rPr>
        <w:t>国家知识产权局指定的知识产权国际运营服务平台；</w:t>
      </w:r>
    </w:p>
    <w:p w14:paraId="1768A8BD" w14:textId="77777777" w:rsidR="008C018E" w:rsidRDefault="00D86330">
      <w:pPr>
        <w:pStyle w:val="a4"/>
        <w:numPr>
          <w:ilvl w:val="0"/>
          <w:numId w:val="1"/>
        </w:numPr>
        <w:spacing w:line="600" w:lineRule="exact"/>
        <w:ind w:left="0" w:firstLineChars="0" w:firstLine="200"/>
        <w:rPr>
          <w:rFonts w:ascii="仿宋" w:eastAsia="仿宋" w:hAnsi="仿宋"/>
        </w:rPr>
      </w:pPr>
      <w:r>
        <w:rPr>
          <w:rFonts w:ascii="仿宋" w:eastAsia="仿宋" w:hAnsi="仿宋" w:hint="eastAsia"/>
        </w:rPr>
        <w:t>国家机关事务管理局指定的中央国家机关行政事业单位资产处置平台；</w:t>
      </w:r>
    </w:p>
    <w:p w14:paraId="251E06CB" w14:textId="77777777" w:rsidR="008C018E" w:rsidRDefault="00D86330">
      <w:pPr>
        <w:pStyle w:val="a4"/>
        <w:numPr>
          <w:ilvl w:val="0"/>
          <w:numId w:val="1"/>
        </w:numPr>
        <w:spacing w:line="600" w:lineRule="exact"/>
        <w:ind w:left="0" w:firstLineChars="0" w:firstLine="200"/>
        <w:rPr>
          <w:rFonts w:ascii="仿宋" w:eastAsia="仿宋" w:hAnsi="仿宋"/>
        </w:rPr>
      </w:pPr>
      <w:r>
        <w:rPr>
          <w:rFonts w:ascii="仿宋" w:eastAsia="仿宋" w:hAnsi="仿宋" w:hint="eastAsia"/>
        </w:rPr>
        <w:t>科技部指定的“</w:t>
      </w:r>
      <w:r>
        <w:rPr>
          <w:rFonts w:ascii="仿宋" w:eastAsia="仿宋" w:hAnsi="仿宋" w:hint="eastAsia"/>
        </w:rPr>
        <w:t>863</w:t>
      </w:r>
      <w:r>
        <w:rPr>
          <w:rFonts w:ascii="仿宋" w:eastAsia="仿宋" w:hAnsi="仿宋" w:hint="eastAsia"/>
        </w:rPr>
        <w:t>”项目技术交易和技术转移服务平台；</w:t>
      </w:r>
    </w:p>
    <w:p w14:paraId="0BF77310" w14:textId="77777777" w:rsidR="008C018E" w:rsidRDefault="00D86330">
      <w:pPr>
        <w:pStyle w:val="a4"/>
        <w:numPr>
          <w:ilvl w:val="0"/>
          <w:numId w:val="1"/>
        </w:numPr>
        <w:spacing w:line="600" w:lineRule="exact"/>
        <w:ind w:left="0" w:firstLineChars="0" w:firstLine="200"/>
        <w:rPr>
          <w:rFonts w:ascii="仿宋" w:eastAsia="仿宋" w:hAnsi="仿宋"/>
        </w:rPr>
      </w:pPr>
      <w:r>
        <w:rPr>
          <w:rFonts w:ascii="仿宋" w:eastAsia="仿宋" w:hAnsi="仿宋" w:hint="eastAsia"/>
        </w:rPr>
        <w:t>与商务部共建国际投资促进与产权交易平台；</w:t>
      </w:r>
    </w:p>
    <w:p w14:paraId="2F05F412" w14:textId="77777777" w:rsidR="008C018E" w:rsidRDefault="00D86330">
      <w:pPr>
        <w:pStyle w:val="a4"/>
        <w:numPr>
          <w:ilvl w:val="0"/>
          <w:numId w:val="1"/>
        </w:numPr>
        <w:spacing w:line="600" w:lineRule="exact"/>
        <w:ind w:left="0" w:firstLineChars="0" w:firstLine="200"/>
        <w:rPr>
          <w:rFonts w:ascii="仿宋" w:eastAsia="仿宋" w:hAnsi="仿宋"/>
        </w:rPr>
      </w:pPr>
      <w:r>
        <w:rPr>
          <w:rFonts w:ascii="仿宋" w:eastAsia="仿宋" w:hAnsi="仿宋" w:hint="eastAsia"/>
        </w:rPr>
        <w:t>中国</w:t>
      </w:r>
      <w:r>
        <w:rPr>
          <w:rFonts w:ascii="仿宋" w:eastAsia="仿宋" w:hAnsi="仿宋" w:hint="eastAsia"/>
        </w:rPr>
        <w:t>-</w:t>
      </w:r>
      <w:r>
        <w:rPr>
          <w:rFonts w:ascii="仿宋" w:eastAsia="仿宋" w:hAnsi="仿宋" w:hint="eastAsia"/>
        </w:rPr>
        <w:t>中东欧国家投资促进联系机制（</w:t>
      </w:r>
      <w:r>
        <w:rPr>
          <w:rFonts w:ascii="仿宋" w:eastAsia="仿宋" w:hAnsi="仿宋" w:hint="eastAsia"/>
        </w:rPr>
        <w:t>16+1</w:t>
      </w:r>
      <w:r>
        <w:rPr>
          <w:rFonts w:ascii="仿宋" w:eastAsia="仿宋" w:hAnsi="仿宋" w:hint="eastAsia"/>
        </w:rPr>
        <w:t>）项目发布平台。</w:t>
      </w:r>
    </w:p>
    <w:p w14:paraId="1271266A" w14:textId="77777777" w:rsidR="008C018E" w:rsidRDefault="008C018E"/>
    <w:sectPr w:rsidR="008C01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270D4" w14:textId="77777777" w:rsidR="00D86330" w:rsidRDefault="00D86330" w:rsidP="008220F2">
      <w:pPr>
        <w:spacing w:line="240" w:lineRule="auto"/>
      </w:pPr>
      <w:r>
        <w:separator/>
      </w:r>
    </w:p>
  </w:endnote>
  <w:endnote w:type="continuationSeparator" w:id="0">
    <w:p w14:paraId="57C642BE" w14:textId="77777777" w:rsidR="00D86330" w:rsidRDefault="00D86330" w:rsidP="00822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F17BF" w14:textId="77777777" w:rsidR="00D86330" w:rsidRDefault="00D86330" w:rsidP="008220F2">
      <w:pPr>
        <w:spacing w:line="240" w:lineRule="auto"/>
      </w:pPr>
      <w:r>
        <w:separator/>
      </w:r>
    </w:p>
  </w:footnote>
  <w:footnote w:type="continuationSeparator" w:id="0">
    <w:p w14:paraId="1FFFF3A9" w14:textId="77777777" w:rsidR="00D86330" w:rsidRDefault="00D86330" w:rsidP="008220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606EC"/>
    <w:multiLevelType w:val="multilevel"/>
    <w:tmpl w:val="632606EC"/>
    <w:lvl w:ilvl="0">
      <w:start w:val="1"/>
      <w:numFmt w:val="bullet"/>
      <w:lvlText w:val=""/>
      <w:lvlJc w:val="left"/>
      <w:pPr>
        <w:ind w:left="1060" w:hanging="420"/>
      </w:pPr>
      <w:rPr>
        <w:rFonts w:ascii="Wingdings" w:hAnsi="Wingdings" w:hint="default"/>
      </w:rPr>
    </w:lvl>
    <w:lvl w:ilvl="1">
      <w:start w:val="1"/>
      <w:numFmt w:val="bullet"/>
      <w:lvlText w:val=""/>
      <w:lvlJc w:val="left"/>
      <w:pPr>
        <w:ind w:left="1480" w:hanging="420"/>
      </w:pPr>
      <w:rPr>
        <w:rFonts w:ascii="Wingdings" w:hAnsi="Wingdings" w:hint="default"/>
      </w:rPr>
    </w:lvl>
    <w:lvl w:ilvl="2">
      <w:start w:val="1"/>
      <w:numFmt w:val="bullet"/>
      <w:lvlText w:val=""/>
      <w:lvlJc w:val="left"/>
      <w:pPr>
        <w:ind w:left="1900" w:hanging="420"/>
      </w:pPr>
      <w:rPr>
        <w:rFonts w:ascii="Wingdings" w:hAnsi="Wingdings" w:hint="default"/>
      </w:rPr>
    </w:lvl>
    <w:lvl w:ilvl="3">
      <w:start w:val="1"/>
      <w:numFmt w:val="bullet"/>
      <w:lvlText w:val=""/>
      <w:lvlJc w:val="left"/>
      <w:pPr>
        <w:ind w:left="2320" w:hanging="420"/>
      </w:pPr>
      <w:rPr>
        <w:rFonts w:ascii="Wingdings" w:hAnsi="Wingdings" w:hint="default"/>
      </w:rPr>
    </w:lvl>
    <w:lvl w:ilvl="4">
      <w:start w:val="1"/>
      <w:numFmt w:val="bullet"/>
      <w:lvlText w:val=""/>
      <w:lvlJc w:val="left"/>
      <w:pPr>
        <w:ind w:left="2740" w:hanging="420"/>
      </w:pPr>
      <w:rPr>
        <w:rFonts w:ascii="Wingdings" w:hAnsi="Wingdings" w:hint="default"/>
      </w:rPr>
    </w:lvl>
    <w:lvl w:ilvl="5">
      <w:start w:val="1"/>
      <w:numFmt w:val="bullet"/>
      <w:lvlText w:val=""/>
      <w:lvlJc w:val="left"/>
      <w:pPr>
        <w:ind w:left="3160" w:hanging="420"/>
      </w:pPr>
      <w:rPr>
        <w:rFonts w:ascii="Wingdings" w:hAnsi="Wingdings" w:hint="default"/>
      </w:rPr>
    </w:lvl>
    <w:lvl w:ilvl="6">
      <w:start w:val="1"/>
      <w:numFmt w:val="bullet"/>
      <w:lvlText w:val=""/>
      <w:lvlJc w:val="left"/>
      <w:pPr>
        <w:ind w:left="3580" w:hanging="420"/>
      </w:pPr>
      <w:rPr>
        <w:rFonts w:ascii="Wingdings" w:hAnsi="Wingdings" w:hint="default"/>
      </w:rPr>
    </w:lvl>
    <w:lvl w:ilvl="7">
      <w:start w:val="1"/>
      <w:numFmt w:val="bullet"/>
      <w:lvlText w:val=""/>
      <w:lvlJc w:val="left"/>
      <w:pPr>
        <w:ind w:left="4000" w:hanging="420"/>
      </w:pPr>
      <w:rPr>
        <w:rFonts w:ascii="Wingdings" w:hAnsi="Wingdings" w:hint="default"/>
      </w:rPr>
    </w:lvl>
    <w:lvl w:ilvl="8">
      <w:start w:val="1"/>
      <w:numFmt w:val="bullet"/>
      <w:lvlText w:val=""/>
      <w:lvlJc w:val="left"/>
      <w:pPr>
        <w:ind w:left="4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89927FC"/>
    <w:rsid w:val="008220F2"/>
    <w:rsid w:val="008C018E"/>
    <w:rsid w:val="00D86330"/>
    <w:rsid w:val="68992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0F851F"/>
  <w15:docId w15:val="{97EB68F7-8DAB-4F85-BF5B-0601D44F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99"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spacing w:line="360" w:lineRule="auto"/>
      <w:jc w:val="both"/>
    </w:pPr>
    <w:rPr>
      <w:rFonts w:ascii="仿宋_GB2312" w:eastAsia="仿宋_GB2312" w:hAnsi="仿宋_GB2312"/>
      <w:kern w:val="2"/>
      <w:sz w:val="32"/>
      <w:szCs w:val="22"/>
    </w:rPr>
  </w:style>
  <w:style w:type="paragraph" w:styleId="1">
    <w:name w:val="heading 1"/>
    <w:basedOn w:val="a"/>
    <w:next w:val="a"/>
    <w:link w:val="10"/>
    <w:qFormat/>
    <w:rsid w:val="008220F2"/>
    <w:pPr>
      <w:keepNext/>
      <w:keepLines/>
      <w:spacing w:before="340" w:after="330" w:line="578" w:lineRule="auto"/>
      <w:outlineLvl w:val="0"/>
    </w:pPr>
    <w:rPr>
      <w:b/>
      <w:bCs/>
      <w:kern w:val="44"/>
      <w:sz w:val="44"/>
      <w:szCs w:val="44"/>
    </w:rPr>
  </w:style>
  <w:style w:type="paragraph" w:styleId="4">
    <w:name w:val="heading 4"/>
    <w:basedOn w:val="a"/>
    <w:next w:val="a"/>
    <w:semiHidden/>
    <w:unhideWhenUsed/>
    <w:qFormat/>
    <w:pPr>
      <w:keepNext/>
      <w:keepLines/>
      <w:spacing w:before="280" w:after="290" w:line="372"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uiPriority w:val="99"/>
    <w:unhideWhenUsed/>
    <w:qFormat/>
    <w:pPr>
      <w:spacing w:after="120"/>
    </w:pPr>
  </w:style>
  <w:style w:type="table" w:customStyle="1" w:styleId="31">
    <w:name w:val="无格式表格 31"/>
    <w:basedOn w:val="a2"/>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99"/>
    <w:qFormat/>
    <w:pPr>
      <w:ind w:firstLineChars="200" w:firstLine="420"/>
    </w:pPr>
  </w:style>
  <w:style w:type="paragraph" w:styleId="a5">
    <w:name w:val="header"/>
    <w:basedOn w:val="a"/>
    <w:link w:val="a6"/>
    <w:rsid w:val="008220F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1"/>
    <w:link w:val="a5"/>
    <w:rsid w:val="008220F2"/>
    <w:rPr>
      <w:rFonts w:ascii="仿宋_GB2312" w:eastAsia="仿宋_GB2312" w:hAnsi="仿宋_GB2312"/>
      <w:kern w:val="2"/>
      <w:sz w:val="18"/>
      <w:szCs w:val="18"/>
    </w:rPr>
  </w:style>
  <w:style w:type="paragraph" w:styleId="a7">
    <w:name w:val="footer"/>
    <w:basedOn w:val="a"/>
    <w:link w:val="a8"/>
    <w:rsid w:val="008220F2"/>
    <w:pPr>
      <w:tabs>
        <w:tab w:val="center" w:pos="4153"/>
        <w:tab w:val="right" w:pos="8306"/>
      </w:tabs>
      <w:snapToGrid w:val="0"/>
      <w:spacing w:line="240" w:lineRule="auto"/>
      <w:jc w:val="left"/>
    </w:pPr>
    <w:rPr>
      <w:sz w:val="18"/>
      <w:szCs w:val="18"/>
    </w:rPr>
  </w:style>
  <w:style w:type="character" w:customStyle="1" w:styleId="a8">
    <w:name w:val="页脚 字符"/>
    <w:basedOn w:val="a1"/>
    <w:link w:val="a7"/>
    <w:rsid w:val="008220F2"/>
    <w:rPr>
      <w:rFonts w:ascii="仿宋_GB2312" w:eastAsia="仿宋_GB2312" w:hAnsi="仿宋_GB2312"/>
      <w:kern w:val="2"/>
      <w:sz w:val="18"/>
      <w:szCs w:val="18"/>
    </w:rPr>
  </w:style>
  <w:style w:type="character" w:customStyle="1" w:styleId="10">
    <w:name w:val="标题 1 字符"/>
    <w:basedOn w:val="a1"/>
    <w:link w:val="1"/>
    <w:rsid w:val="008220F2"/>
    <w:rPr>
      <w:rFonts w:ascii="仿宋_GB2312" w:eastAsia="仿宋_GB2312" w:hAnsi="仿宋_GB2312"/>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184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君 张</cp:lastModifiedBy>
  <cp:revision>2</cp:revision>
  <dcterms:created xsi:type="dcterms:W3CDTF">2021-04-26T06:04:00Z</dcterms:created>
  <dcterms:modified xsi:type="dcterms:W3CDTF">2021-08-17T15:26:00Z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