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pacing w:before="0" w:after="0" w:line="600" w:lineRule="exact"/>
        <w:jc w:val="left"/>
        <w:rPr>
          <w:rFonts w:ascii="楷体" w:hAnsi="楷体" w:eastAsia="楷体" w:cs="Arial"/>
        </w:rPr>
      </w:pPr>
      <w:r>
        <w:rPr>
          <w:rFonts w:hint="eastAsia" w:ascii="楷体" w:hAnsi="楷体" w:eastAsia="楷体" w:cs="Arial"/>
          <w:lang w:val="en-US" w:eastAsia="zh-CN"/>
        </w:rPr>
        <w:t>{{?announce}}</w:t>
      </w:r>
      <w:r>
        <w:rPr>
          <w:rFonts w:hint="eastAsia" w:ascii="楷体" w:hAnsi="楷体" w:eastAsia="楷体" w:cs="Arial"/>
        </w:rPr>
        <w:t>一、机构简介</w:t>
      </w:r>
    </w:p>
    <w:p>
      <w:pPr>
        <w:spacing w:line="600" w:lineRule="exact"/>
        <w:ind w:firstLine="640" w:firstLineChars="200"/>
        <w:rPr>
          <w:rFonts w:ascii="Times New Roman" w:hAnsi="Times New Roman" w:cs="Times New Roman"/>
          <w:szCs w:val="32"/>
        </w:rPr>
      </w:pPr>
      <w:r>
        <w:drawing>
          <wp:anchor distT="0" distB="0" distL="114300" distR="114300" simplePos="0" relativeHeight="251659264" behindDoc="0" locked="0" layoutInCell="1" allowOverlap="1">
            <wp:simplePos x="0" y="0"/>
            <wp:positionH relativeFrom="column">
              <wp:posOffset>508635</wp:posOffset>
            </wp:positionH>
            <wp:positionV relativeFrom="paragraph">
              <wp:posOffset>2130425</wp:posOffset>
            </wp:positionV>
            <wp:extent cx="4939665" cy="3484880"/>
            <wp:effectExtent l="133350" t="114300" r="146685" b="1727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939665" cy="348488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hint="eastAsia" w:ascii="Times New Roman" w:hAnsi="Times New Roman" w:cs="Times New Roman"/>
          <w:szCs w:val="32"/>
        </w:rPr>
        <w:t>上海联合产权交易所（以下简称“上海联交所”）是上海市人民政府批准设立的正局级事业单位，于2003年12月在原上海产权交易所和上海技术产权交易所的基础上合并成立；2017年12月，按照市委、市政府的要求，完成事转企改制，成为上海市国资委管理的国有独资公司。</w:t>
      </w:r>
    </w:p>
    <w:p>
      <w:pPr>
        <w:spacing w:line="600" w:lineRule="exact"/>
        <w:ind w:firstLine="640" w:firstLineChars="200"/>
        <w:rPr>
          <w:rFonts w:ascii="仿宋" w:hAnsi="仿宋" w:eastAsia="仿宋"/>
        </w:rPr>
      </w:pPr>
      <w:r>
        <w:rPr>
          <w:rFonts w:hint="eastAsia" w:ascii="仿宋" w:hAnsi="仿宋" w:eastAsia="仿宋"/>
        </w:rPr>
        <w:t>上海联交所是财政部、国务院国资委、生态环境部、国家知识产权局、工信部、文化部、科技部、商务部等部委分别在相关领域授权的产权交易服务平台，是中国国有企业产权交易机构协会首届会长单位、</w:t>
      </w:r>
      <w:r>
        <w:fldChar w:fldCharType="begin"/>
      </w:r>
      <w:r>
        <w:instrText xml:space="preserve"> HYPERLINK "http://baike.baidu.com/subview/6214163/6304006.htm" \t "_blank" </w:instrText>
      </w:r>
      <w:r>
        <w:fldChar w:fldCharType="separate"/>
      </w:r>
      <w:r>
        <w:rPr>
          <w:rFonts w:hint="eastAsia" w:ascii="仿宋" w:hAnsi="仿宋" w:eastAsia="仿宋"/>
        </w:rPr>
        <w:t>长江流域产权交易共同市场</w:t>
      </w:r>
      <w:r>
        <w:rPr>
          <w:rFonts w:hint="eastAsia" w:ascii="仿宋" w:hAnsi="仿宋" w:eastAsia="仿宋"/>
        </w:rPr>
        <w:fldChar w:fldCharType="end"/>
      </w:r>
      <w:r>
        <w:rPr>
          <w:rFonts w:hint="eastAsia" w:ascii="仿宋" w:hAnsi="仿宋" w:eastAsia="仿宋"/>
        </w:rPr>
        <w:t>理事长单位，是集股权、物权、债权、知识产权等交易业务以及增资扩股等融资业务为一体的专业化市场平台。成立至今，上海产权市场的交易规模和运行质量连续保持全国前列，已经成为中国交易量最大、覆盖面最广、影响力最大的产权市场之一。</w:t>
      </w:r>
    </w:p>
    <w:p>
      <w:pPr>
        <w:pStyle w:val="2"/>
        <w:spacing w:after="0" w:line="600" w:lineRule="exact"/>
        <w:ind w:firstLine="640" w:firstLineChars="200"/>
      </w:pPr>
      <w:r>
        <w:rPr>
          <w:rFonts w:hint="eastAsia" w:cs="仿宋_GB2312"/>
          <w:color w:val="000000"/>
          <w:kern w:val="0"/>
          <w:szCs w:val="32"/>
          <w:lang w:bidi="ar"/>
        </w:rPr>
        <w:t>上海联交所“十四五”发展规划提出，到2025年，把上海联交所建成具有影响力和辐射力的现代化非标市场交易所集团。为实现这一目标，上海联交所将通过集团化、规模化、资本化“三步走”战略，确立全国产权交易中心市场平台地位。</w:t>
      </w:r>
    </w:p>
    <w:p>
      <w:pPr>
        <w:pStyle w:val="4"/>
        <w:widowControl/>
        <w:spacing w:before="0" w:after="0" w:line="600" w:lineRule="exact"/>
        <w:ind w:firstLine="643" w:firstLineChars="200"/>
        <w:jc w:val="left"/>
        <w:rPr>
          <w:rFonts w:ascii="仿宋_GB2312" w:eastAsia="仿宋_GB2312"/>
          <w:sz w:val="32"/>
          <w:szCs w:val="32"/>
        </w:rPr>
      </w:pPr>
      <w:bookmarkStart w:id="0" w:name="_Toc17690"/>
      <w:bookmarkStart w:id="1" w:name="_Toc17327"/>
      <w:bookmarkStart w:id="2" w:name="_Toc67939607"/>
      <w:bookmarkStart w:id="3" w:name="_Toc26135"/>
      <w:r>
        <w:rPr>
          <w:rFonts w:hint="eastAsia" w:ascii="仿宋_GB2312" w:eastAsia="仿宋_GB2312"/>
          <w:sz w:val="32"/>
          <w:szCs w:val="32"/>
        </w:rPr>
        <w:t>（一）业务</w:t>
      </w:r>
      <w:bookmarkEnd w:id="0"/>
      <w:bookmarkEnd w:id="1"/>
      <w:bookmarkEnd w:id="2"/>
      <w:bookmarkEnd w:id="3"/>
      <w:r>
        <w:rPr>
          <w:rFonts w:hint="eastAsia" w:ascii="仿宋_GB2312" w:eastAsia="仿宋_GB2312"/>
          <w:sz w:val="32"/>
          <w:szCs w:val="32"/>
        </w:rPr>
        <w:t>架构</w:t>
      </w:r>
    </w:p>
    <w:p>
      <w:pPr>
        <w:spacing w:line="600" w:lineRule="exact"/>
        <w:ind w:left="11" w:firstLine="617" w:firstLineChars="193"/>
        <w:rPr>
          <w:rFonts w:cs="仿宋_GB2312"/>
          <w:color w:val="000000"/>
          <w:szCs w:val="32"/>
        </w:rPr>
      </w:pPr>
      <w:r>
        <w:rPr>
          <w:rFonts w:hint="eastAsia" w:ascii="仿宋" w:hAnsi="仿宋" w:eastAsia="仿宋"/>
        </w:rPr>
        <w:t>上海联交所认真贯彻习近平总书记考察上海重要讲话精神，紧紧围绕上海“五个中心”建设，明确发展目标，深化经营战略，推进业务发展。</w:t>
      </w:r>
      <w:r>
        <w:rPr>
          <w:rFonts w:ascii="仿宋" w:hAnsi="仿宋" w:eastAsia="仿宋"/>
        </w:rPr>
        <w:t>2020</w:t>
      </w:r>
      <w:r>
        <w:rPr>
          <w:rFonts w:hint="eastAsia" w:ascii="仿宋" w:hAnsi="仿宋" w:eastAsia="仿宋"/>
        </w:rPr>
        <w:t>年以来，</w:t>
      </w:r>
      <w:bookmarkStart w:id="4" w:name="_Toc26309"/>
      <w:bookmarkStart w:id="5" w:name="_Toc67939608"/>
      <w:bookmarkStart w:id="6" w:name="_Toc1640"/>
      <w:bookmarkStart w:id="7" w:name="_Toc463"/>
      <w:r>
        <w:rPr>
          <w:rFonts w:hint="eastAsia" w:cs="仿宋_GB2312"/>
          <w:color w:val="000000"/>
          <w:szCs w:val="32"/>
        </w:rPr>
        <w:t>根据上海市国资委确认的“一核心两培育”主业，提出并实施“一体两翼多平台”业务发展战略，以服务国有产权与资源交易为主体，以金融产权和知识产权交易与服务为“两翼”，同时大力发展公共资源、环境能源、区域性股权、企业征信、非公产权、农村产权、体育产权交易等多元化的业务板块。</w:t>
      </w:r>
    </w:p>
    <w:p>
      <w:pPr>
        <w:pStyle w:val="5"/>
        <w:ind w:firstLine="643"/>
        <w:rPr>
          <w:b/>
          <w:bCs/>
          <w:szCs w:val="32"/>
        </w:rPr>
      </w:pPr>
      <w:r>
        <w:rPr>
          <w:rFonts w:hint="eastAsia"/>
          <w:b/>
          <w:bCs/>
          <w:szCs w:val="32"/>
        </w:rPr>
        <w:t>上海市公共资源交易中心</w:t>
      </w:r>
      <w:r>
        <w:rPr>
          <w:rFonts w:hint="eastAsia"/>
          <w:szCs w:val="32"/>
        </w:rPr>
        <w:t>于2020年12月24日市公共资源交易中心正式挂牌成立，市委副书记、市长龚正为中心揭牌并开通“一网交易”总门户，市委常委、常务副市长陈寅宣读市政府批复并致辞。负责建设、运行和维护上海市公共资源交易平台,做实做强综合交易、综合服务、综合监管系统,为机电设备国内招标等公共资源业务提供全流程电子化和一站式交易服务,发挥信息、专家和场所等资源整合共享的优势,为公共资源交易活动提供见证、场所、信息、档案、专家抽取等服务,实现公共资源“一网交易”,推动公共资源电子化交易、透明化服务、数字化转型,打造要素市场化配置一张网。</w:t>
      </w:r>
    </w:p>
    <w:p>
      <w:pPr>
        <w:spacing w:line="600" w:lineRule="exact"/>
        <w:ind w:firstLine="643" w:firstLineChars="200"/>
        <w:rPr>
          <w:rFonts w:ascii="Times New Roman" w:hAnsi="Times New Roman"/>
          <w:szCs w:val="32"/>
        </w:rPr>
      </w:pPr>
      <w:r>
        <w:rPr>
          <w:rFonts w:hint="eastAsia" w:ascii="Times New Roman" w:hAnsi="Times New Roman"/>
          <w:b/>
          <w:bCs/>
          <w:szCs w:val="32"/>
        </w:rPr>
        <w:t>上海国际知识产权运营管理有限公司</w:t>
      </w:r>
      <w:r>
        <w:rPr>
          <w:rFonts w:hint="eastAsia" w:ascii="Times New Roman" w:hAnsi="Times New Roman"/>
          <w:szCs w:val="32"/>
        </w:rPr>
        <w:t>于2018年11月3日注册成立，2019年5月17日正式运营。该运营平台是国家知识产权运营公共服务体系的重要组成部分，是上海科创中心建设的重要基础设施，是打造知识产权跨境交易的重要枢纽和国际知识产权金融创新的策源地。运营平台以国际化、市场化、专业化为宗旨，聚焦知识产权交易服务、金融创新、海外布局及维权、重点产业运营及基础服务等核心功能，依托国际知识产权运营联盟，协同交易及专业服务机构，汇聚知识产权要素资源，构建知识产权运营生态体系。</w:t>
      </w:r>
    </w:p>
    <w:p>
      <w:pPr>
        <w:spacing w:line="600" w:lineRule="exact"/>
        <w:ind w:firstLine="643" w:firstLineChars="200"/>
        <w:rPr>
          <w:rFonts w:ascii="Times New Roman" w:hAnsi="Times New Roman"/>
          <w:szCs w:val="32"/>
        </w:rPr>
      </w:pPr>
      <w:r>
        <w:rPr>
          <w:rFonts w:hint="eastAsia" w:ascii="Times New Roman" w:hAnsi="Times New Roman"/>
          <w:b/>
          <w:bCs/>
          <w:szCs w:val="32"/>
        </w:rPr>
        <w:t>上海知识产权交易中心</w:t>
      </w:r>
      <w:r>
        <w:rPr>
          <w:rFonts w:hint="eastAsia" w:ascii="Times New Roman" w:hAnsi="Times New Roman"/>
          <w:szCs w:val="32"/>
        </w:rPr>
        <w:t>于2017年1月13日正式成立，是国际化综合性的知识产权交易市场平台，是集知识产权领域的专利权、版权、著作权、商标权等权益交易服务于一体的专业化权益性资本市场服务平台。主要为客户提供技术并购、产股权交易、增资扩股及企业国际化等相关知识产权交易的科技服务工作。</w:t>
      </w:r>
    </w:p>
    <w:p>
      <w:pPr>
        <w:pStyle w:val="5"/>
        <w:ind w:firstLine="643"/>
        <w:rPr>
          <w:szCs w:val="32"/>
        </w:rPr>
      </w:pPr>
      <w:r>
        <w:rPr>
          <w:rFonts w:hint="eastAsia"/>
          <w:b/>
          <w:bCs/>
          <w:szCs w:val="32"/>
        </w:rPr>
        <w:t>南南全球技术产权交易所</w:t>
      </w:r>
      <w:r>
        <w:rPr>
          <w:rFonts w:hint="eastAsia"/>
          <w:szCs w:val="32"/>
        </w:rPr>
        <w:t>于2008年11月正式成立，是联合国为推动南南合作而专门设立的市场化运行平台。2007年8月，在联合国开发计划署第00057549号项目框架下，上海联交所与联合国开发计划署（UNDP）和中国商务部国际经济技术交流中心（CICITE）共同发起“南南全球技术产权交易系统”(SS-GATE)项目，并获得联合国100万美元专项资金支持。作为第一个总部设在中国的联合国全球项目机构，成为联合国推进全球发展中国家间技术产权交易系统运行的专业化、规范化、国际化和权益性、基础性的市场服务平台。2</w:t>
      </w:r>
      <w:r>
        <w:rPr>
          <w:szCs w:val="32"/>
        </w:rPr>
        <w:t>020</w:t>
      </w:r>
      <w:r>
        <w:rPr>
          <w:rFonts w:hint="eastAsia"/>
          <w:szCs w:val="32"/>
        </w:rPr>
        <w:t>年7月起，交易中心由运营平台托管经营，南南所经评估备案后注入运营平台。</w:t>
      </w:r>
    </w:p>
    <w:p>
      <w:pPr>
        <w:pStyle w:val="5"/>
        <w:ind w:firstLine="643"/>
      </w:pPr>
      <w:r>
        <w:rPr>
          <w:rFonts w:hint="eastAsia"/>
          <w:b/>
          <w:bCs/>
        </w:rPr>
        <w:t>上海股权托管交易中心</w:t>
      </w:r>
      <w:r>
        <w:rPr>
          <w:rFonts w:hint="eastAsia"/>
        </w:rPr>
        <w:t>于2012年2月15日开盘，是市政府批准、中国证监会备案的本市唯一合法的区域性股权市场。主要服务初创期和成长期中小微企业，为其提供改制挂牌、股份转让、非公开发行等服务。2015年，推出了为科技型、创新型中小微企业服务的科技创新专板（N板）。今年3月11日，上海股交中心整建制划转调整至上海联交所。</w:t>
      </w:r>
    </w:p>
    <w:p>
      <w:pPr>
        <w:pStyle w:val="5"/>
        <w:ind w:firstLine="643"/>
        <w:rPr>
          <w:szCs w:val="32"/>
        </w:rPr>
      </w:pPr>
      <w:r>
        <w:rPr>
          <w:rFonts w:hint="eastAsia"/>
          <w:b/>
          <w:bCs/>
          <w:szCs w:val="32"/>
        </w:rPr>
        <w:t>上海环境能源交易所</w:t>
      </w:r>
      <w:r>
        <w:rPr>
          <w:rFonts w:hint="eastAsia"/>
          <w:szCs w:val="32"/>
        </w:rPr>
        <w:t>于2008年8月正式成立，是国内第一家环境和气候类交易平台。2011年改制为股份有限公司，除了上海联交所，股东还包括中国清洁发展机制基金管理中心、国网英大控股有限公司、中石化资产管理有限公司、宝武集团等，是目前国内规模最大、最具影响力的环境权益交易机构之一。主要从事节能减排、环境保护领域相关权益交易，产品范围包括碳排放权、碳减排量、排污权、用能权等，是承担国家碳交易试点的平台之一。2017年，我们成功争取到了全国碳交易平台落户上海。2021年7月，全国碳市场正式上线交易。</w:t>
      </w:r>
    </w:p>
    <w:p>
      <w:pPr>
        <w:pStyle w:val="5"/>
        <w:ind w:firstLine="643"/>
        <w:rPr>
          <w:szCs w:val="32"/>
        </w:rPr>
      </w:pPr>
      <w:r>
        <w:rPr>
          <w:rFonts w:hint="eastAsia"/>
          <w:b/>
          <w:bCs/>
          <w:szCs w:val="32"/>
        </w:rPr>
        <w:t>非公产权交易服务平台</w:t>
      </w:r>
      <w:r>
        <w:rPr>
          <w:rFonts w:hint="eastAsia"/>
          <w:szCs w:val="32"/>
        </w:rPr>
        <w:t>于2020年10月正式组建。为进一步服务好各类所有制经济，在继续巩固国有产权交易业务优势基础上，对标证券市场，全面提升投行化服务能级，为非国有经济，特别是中小民营企业承揽推进非公股权转让、企业增资、物权转让等各类业务。拓展各类股权投融资和并购重组业务，开拓投资银行运行模式，研发和执行投融资创新业务品种等，为拟上市企业尤其是广大高新技术、科创类企业进行资本赋能、培育上市。</w:t>
      </w:r>
    </w:p>
    <w:p>
      <w:pPr>
        <w:pStyle w:val="5"/>
        <w:ind w:firstLine="643"/>
      </w:pPr>
      <w:r>
        <w:rPr>
          <w:rFonts w:hint="eastAsia"/>
          <w:b/>
          <w:bCs/>
        </w:rPr>
        <w:t>上海市联合征信有限公司</w:t>
      </w:r>
      <w:r>
        <w:rPr>
          <w:rFonts w:hint="eastAsia"/>
        </w:rPr>
        <w:t xml:space="preserve">于2021年4月9日注册成立。通过对接上海市大数据中心，实现大数据连通、清洗与整理；通过完成征信数据产品开发，为社会融资供给方和需求方提供融资撮合业务；通过加入长三角征信链平台，向金融机构用户推出附加值高的数据服务产品，共同推进普惠金融，支持中小微企业平稳健康发展。 </w:t>
      </w:r>
    </w:p>
    <w:p>
      <w:pPr>
        <w:pStyle w:val="5"/>
        <w:ind w:firstLine="643"/>
        <w:rPr>
          <w:szCs w:val="32"/>
        </w:rPr>
      </w:pPr>
      <w:r>
        <w:rPr>
          <w:rFonts w:hint="eastAsia"/>
          <w:b/>
          <w:bCs/>
          <w:szCs w:val="32"/>
        </w:rPr>
        <w:t>体育旅游资源交易中心</w:t>
      </w:r>
      <w:r>
        <w:rPr>
          <w:rFonts w:hint="eastAsia"/>
          <w:szCs w:val="32"/>
        </w:rPr>
        <w:t>是2015年底所内设立的一个业务板块，初衷是按照上海体育十三五规划确定的“打造国际体育资源配置节点城市”的目标，服务体育赛事市场化办赛、服务全民健身、服务体育场馆“退租还体”、服务国家体育总局协会实体化改革和无形资产进场交易。适应文体旅融合发展的需求，目前平台业务已经扩大到文体旅资源交易。</w:t>
      </w:r>
    </w:p>
    <w:p>
      <w:pPr>
        <w:pStyle w:val="5"/>
        <w:ind w:firstLine="643"/>
        <w:rPr>
          <w:rFonts w:cs="仿宋_GB2312"/>
          <w:szCs w:val="32"/>
        </w:rPr>
      </w:pPr>
      <w:r>
        <w:rPr>
          <w:rFonts w:hint="eastAsia"/>
          <w:b/>
          <w:bCs/>
          <w:szCs w:val="32"/>
        </w:rPr>
        <w:t>上海农村产权交易所</w:t>
      </w:r>
      <w:r>
        <w:rPr>
          <w:szCs w:val="32"/>
        </w:rPr>
        <w:t>于2009年</w:t>
      </w:r>
      <w:r>
        <w:rPr>
          <w:rFonts w:hint="eastAsia"/>
          <w:szCs w:val="32"/>
        </w:rPr>
        <w:t>9月正式成立，是联交所控股的</w:t>
      </w:r>
      <w:r>
        <w:rPr>
          <w:szCs w:val="32"/>
        </w:rPr>
        <w:t>综合性农村产权交易服务平台，交易品种</w:t>
      </w:r>
      <w:r>
        <w:rPr>
          <w:rFonts w:hint="eastAsia"/>
          <w:szCs w:val="32"/>
        </w:rPr>
        <w:t>包括：</w:t>
      </w:r>
      <w:r>
        <w:rPr>
          <w:szCs w:val="32"/>
        </w:rPr>
        <w:t>农村土地经营权、集体产股权、</w:t>
      </w:r>
      <w:r>
        <w:rPr>
          <w:rFonts w:hint="eastAsia"/>
          <w:szCs w:val="32"/>
        </w:rPr>
        <w:t>农业</w:t>
      </w:r>
      <w:r>
        <w:rPr>
          <w:szCs w:val="32"/>
        </w:rPr>
        <w:t>科技成果、实物资产、补贴农机等</w:t>
      </w:r>
      <w:r>
        <w:rPr>
          <w:rFonts w:hint="eastAsia"/>
          <w:szCs w:val="32"/>
        </w:rPr>
        <w:t>五个领域。在市委国资委和市农委的指导、支持下，近期启动</w:t>
      </w:r>
      <w:r>
        <w:rPr>
          <w:rFonts w:hint="eastAsia" w:cs="仿宋_GB2312"/>
          <w:szCs w:val="32"/>
        </w:rPr>
        <w:t>与奉贤的农业要素交易所及上海其它郊区交易市场的整合工作，全面助力五大新城建设。</w:t>
      </w:r>
    </w:p>
    <w:p>
      <w:pPr>
        <w:pStyle w:val="4"/>
        <w:widowControl/>
        <w:spacing w:before="0" w:after="0" w:line="600" w:lineRule="exact"/>
        <w:ind w:firstLine="643" w:firstLineChars="200"/>
        <w:jc w:val="left"/>
        <w:rPr>
          <w:rFonts w:ascii="仿宋_GB2312" w:eastAsia="仿宋_GB2312"/>
          <w:sz w:val="32"/>
          <w:szCs w:val="32"/>
        </w:rPr>
      </w:pPr>
      <w:r>
        <w:rPr>
          <w:rFonts w:hint="eastAsia" w:ascii="仿宋_GB2312" w:eastAsia="仿宋_GB2312"/>
          <w:sz w:val="32"/>
          <w:szCs w:val="32"/>
        </w:rPr>
        <w:t>（二）</w:t>
      </w:r>
      <w:bookmarkEnd w:id="4"/>
      <w:bookmarkEnd w:id="5"/>
      <w:bookmarkEnd w:id="6"/>
      <w:bookmarkEnd w:id="7"/>
      <w:r>
        <w:rPr>
          <w:rFonts w:hint="eastAsia" w:ascii="仿宋_GB2312" w:eastAsia="仿宋_GB2312"/>
          <w:sz w:val="32"/>
          <w:szCs w:val="32"/>
        </w:rPr>
        <w:t>组织架构</w:t>
      </w:r>
    </w:p>
    <w:p>
      <w:pPr>
        <w:spacing w:line="560" w:lineRule="exact"/>
        <w:ind w:left="11" w:firstLine="617" w:firstLineChars="193"/>
        <w:rPr>
          <w:rFonts w:ascii="Times New Roman" w:hAnsi="Times New Roman" w:cs="Times New Roman"/>
          <w:szCs w:val="32"/>
        </w:rPr>
      </w:pPr>
      <w:r>
        <w:rPr>
          <w:rFonts w:hint="eastAsia" w:ascii="仿宋" w:hAnsi="仿宋" w:eastAsia="仿宋"/>
        </w:rPr>
        <w:t>截至</w:t>
      </w:r>
      <w:r>
        <w:rPr>
          <w:rFonts w:hint="eastAsia" w:ascii="Times New Roman" w:hAnsi="Times New Roman" w:cs="Times New Roman"/>
          <w:szCs w:val="32"/>
        </w:rPr>
        <w:t>目前，全所共有内设部门22个、下属子公司8个：上海联合产权交易控股有限公司（与央企交易总部“两块牌子一套班子”）、上海联交所资产服务中心有限公司（与上海交易总部“两块牌子一套班子”）、上海国际知识产权运营管理有限公司、上海知识产权交易中心、上海股权托管交易中心、上海环境能源交易所、上海市联合征信有限公司、上海农村产权交易所。全所正式员工共有452人，其中，本部员工166名，下属子公司员工286名。所党委下设1个基层党委、13个直属党支部，党员人数238</w:t>
      </w:r>
      <w:r>
        <w:rPr>
          <w:rFonts w:hint="eastAsia" w:ascii="仿宋" w:hAnsi="仿宋" w:eastAsia="仿宋"/>
          <w:highlight w:val="yellow"/>
        </w:rPr>
        <w:drawing>
          <wp:anchor distT="0" distB="0" distL="114300" distR="114300" simplePos="0" relativeHeight="251660288" behindDoc="0" locked="0" layoutInCell="1" allowOverlap="1">
            <wp:simplePos x="0" y="0"/>
            <wp:positionH relativeFrom="column">
              <wp:posOffset>304165</wp:posOffset>
            </wp:positionH>
            <wp:positionV relativeFrom="paragraph">
              <wp:posOffset>509270</wp:posOffset>
            </wp:positionV>
            <wp:extent cx="5271135" cy="3077845"/>
            <wp:effectExtent l="0" t="0" r="12065" b="8255"/>
            <wp:wrapTopAndBottom/>
            <wp:docPr id="35" name="图片 35" descr="d4b30ec96fcd5a1be53f59ede93d1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d4b30ec96fcd5a1be53f59ede93d1ac"/>
                    <pic:cNvPicPr>
                      <a:picLocks noChangeAspect="1"/>
                    </pic:cNvPicPr>
                  </pic:nvPicPr>
                  <pic:blipFill>
                    <a:blip r:embed="rId7"/>
                    <a:stretch>
                      <a:fillRect/>
                    </a:stretch>
                  </pic:blipFill>
                  <pic:spPr>
                    <a:xfrm>
                      <a:off x="0" y="0"/>
                      <a:ext cx="5271135" cy="3077845"/>
                    </a:xfrm>
                    <a:prstGeom prst="rect">
                      <a:avLst/>
                    </a:prstGeom>
                  </pic:spPr>
                </pic:pic>
              </a:graphicData>
            </a:graphic>
          </wp:anchor>
        </w:drawing>
      </w:r>
      <w:r>
        <w:rPr>
          <w:rFonts w:hint="eastAsia" w:ascii="Times New Roman" w:hAnsi="Times New Roman" w:cs="Times New Roman"/>
          <w:szCs w:val="32"/>
        </w:rPr>
        <w:t>名。</w:t>
      </w:r>
    </w:p>
    <w:p>
      <w:pPr>
        <w:widowControl/>
        <w:spacing w:line="600" w:lineRule="exact"/>
        <w:ind w:firstLine="640" w:firstLineChars="200"/>
        <w:rPr>
          <w:rFonts w:ascii="仿宋" w:hAnsi="仿宋" w:eastAsia="仿宋"/>
        </w:rPr>
      </w:pPr>
      <w:r>
        <w:rPr>
          <w:rFonts w:hint="eastAsia" w:ascii="仿宋" w:hAnsi="仿宋" w:eastAsia="仿宋"/>
        </w:rPr>
        <w:t>为更好地为中央企业提供专业服务，2005年上海联交所在北京设立央企交易总部。经过十多年的发展，央企总部目前在京专业人员已超过60名，专职服务中央企业国有资产交易业务。同时，在华南设立华南业务中心，通过京沪粤三地联动，近距离贴身服务中央企业和大型企业集团，并及时取得财政部、国务院国资委及其他监管机构的指导，三地均可实现从业务受理、材料递交、交易实施到出具交易凭证的一站式全流程服务，业务覆盖更广、反应效率更高、资源协同更强，受到中央企业的一致好评。</w:t>
      </w:r>
    </w:p>
    <w:p>
      <w:pPr>
        <w:pStyle w:val="4"/>
        <w:widowControl/>
        <w:spacing w:before="0" w:after="0" w:line="600" w:lineRule="exact"/>
        <w:ind w:firstLine="643" w:firstLineChars="200"/>
        <w:jc w:val="left"/>
        <w:rPr>
          <w:rFonts w:ascii="仿宋_GB2312" w:eastAsia="仿宋_GB2312"/>
          <w:sz w:val="32"/>
          <w:szCs w:val="32"/>
        </w:rPr>
      </w:pPr>
      <w:bookmarkStart w:id="8" w:name="_Toc22980"/>
      <w:bookmarkStart w:id="9" w:name="_Toc22278"/>
      <w:bookmarkStart w:id="10" w:name="_Toc6915"/>
      <w:bookmarkStart w:id="11" w:name="_Toc67939611"/>
      <w:r>
        <w:rPr>
          <w:rFonts w:hint="eastAsia" w:ascii="仿宋_GB2312" w:eastAsia="仿宋_GB2312"/>
          <w:sz w:val="32"/>
          <w:szCs w:val="32"/>
        </w:rPr>
        <w:t>（三）</w:t>
      </w:r>
      <w:bookmarkEnd w:id="8"/>
      <w:bookmarkEnd w:id="9"/>
      <w:bookmarkEnd w:id="10"/>
      <w:bookmarkEnd w:id="11"/>
      <w:r>
        <w:rPr>
          <w:rFonts w:hint="eastAsia" w:ascii="仿宋_GB2312" w:eastAsia="仿宋_GB2312"/>
          <w:sz w:val="32"/>
          <w:szCs w:val="32"/>
        </w:rPr>
        <w:t>经营业绩</w:t>
      </w:r>
    </w:p>
    <w:p>
      <w:pPr>
        <w:spacing w:line="600" w:lineRule="exact"/>
        <w:ind w:firstLine="643" w:firstLineChars="200"/>
        <w:rPr>
          <w:rFonts w:ascii="仿宋" w:hAnsi="仿宋" w:eastAsia="仿宋"/>
          <w:b/>
          <w:bCs/>
        </w:rPr>
      </w:pPr>
      <w:r>
        <w:rPr>
          <w:rFonts w:hint="eastAsia" w:ascii="仿宋" w:hAnsi="仿宋" w:eastAsia="仿宋"/>
          <w:b/>
          <w:bCs/>
        </w:rPr>
        <w:t>1、营收规模</w:t>
      </w:r>
    </w:p>
    <w:p>
      <w:pPr>
        <w:spacing w:line="600" w:lineRule="exact"/>
        <w:ind w:firstLine="640" w:firstLineChars="200"/>
        <w:rPr>
          <w:rFonts w:ascii="仿宋" w:hAnsi="仿宋" w:eastAsia="仿宋"/>
        </w:rPr>
      </w:pPr>
      <w:r>
        <w:rPr>
          <w:rFonts w:ascii="仿宋" w:hAnsi="仿宋" w:eastAsia="仿宋"/>
        </w:rPr>
        <w:t>2020年，</w:t>
      </w:r>
      <w:r>
        <w:rPr>
          <w:rFonts w:hint="eastAsia" w:ascii="仿宋" w:hAnsi="仿宋" w:eastAsia="仿宋"/>
        </w:rPr>
        <w:t>上海联交所</w:t>
      </w:r>
      <w:r>
        <w:rPr>
          <w:rFonts w:ascii="仿宋" w:hAnsi="仿宋" w:eastAsia="仿宋"/>
        </w:rPr>
        <w:t>实现营业收入3.00亿元人民币（下同），同比增长</w:t>
      </w:r>
      <w:r>
        <w:rPr>
          <w:rFonts w:hint="eastAsia" w:ascii="仿宋" w:hAnsi="仿宋" w:eastAsia="仿宋"/>
        </w:rPr>
        <w:t>2</w:t>
      </w:r>
      <w:r>
        <w:rPr>
          <w:rFonts w:ascii="仿宋" w:hAnsi="仿宋" w:eastAsia="仿宋"/>
        </w:rPr>
        <w:t>.36%；</w:t>
      </w:r>
      <w:r>
        <w:rPr>
          <w:rFonts w:hint="eastAsia" w:ascii="仿宋" w:hAnsi="仿宋" w:eastAsia="仿宋"/>
        </w:rPr>
        <w:t>实现</w:t>
      </w:r>
      <w:r>
        <w:rPr>
          <w:rFonts w:ascii="仿宋" w:hAnsi="仿宋" w:eastAsia="仿宋"/>
        </w:rPr>
        <w:t>利润</w:t>
      </w:r>
      <w:r>
        <w:rPr>
          <w:rFonts w:hint="eastAsia" w:ascii="仿宋" w:hAnsi="仿宋" w:eastAsia="仿宋"/>
        </w:rPr>
        <w:t>总额</w:t>
      </w:r>
      <w:r>
        <w:rPr>
          <w:rFonts w:ascii="仿宋" w:hAnsi="仿宋" w:eastAsia="仿宋"/>
        </w:rPr>
        <w:t>1.64亿元，同比增长124%。</w:t>
      </w:r>
      <w:r>
        <w:rPr>
          <w:rFonts w:hint="eastAsia" w:ascii="仿宋" w:hAnsi="仿宋" w:eastAsia="仿宋"/>
        </w:rPr>
        <w:t>截至</w:t>
      </w:r>
      <w:r>
        <w:rPr>
          <w:rFonts w:ascii="仿宋" w:hAnsi="仿宋" w:eastAsia="仿宋"/>
        </w:rPr>
        <w:t>2020年底，上海联交所资产规模856，951.36万元人民币。</w:t>
      </w:r>
    </w:p>
    <w:p>
      <w:pPr>
        <w:pStyle w:val="2"/>
        <w:spacing w:after="0" w:line="600" w:lineRule="exact"/>
        <w:ind w:firstLine="643" w:firstLineChars="200"/>
        <w:rPr>
          <w:b/>
          <w:bCs/>
        </w:rPr>
      </w:pPr>
      <w:r>
        <w:rPr>
          <w:rFonts w:hint="eastAsia"/>
          <w:b/>
          <w:bCs/>
        </w:rPr>
        <w:t>2、交易规模</w:t>
      </w:r>
    </w:p>
    <w:p>
      <w:pPr>
        <w:pStyle w:val="2"/>
        <w:spacing w:after="0" w:line="600" w:lineRule="exact"/>
        <w:ind w:firstLine="640" w:firstLineChars="200"/>
      </w:pPr>
    </w:p>
    <w:tbl>
      <w:tblPr>
        <w:tblStyle w:val="8"/>
        <w:tblW w:w="10541" w:type="dxa"/>
        <w:jc w:val="center"/>
        <w:tblLayout w:type="autofit"/>
        <w:tblCellMar>
          <w:top w:w="0" w:type="dxa"/>
          <w:left w:w="108" w:type="dxa"/>
          <w:bottom w:w="0" w:type="dxa"/>
          <w:right w:w="108" w:type="dxa"/>
        </w:tblCellMar>
      </w:tblPr>
      <w:tblGrid>
        <w:gridCol w:w="799"/>
        <w:gridCol w:w="1746"/>
        <w:gridCol w:w="1136"/>
        <w:gridCol w:w="980"/>
        <w:gridCol w:w="980"/>
        <w:gridCol w:w="980"/>
        <w:gridCol w:w="980"/>
        <w:gridCol w:w="980"/>
        <w:gridCol w:w="980"/>
        <w:gridCol w:w="980"/>
      </w:tblGrid>
      <w:tr>
        <w:trPr>
          <w:trHeight w:val="525" w:hRule="atLeast"/>
          <w:jc w:val="center"/>
        </w:trPr>
        <w:tc>
          <w:tcPr>
            <w:tcW w:w="10541" w:type="dxa"/>
            <w:gridSpan w:val="10"/>
            <w:tcBorders>
              <w:top w:val="nil"/>
              <w:left w:val="nil"/>
              <w:bottom w:val="nil"/>
              <w:right w:val="nil"/>
            </w:tcBorders>
            <w:shd w:val="clear" w:color="auto" w:fill="auto"/>
            <w:noWrap/>
            <w:vAlign w:val="center"/>
          </w:tcPr>
          <w:p>
            <w:pPr>
              <w:widowControl/>
              <w:spacing w:line="240" w:lineRule="auto"/>
              <w:jc w:val="center"/>
              <w:rPr>
                <w:rFonts w:ascii="等线" w:hAnsi="等线" w:eastAsia="等线" w:cs="宋体"/>
                <w:b/>
                <w:bCs/>
                <w:color w:val="000000"/>
                <w:kern w:val="0"/>
                <w:szCs w:val="32"/>
              </w:rPr>
            </w:pPr>
            <w:r>
              <w:rPr>
                <w:rFonts w:hint="eastAsia" w:ascii="等线" w:hAnsi="等线" w:eastAsia="等线" w:cs="宋体"/>
                <w:b/>
                <w:bCs/>
                <w:color w:val="000000"/>
                <w:kern w:val="0"/>
                <w:szCs w:val="32"/>
              </w:rPr>
              <w:t xml:space="preserve">2017-2020年度交易情况 </w:t>
            </w:r>
          </w:p>
          <w:p>
            <w:pPr>
              <w:widowControl/>
              <w:spacing w:line="240" w:lineRule="auto"/>
              <w:jc w:val="right"/>
              <w:rPr>
                <w:rFonts w:ascii="等线" w:hAnsi="等线" w:eastAsia="等线" w:cs="宋体"/>
                <w:b/>
                <w:bCs/>
                <w:color w:val="000000"/>
                <w:kern w:val="0"/>
                <w:szCs w:val="32"/>
              </w:rPr>
            </w:pPr>
            <w:r>
              <w:rPr>
                <w:rFonts w:hint="eastAsia" w:ascii="仿宋" w:hAnsi="仿宋" w:eastAsia="仿宋" w:cs="宋体"/>
                <w:color w:val="000000"/>
                <w:kern w:val="0"/>
                <w:sz w:val="21"/>
                <w:szCs w:val="21"/>
              </w:rPr>
              <w:t>单位：亿元</w:t>
            </w:r>
          </w:p>
        </w:tc>
      </w:tr>
      <w:tr>
        <w:tblPrEx>
          <w:tblCellMar>
            <w:top w:w="0" w:type="dxa"/>
            <w:left w:w="108" w:type="dxa"/>
            <w:bottom w:w="0" w:type="dxa"/>
            <w:right w:w="108" w:type="dxa"/>
          </w:tblCellMar>
        </w:tblPrEx>
        <w:trPr>
          <w:trHeight w:val="420" w:hRule="atLeast"/>
          <w:jc w:val="center"/>
        </w:trPr>
        <w:tc>
          <w:tcPr>
            <w:tcW w:w="799"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年度</w:t>
            </w:r>
          </w:p>
        </w:tc>
        <w:tc>
          <w:tcPr>
            <w:tcW w:w="174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总交易金额</w:t>
            </w:r>
          </w:p>
        </w:tc>
        <w:tc>
          <w:tcPr>
            <w:tcW w:w="2116"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产权转让</w:t>
            </w:r>
          </w:p>
        </w:tc>
        <w:tc>
          <w:tcPr>
            <w:tcW w:w="196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资产转让</w:t>
            </w:r>
          </w:p>
        </w:tc>
        <w:tc>
          <w:tcPr>
            <w:tcW w:w="196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企业增资</w:t>
            </w:r>
          </w:p>
        </w:tc>
        <w:tc>
          <w:tcPr>
            <w:tcW w:w="196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混改</w:t>
            </w:r>
          </w:p>
        </w:tc>
      </w:tr>
      <w:tr>
        <w:tblPrEx>
          <w:tblCellMar>
            <w:top w:w="0" w:type="dxa"/>
            <w:left w:w="108" w:type="dxa"/>
            <w:bottom w:w="0" w:type="dxa"/>
            <w:right w:w="108" w:type="dxa"/>
          </w:tblCellMar>
        </w:tblPrEx>
        <w:trPr>
          <w:trHeight w:val="398" w:hRule="atLeast"/>
          <w:jc w:val="center"/>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b/>
                <w:bCs/>
                <w:color w:val="000000"/>
                <w:kern w:val="0"/>
                <w:sz w:val="24"/>
                <w:szCs w:val="24"/>
              </w:rPr>
            </w:pPr>
          </w:p>
        </w:tc>
        <w:tc>
          <w:tcPr>
            <w:tcW w:w="1746"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jc w:val="left"/>
              <w:rPr>
                <w:rFonts w:ascii="等线" w:hAnsi="等线" w:eastAsia="等线" w:cs="宋体"/>
                <w:b/>
                <w:bCs/>
                <w:color w:val="000000"/>
                <w:kern w:val="0"/>
                <w:sz w:val="24"/>
                <w:szCs w:val="24"/>
              </w:rPr>
            </w:pP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全所</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央企</w:t>
            </w:r>
          </w:p>
        </w:tc>
      </w:tr>
      <w:tr>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2017</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2063.63</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1419.53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541.91</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185.35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113.08</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442.09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254.69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698.39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414.58</w:t>
            </w:r>
          </w:p>
        </w:tc>
      </w:tr>
      <w:tr>
        <w:tblPrEx>
          <w:tblCellMar>
            <w:top w:w="0" w:type="dxa"/>
            <w:left w:w="108" w:type="dxa"/>
            <w:bottom w:w="0" w:type="dxa"/>
            <w:right w:w="108" w:type="dxa"/>
          </w:tblCellMar>
        </w:tblPrEx>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2018</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2042.44</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1473.11</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525.47</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168.74</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88.79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390.64</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291.52</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638.82</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430.50</w:t>
            </w:r>
          </w:p>
        </w:tc>
      </w:tr>
      <w:tr>
        <w:tblPrEx>
          <w:tblCellMar>
            <w:top w:w="0" w:type="dxa"/>
            <w:left w:w="108" w:type="dxa"/>
            <w:bottom w:w="0" w:type="dxa"/>
            <w:right w:w="108" w:type="dxa"/>
          </w:tblCellMar>
        </w:tblPrEx>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2019</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1766.48</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989.72</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413.33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230.71</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66.47</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541.89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310.17</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698.25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404.68</w:t>
            </w:r>
          </w:p>
        </w:tc>
      </w:tr>
      <w:tr>
        <w:trPr>
          <w:trHeight w:val="480" w:hRule="atLeast"/>
          <w:jc w:val="center"/>
        </w:trPr>
        <w:tc>
          <w:tcPr>
            <w:tcW w:w="799"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2020</w:t>
            </w:r>
          </w:p>
        </w:tc>
        <w:tc>
          <w:tcPr>
            <w:tcW w:w="174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1732.09</w:t>
            </w:r>
          </w:p>
        </w:tc>
        <w:tc>
          <w:tcPr>
            <w:tcW w:w="1136"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990.95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592.35</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194.44</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84.09</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545.30</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313.53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904.53</w:t>
            </w:r>
          </w:p>
        </w:tc>
        <w:tc>
          <w:tcPr>
            <w:tcW w:w="98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eastAsia="宋体" w:cs="宋体"/>
                <w:color w:val="000000"/>
                <w:kern w:val="0"/>
                <w:sz w:val="22"/>
              </w:rPr>
            </w:pPr>
            <w:r>
              <w:rPr>
                <w:rFonts w:hint="eastAsia" w:ascii="宋体" w:hAnsi="宋体" w:eastAsia="宋体" w:cs="宋体"/>
                <w:color w:val="000000"/>
                <w:kern w:val="0"/>
                <w:sz w:val="22"/>
              </w:rPr>
              <w:t>495.39</w:t>
            </w:r>
          </w:p>
        </w:tc>
      </w:tr>
    </w:tbl>
    <w:p>
      <w:pPr>
        <w:pStyle w:val="2"/>
        <w:spacing w:after="0" w:line="600" w:lineRule="exact"/>
        <w:ind w:firstLine="640" w:firstLineChars="200"/>
      </w:pPr>
    </w:p>
    <w:p>
      <w:pPr>
        <w:pStyle w:val="4"/>
        <w:widowControl/>
        <w:spacing w:before="0" w:after="0" w:line="600" w:lineRule="exact"/>
        <w:ind w:firstLine="643" w:firstLineChars="200"/>
        <w:jc w:val="left"/>
        <w:rPr>
          <w:rFonts w:ascii="仿宋_GB2312" w:eastAsia="仿宋_GB2312"/>
          <w:sz w:val="32"/>
          <w:szCs w:val="32"/>
        </w:rPr>
      </w:pPr>
      <w:r>
        <w:rPr>
          <w:rFonts w:hint="eastAsia" w:ascii="仿宋_GB2312" w:eastAsia="仿宋_GB2312"/>
          <w:sz w:val="32"/>
          <w:szCs w:val="32"/>
        </w:rPr>
        <w:t>（四）资质荣誉</w:t>
      </w:r>
    </w:p>
    <w:p>
      <w:pPr>
        <w:pStyle w:val="2"/>
        <w:spacing w:after="0" w:line="600" w:lineRule="exact"/>
        <w:ind w:firstLine="643" w:firstLineChars="200"/>
        <w:rPr>
          <w:b/>
          <w:bCs/>
        </w:rPr>
      </w:pPr>
      <w:r>
        <w:rPr>
          <w:rFonts w:hint="eastAsia"/>
          <w:b/>
          <w:bCs/>
        </w:rPr>
        <w:t>1、业务资质</w:t>
      </w:r>
    </w:p>
    <w:p>
      <w:pPr>
        <w:widowControl/>
        <w:spacing w:line="240" w:lineRule="auto"/>
        <w:jc w:val="left"/>
      </w:pPr>
      <w:r>
        <w:br w:type="page"/>
      </w:r>
    </w:p>
    <w:p>
      <w:pPr>
        <w:pStyle w:val="2"/>
        <w:spacing w:after="0" w:line="600" w:lineRule="exact"/>
        <w:ind w:firstLine="643" w:firstLineChars="200"/>
        <w:rPr>
          <w:b/>
          <w:bCs/>
        </w:rPr>
      </w:pPr>
      <w:r>
        <w:rPr>
          <w:b/>
          <w:bCs/>
        </w:rPr>
        <w:drawing>
          <wp:anchor distT="0" distB="0" distL="114300" distR="114300" simplePos="0" relativeHeight="251661312" behindDoc="0" locked="0" layoutInCell="1" allowOverlap="1">
            <wp:simplePos x="0" y="0"/>
            <wp:positionH relativeFrom="column">
              <wp:posOffset>141605</wp:posOffset>
            </wp:positionH>
            <wp:positionV relativeFrom="paragraph">
              <wp:posOffset>980440</wp:posOffset>
            </wp:positionV>
            <wp:extent cx="5615940" cy="5389880"/>
            <wp:effectExtent l="0" t="0" r="381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15940" cy="5389880"/>
                    </a:xfrm>
                    <a:prstGeom prst="rect">
                      <a:avLst/>
                    </a:prstGeom>
                    <a:noFill/>
                    <a:ln>
                      <a:noFill/>
                    </a:ln>
                  </pic:spPr>
                </pic:pic>
              </a:graphicData>
            </a:graphic>
          </wp:anchor>
        </w:drawing>
      </w:r>
      <w:r>
        <w:rPr>
          <w:rFonts w:hint="eastAsia"/>
          <w:b/>
          <w:bCs/>
        </w:rPr>
        <w:t>国务院国资委：中央企业国有资产交易业务（权益类、实物资产类）资质</w:t>
      </w:r>
    </w:p>
    <w:p>
      <w:pPr>
        <w:pStyle w:val="2"/>
        <w:spacing w:after="0" w:line="600" w:lineRule="exact"/>
        <w:ind w:firstLine="640" w:firstLineChars="200"/>
      </w:pPr>
    </w:p>
    <w:p>
      <w:pPr>
        <w:widowControl/>
        <w:spacing w:line="240" w:lineRule="auto"/>
        <w:jc w:val="left"/>
      </w:pPr>
      <w:r>
        <w:br w:type="page"/>
      </w:r>
    </w:p>
    <w:p>
      <w:pPr>
        <w:pStyle w:val="2"/>
        <w:spacing w:after="0" w:line="600" w:lineRule="exact"/>
        <w:ind w:firstLine="643" w:firstLineChars="200"/>
        <w:rPr>
          <w:b/>
          <w:bCs/>
        </w:rPr>
      </w:pPr>
      <w:r>
        <w:rPr>
          <w:b/>
          <w:bCs/>
        </w:rPr>
        <w:drawing>
          <wp:anchor distT="0" distB="0" distL="114300" distR="114300" simplePos="0" relativeHeight="251662336" behindDoc="0" locked="0" layoutInCell="1" allowOverlap="1">
            <wp:simplePos x="0" y="0"/>
            <wp:positionH relativeFrom="column">
              <wp:posOffset>208280</wp:posOffset>
            </wp:positionH>
            <wp:positionV relativeFrom="paragraph">
              <wp:posOffset>466725</wp:posOffset>
            </wp:positionV>
            <wp:extent cx="5167630" cy="5924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67630" cy="5924550"/>
                    </a:xfrm>
                    <a:prstGeom prst="rect">
                      <a:avLst/>
                    </a:prstGeom>
                    <a:noFill/>
                    <a:ln>
                      <a:noFill/>
                    </a:ln>
                  </pic:spPr>
                </pic:pic>
              </a:graphicData>
            </a:graphic>
          </wp:anchor>
        </w:drawing>
      </w:r>
      <w:r>
        <w:rPr>
          <w:rFonts w:hint="eastAsia"/>
          <w:b/>
          <w:bCs/>
        </w:rPr>
        <w:t>财政部：中央金融企业国有产权交易业务资质</w:t>
      </w:r>
    </w:p>
    <w:p>
      <w:pPr>
        <w:pStyle w:val="2"/>
        <w:spacing w:after="0" w:line="600" w:lineRule="exact"/>
        <w:ind w:firstLine="640" w:firstLineChars="200"/>
      </w:pPr>
    </w:p>
    <w:p>
      <w:pPr>
        <w:widowControl/>
        <w:spacing w:line="240" w:lineRule="auto"/>
        <w:jc w:val="left"/>
      </w:pPr>
      <w:r>
        <w:br w:type="page"/>
      </w:r>
    </w:p>
    <w:p>
      <w:pPr>
        <w:spacing w:line="600" w:lineRule="exact"/>
        <w:ind w:firstLine="640" w:firstLineChars="200"/>
        <w:rPr>
          <w:rFonts w:ascii="仿宋" w:hAnsi="仿宋" w:eastAsia="仿宋"/>
        </w:rPr>
      </w:pPr>
      <w:r>
        <w:rPr>
          <w:rFonts w:hint="eastAsia" w:ascii="仿宋" w:hAnsi="仿宋" w:eastAsia="仿宋"/>
        </w:rPr>
        <w:t>国家机关事务管理局：中央国家机关行政事业单位资产处置平台；</w:t>
      </w:r>
    </w:p>
    <w:p>
      <w:pPr>
        <w:widowControl/>
        <w:spacing w:line="240" w:lineRule="auto"/>
        <w:jc w:val="left"/>
        <w:rPr>
          <w:rFonts w:ascii="仿宋" w:hAnsi="仿宋" w:eastAsia="仿宋"/>
        </w:rPr>
      </w:pPr>
      <w:r>
        <w:rPr>
          <w:rFonts w:ascii="仿宋" w:hAnsi="仿宋" w:eastAsia="仿宋"/>
        </w:rPr>
        <w:br w:type="page"/>
      </w:r>
    </w:p>
    <w:p>
      <w:pPr>
        <w:spacing w:line="600" w:lineRule="exact"/>
        <w:ind w:firstLine="640" w:firstLineChars="200"/>
        <w:rPr>
          <w:rFonts w:ascii="仿宋" w:hAnsi="仿宋" w:eastAsia="仿宋"/>
        </w:rPr>
      </w:pPr>
      <w:r>
        <w:rPr>
          <w:rFonts w:hint="eastAsia" w:ascii="仿宋" w:hAnsi="仿宋" w:eastAsia="仿宋"/>
        </w:rPr>
        <w:t>生态环境部指定的环境能源交易平台；</w:t>
      </w:r>
    </w:p>
    <w:p>
      <w:pPr>
        <w:widowControl/>
        <w:spacing w:line="240" w:lineRule="auto"/>
        <w:jc w:val="left"/>
        <w:rPr>
          <w:rFonts w:ascii="仿宋" w:hAnsi="仿宋" w:eastAsia="仿宋"/>
        </w:rPr>
      </w:pPr>
      <w:r>
        <w:rPr>
          <w:rFonts w:ascii="仿宋" w:hAnsi="仿宋" w:eastAsia="仿宋"/>
        </w:rPr>
        <w:br w:type="page"/>
      </w:r>
    </w:p>
    <w:p>
      <w:pPr>
        <w:spacing w:line="600" w:lineRule="exact"/>
        <w:ind w:firstLine="640" w:firstLineChars="200"/>
        <w:rPr>
          <w:rFonts w:ascii="仿宋" w:hAnsi="仿宋" w:eastAsia="仿宋"/>
        </w:rPr>
      </w:pPr>
      <w:r>
        <w:rPr>
          <w:rFonts w:hint="eastAsia" w:ascii="仿宋" w:hAnsi="仿宋" w:eastAsia="仿宋"/>
        </w:rPr>
        <w:t>国家知识产权局指定的知识产权国际运营服务平台；</w:t>
      </w:r>
    </w:p>
    <w:p>
      <w:pPr>
        <w:widowControl/>
        <w:spacing w:line="240" w:lineRule="auto"/>
        <w:jc w:val="left"/>
        <w:rPr>
          <w:rFonts w:ascii="仿宋" w:hAnsi="仿宋" w:eastAsia="仿宋"/>
        </w:rPr>
      </w:pPr>
      <w:r>
        <w:rPr>
          <w:rFonts w:ascii="仿宋" w:hAnsi="仿宋" w:eastAsia="仿宋"/>
        </w:rPr>
        <w:br w:type="page"/>
      </w:r>
    </w:p>
    <w:p>
      <w:pPr>
        <w:spacing w:line="600" w:lineRule="exact"/>
        <w:ind w:firstLine="640" w:firstLineChars="200"/>
        <w:rPr>
          <w:rFonts w:ascii="仿宋" w:hAnsi="仿宋" w:eastAsia="仿宋"/>
        </w:rPr>
      </w:pPr>
      <w:r>
        <w:rPr>
          <w:rFonts w:hint="eastAsia" w:ascii="仿宋" w:hAnsi="仿宋" w:eastAsia="仿宋"/>
        </w:rPr>
        <w:t>中宣部指定的中央文化企业产权交易平台；</w:t>
      </w:r>
    </w:p>
    <w:p>
      <w:pPr>
        <w:widowControl/>
        <w:spacing w:line="240" w:lineRule="auto"/>
        <w:jc w:val="left"/>
        <w:rPr>
          <w:rFonts w:ascii="仿宋" w:hAnsi="仿宋" w:eastAsia="仿宋"/>
        </w:rPr>
      </w:pPr>
      <w:r>
        <w:rPr>
          <w:rFonts w:ascii="仿宋" w:hAnsi="仿宋" w:eastAsia="仿宋"/>
        </w:rPr>
        <w:br w:type="page"/>
      </w:r>
    </w:p>
    <w:p>
      <w:pPr>
        <w:spacing w:line="600" w:lineRule="exact"/>
        <w:ind w:firstLine="640" w:firstLineChars="200"/>
        <w:rPr>
          <w:rFonts w:ascii="仿宋" w:hAnsi="仿宋" w:eastAsia="仿宋"/>
        </w:rPr>
      </w:pPr>
      <w:r>
        <w:rPr>
          <w:rFonts w:hint="eastAsia" w:ascii="仿宋" w:hAnsi="仿宋" w:eastAsia="仿宋"/>
        </w:rPr>
        <w:t>工信部指定的中小企业融资服务市场平台；</w:t>
      </w:r>
    </w:p>
    <w:p>
      <w:pPr>
        <w:widowControl/>
        <w:spacing w:line="240" w:lineRule="auto"/>
        <w:jc w:val="left"/>
        <w:rPr>
          <w:rFonts w:ascii="仿宋" w:hAnsi="仿宋" w:eastAsia="仿宋"/>
        </w:rPr>
      </w:pPr>
      <w:r>
        <w:rPr>
          <w:rFonts w:ascii="仿宋" w:hAnsi="仿宋" w:eastAsia="仿宋"/>
        </w:rPr>
        <w:br w:type="page"/>
      </w:r>
    </w:p>
    <w:p>
      <w:pPr>
        <w:spacing w:line="600" w:lineRule="exact"/>
        <w:ind w:firstLine="640" w:firstLineChars="200"/>
        <w:rPr>
          <w:rFonts w:ascii="仿宋" w:hAnsi="仿宋" w:eastAsia="仿宋"/>
        </w:rPr>
      </w:pPr>
      <w:r>
        <w:rPr>
          <w:rFonts w:hint="eastAsia" w:ascii="仿宋" w:hAnsi="仿宋" w:eastAsia="仿宋"/>
        </w:rPr>
        <w:t>科技部指定的“863”项目技术交易和技术转移服务平台；</w:t>
      </w:r>
    </w:p>
    <w:p>
      <w:pPr>
        <w:widowControl/>
        <w:spacing w:line="240" w:lineRule="auto"/>
        <w:jc w:val="left"/>
        <w:rPr>
          <w:rFonts w:ascii="仿宋" w:hAnsi="仿宋" w:eastAsia="仿宋"/>
        </w:rPr>
      </w:pPr>
      <w:r>
        <w:rPr>
          <w:rFonts w:ascii="仿宋" w:hAnsi="仿宋" w:eastAsia="仿宋"/>
        </w:rPr>
        <w:br w:type="page"/>
      </w:r>
    </w:p>
    <w:p>
      <w:pPr>
        <w:spacing w:line="600" w:lineRule="exact"/>
        <w:ind w:firstLine="640" w:firstLineChars="200"/>
        <w:rPr>
          <w:rFonts w:ascii="仿宋" w:hAnsi="仿宋" w:eastAsia="仿宋"/>
        </w:rPr>
      </w:pPr>
      <w:r>
        <w:rPr>
          <w:rFonts w:hint="eastAsia" w:ascii="仿宋" w:hAnsi="仿宋" w:eastAsia="仿宋"/>
        </w:rPr>
        <w:t>与商务部共建国际投资促进与产权交易平台；</w:t>
      </w:r>
    </w:p>
    <w:p>
      <w:pPr>
        <w:spacing w:line="600" w:lineRule="exact"/>
        <w:ind w:firstLine="640" w:firstLineChars="200"/>
        <w:rPr>
          <w:rFonts w:ascii="仿宋" w:hAnsi="仿宋" w:eastAsia="仿宋"/>
        </w:rPr>
      </w:pPr>
      <w:r>
        <w:rPr>
          <w:rFonts w:hint="eastAsia" w:ascii="仿宋" w:hAnsi="仿宋" w:eastAsia="仿宋"/>
        </w:rPr>
        <w:t>中国-中东欧国家投资促进联系机制（16+1）项目发布平台。</w:t>
      </w:r>
    </w:p>
    <w:p>
      <w:pPr>
        <w:widowControl/>
        <w:spacing w:line="240" w:lineRule="auto"/>
        <w:jc w:val="left"/>
      </w:pPr>
      <w:r>
        <w:br w:type="page"/>
      </w:r>
    </w:p>
    <w:p>
      <w:pPr>
        <w:pStyle w:val="2"/>
        <w:spacing w:after="0" w:line="600" w:lineRule="exact"/>
        <w:ind w:firstLine="643" w:firstLineChars="200"/>
        <w:rPr>
          <w:b/>
          <w:bCs/>
        </w:rPr>
      </w:pPr>
      <w:r>
        <w:rPr>
          <w:rFonts w:hint="eastAsia"/>
          <w:b/>
          <w:bCs/>
        </w:rPr>
        <w:t>2、奖励情况</w:t>
      </w:r>
    </w:p>
    <w:p>
      <w:pPr>
        <w:spacing w:line="600" w:lineRule="exact"/>
        <w:ind w:firstLine="640" w:firstLineChars="200"/>
        <w:rPr>
          <w:rFonts w:hAnsi="宋体"/>
          <w:szCs w:val="32"/>
        </w:rPr>
      </w:pPr>
      <w:r>
        <w:rPr>
          <w:rFonts w:hint="eastAsia" w:hAnsi="宋体"/>
          <w:szCs w:val="32"/>
        </w:rPr>
        <w:t>中国企业国有产权交易机构协会—首任会长单位</w:t>
      </w:r>
    </w:p>
    <w:p>
      <w:pPr>
        <w:spacing w:line="600" w:lineRule="exact"/>
        <w:ind w:firstLine="640" w:firstLineChars="200"/>
        <w:rPr>
          <w:rFonts w:hAnsi="宋体"/>
          <w:szCs w:val="32"/>
        </w:rPr>
      </w:pPr>
      <w:r>
        <w:rPr>
          <w:rFonts w:hint="eastAsia" w:hAnsi="宋体"/>
          <w:szCs w:val="32"/>
        </w:rPr>
        <w:t>中国企业国有产权交易机构协会—常务理事单位（2016（会员证））</w:t>
      </w:r>
    </w:p>
    <w:p>
      <w:pPr>
        <w:spacing w:line="600" w:lineRule="exact"/>
        <w:ind w:firstLine="640" w:firstLineChars="200"/>
        <w:rPr>
          <w:rFonts w:hAnsi="宋体"/>
          <w:szCs w:val="32"/>
        </w:rPr>
      </w:pPr>
      <w:r>
        <w:rPr>
          <w:rFonts w:hint="eastAsia" w:hAnsi="宋体"/>
          <w:szCs w:val="32"/>
        </w:rPr>
        <w:t>中国企业国有产权交易机构协会—副会长单位</w:t>
      </w:r>
    </w:p>
    <w:p>
      <w:pPr>
        <w:spacing w:line="600" w:lineRule="exact"/>
        <w:ind w:firstLine="640" w:firstLineChars="200"/>
        <w:rPr>
          <w:rFonts w:hAnsi="宋体"/>
          <w:szCs w:val="32"/>
        </w:rPr>
      </w:pPr>
      <w:r>
        <w:rPr>
          <w:rFonts w:hint="eastAsia" w:hAnsi="宋体"/>
          <w:szCs w:val="32"/>
        </w:rPr>
        <w:t>长江流域产权交易共同市场—理事长单位（2016</w:t>
      </w:r>
      <w:r>
        <w:rPr>
          <w:rFonts w:hAnsi="宋体"/>
          <w:szCs w:val="32"/>
        </w:rPr>
        <w:t>-</w:t>
      </w:r>
      <w:r>
        <w:rPr>
          <w:rFonts w:hint="eastAsia" w:hAnsi="宋体"/>
          <w:szCs w:val="32"/>
        </w:rPr>
        <w:t>至今）</w:t>
      </w:r>
    </w:p>
    <w:p>
      <w:pPr>
        <w:spacing w:line="600" w:lineRule="exact"/>
        <w:ind w:firstLine="640" w:firstLineChars="200"/>
        <w:rPr>
          <w:rFonts w:hAnsi="宋体"/>
          <w:szCs w:val="32"/>
        </w:rPr>
      </w:pPr>
      <w:r>
        <w:rPr>
          <w:rFonts w:hint="eastAsia" w:hAnsi="宋体"/>
          <w:szCs w:val="32"/>
        </w:rPr>
        <w:t>上海市技术市场协会—常务理事单位（2011）</w:t>
      </w:r>
    </w:p>
    <w:p>
      <w:pPr>
        <w:spacing w:line="560" w:lineRule="exact"/>
        <w:ind w:firstLine="640" w:firstLineChars="200"/>
        <w:rPr>
          <w:rFonts w:hint="eastAsia" w:hAnsi="宋体"/>
          <w:szCs w:val="32"/>
        </w:rPr>
      </w:pPr>
      <w:r>
        <w:rPr>
          <w:rFonts w:hint="eastAsia" w:hAnsi="宋体"/>
          <w:szCs w:val="32"/>
        </w:rPr>
        <w:t>上海市创业投资行业协会—副会长单位证书（</w:t>
      </w:r>
      <w:r>
        <w:rPr>
          <w:rFonts w:hAnsi="宋体"/>
          <w:szCs w:val="32"/>
        </w:rPr>
        <w:t>2019）</w:t>
      </w:r>
    </w:p>
    <w:p>
      <w:pPr>
        <w:spacing w:line="560" w:lineRule="exact"/>
        <w:ind w:firstLine="640" w:firstLineChars="200"/>
        <w:rPr>
          <w:rFonts w:hAnsi="宋体"/>
          <w:szCs w:val="32"/>
        </w:rPr>
      </w:pPr>
      <w:r>
        <w:rPr>
          <w:rFonts w:hint="eastAsia" w:hAnsi="宋体"/>
          <w:szCs w:val="32"/>
        </w:rPr>
        <w:t>中华人民共和国科学技术部—先进服务机构（2008）（奖牌）</w:t>
      </w:r>
    </w:p>
    <w:p>
      <w:pPr>
        <w:spacing w:line="560" w:lineRule="exact"/>
        <w:ind w:firstLine="640" w:firstLineChars="200"/>
        <w:rPr>
          <w:rFonts w:hAnsi="宋体"/>
          <w:szCs w:val="32"/>
        </w:rPr>
      </w:pPr>
      <w:r>
        <w:rPr>
          <w:rFonts w:hint="eastAsia" w:hAnsi="宋体"/>
          <w:szCs w:val="32"/>
        </w:rPr>
        <w:t>上海市经济和信息化委员会—上海市中小企业服务机构（2</w:t>
      </w:r>
      <w:r>
        <w:rPr>
          <w:rFonts w:hAnsi="宋体"/>
          <w:szCs w:val="32"/>
        </w:rPr>
        <w:t>018</w:t>
      </w:r>
      <w:r>
        <w:rPr>
          <w:rFonts w:hint="eastAsia" w:hAnsi="宋体"/>
          <w:szCs w:val="32"/>
        </w:rPr>
        <w:t>、2019）</w:t>
      </w:r>
    </w:p>
    <w:p>
      <w:pPr>
        <w:spacing w:line="600" w:lineRule="exact"/>
        <w:ind w:firstLine="640" w:firstLineChars="200"/>
        <w:rPr>
          <w:rFonts w:hAnsi="宋体"/>
          <w:szCs w:val="32"/>
        </w:rPr>
      </w:pPr>
      <w:r>
        <w:rPr>
          <w:rFonts w:hint="eastAsia" w:hAnsi="宋体"/>
          <w:szCs w:val="32"/>
        </w:rPr>
        <w:t>中国企业国有产权交易机构协会—企业信用评价AAA（2017</w:t>
      </w:r>
      <w:r>
        <w:rPr>
          <w:rFonts w:hAnsi="宋体"/>
          <w:szCs w:val="32"/>
        </w:rPr>
        <w:t>-2019</w:t>
      </w:r>
      <w:r>
        <w:rPr>
          <w:rFonts w:hint="eastAsia" w:hAnsi="宋体"/>
          <w:szCs w:val="32"/>
        </w:rPr>
        <w:t>（证书））</w:t>
      </w:r>
    </w:p>
    <w:p>
      <w:pPr>
        <w:spacing w:line="600" w:lineRule="exact"/>
        <w:ind w:firstLine="640" w:firstLineChars="200"/>
        <w:rPr>
          <w:rFonts w:hAnsi="宋体"/>
          <w:szCs w:val="32"/>
        </w:rPr>
      </w:pPr>
      <w:r>
        <w:rPr>
          <w:rFonts w:hint="eastAsia" w:hAnsi="宋体"/>
          <w:szCs w:val="32"/>
        </w:rPr>
        <w:t>上海技术市场管理办公室—上海市技术合同认定登记工作先进集体（2</w:t>
      </w:r>
      <w:r>
        <w:rPr>
          <w:rFonts w:hAnsi="宋体"/>
          <w:szCs w:val="32"/>
        </w:rPr>
        <w:t>006-</w:t>
      </w:r>
      <w:r>
        <w:rPr>
          <w:rFonts w:hint="eastAsia" w:hAnsi="宋体"/>
          <w:szCs w:val="32"/>
        </w:rPr>
        <w:t>2018）</w:t>
      </w:r>
    </w:p>
    <w:p>
      <w:pPr>
        <w:spacing w:line="600" w:lineRule="exact"/>
        <w:ind w:firstLine="640" w:firstLineChars="200"/>
        <w:rPr>
          <w:rFonts w:hAnsi="宋体"/>
          <w:szCs w:val="32"/>
        </w:rPr>
      </w:pPr>
      <w:r>
        <w:rPr>
          <w:rFonts w:hint="eastAsia" w:hAnsi="宋体"/>
          <w:szCs w:val="32"/>
        </w:rPr>
        <w:t>上海市金融服务办公室—金融信息平台建设先进单位（</w:t>
      </w:r>
      <w:r>
        <w:rPr>
          <w:rFonts w:hAnsi="宋体"/>
          <w:szCs w:val="32"/>
        </w:rPr>
        <w:t>2010）</w:t>
      </w:r>
    </w:p>
    <w:p>
      <w:pPr>
        <w:spacing w:line="560" w:lineRule="exact"/>
        <w:ind w:firstLine="640" w:firstLineChars="200"/>
        <w:rPr>
          <w:rFonts w:hint="eastAsia" w:hAnsi="宋体"/>
          <w:szCs w:val="32"/>
        </w:rPr>
      </w:pPr>
      <w:r>
        <w:rPr>
          <w:rFonts w:hint="eastAsia" w:hAnsi="宋体"/>
          <w:szCs w:val="32"/>
        </w:rPr>
        <w:t>上海市创业投资行业协会—会员证书（2005、2017（会员证））</w:t>
      </w:r>
    </w:p>
    <w:p>
      <w:pPr>
        <w:pStyle w:val="2"/>
        <w:spacing w:after="0" w:line="600" w:lineRule="exact"/>
        <w:ind w:firstLine="640" w:firstLineChars="200"/>
        <w:rPr>
          <w:rFonts w:hAnsi="宋体"/>
          <w:szCs w:val="32"/>
        </w:rPr>
      </w:pPr>
      <w:r>
        <w:rPr>
          <w:rFonts w:hint="eastAsia" w:hAnsi="宋体"/>
          <w:szCs w:val="32"/>
        </w:rPr>
        <w:t>中国技术市场协会—金桥奖（2</w:t>
      </w:r>
      <w:r>
        <w:rPr>
          <w:rFonts w:hAnsi="宋体"/>
          <w:szCs w:val="32"/>
        </w:rPr>
        <w:t>003</w:t>
      </w:r>
      <w:r>
        <w:rPr>
          <w:rFonts w:hint="eastAsia" w:hAnsi="宋体"/>
          <w:szCs w:val="32"/>
        </w:rPr>
        <w:t>、2</w:t>
      </w:r>
      <w:r>
        <w:rPr>
          <w:rFonts w:hAnsi="宋体"/>
          <w:szCs w:val="32"/>
        </w:rPr>
        <w:t>005</w:t>
      </w:r>
      <w:r>
        <w:rPr>
          <w:rFonts w:hint="eastAsia" w:hAnsi="宋体"/>
          <w:szCs w:val="32"/>
        </w:rPr>
        <w:t>、2</w:t>
      </w:r>
      <w:r>
        <w:rPr>
          <w:rFonts w:hAnsi="宋体"/>
          <w:szCs w:val="32"/>
        </w:rPr>
        <w:t>007</w:t>
      </w:r>
      <w:r>
        <w:rPr>
          <w:rFonts w:hint="eastAsia" w:hAnsi="宋体"/>
          <w:szCs w:val="32"/>
        </w:rPr>
        <w:t>、2011）</w:t>
      </w:r>
    </w:p>
    <w:p>
      <w:pPr>
        <w:pStyle w:val="2"/>
        <w:spacing w:after="0" w:line="600" w:lineRule="exact"/>
        <w:ind w:firstLine="640" w:firstLineChars="200"/>
        <w:rPr>
          <w:rFonts w:hAnsi="宋体"/>
          <w:szCs w:val="32"/>
        </w:rPr>
      </w:pPr>
      <w:r>
        <w:rPr>
          <w:rFonts w:hint="eastAsia" w:hAnsi="宋体"/>
          <w:szCs w:val="32"/>
        </w:rPr>
        <w:t>上海市普陀区人民政府—</w:t>
      </w:r>
      <w:r>
        <w:rPr>
          <w:rFonts w:hAnsi="宋体"/>
          <w:szCs w:val="32"/>
        </w:rPr>
        <w:t>区域发展贡献三等奖（</w:t>
      </w:r>
      <w:r>
        <w:rPr>
          <w:rFonts w:hint="eastAsia" w:hAnsi="宋体"/>
          <w:szCs w:val="32"/>
        </w:rPr>
        <w:t>2</w:t>
      </w:r>
      <w:r>
        <w:rPr>
          <w:rFonts w:hAnsi="宋体"/>
          <w:szCs w:val="32"/>
        </w:rPr>
        <w:t>017</w:t>
      </w:r>
      <w:r>
        <w:rPr>
          <w:rFonts w:hint="eastAsia" w:hAnsi="宋体"/>
          <w:szCs w:val="32"/>
        </w:rPr>
        <w:t>、</w:t>
      </w:r>
      <w:r>
        <w:rPr>
          <w:rFonts w:hAnsi="宋体"/>
          <w:szCs w:val="32"/>
        </w:rPr>
        <w:t>2018）</w:t>
      </w:r>
    </w:p>
    <w:p>
      <w:pPr>
        <w:pStyle w:val="2"/>
        <w:spacing w:after="0" w:line="600" w:lineRule="exact"/>
        <w:ind w:firstLine="640" w:firstLineChars="200"/>
        <w:rPr>
          <w:rFonts w:hint="eastAsia" w:hAnsi="宋体"/>
          <w:szCs w:val="32"/>
        </w:rPr>
      </w:pPr>
      <w:r>
        <w:rPr>
          <w:rFonts w:hint="eastAsia" w:ascii="楷体" w:hAnsi="楷体" w:eastAsia="楷体" w:cs="Arial"/>
          <w:lang w:val="en-US" w:eastAsia="zh-CN"/>
        </w:rPr>
        <w:t>{{/</w:t>
      </w:r>
      <w:bookmarkStart w:id="12" w:name="_GoBack"/>
      <w:bookmarkEnd w:id="12"/>
      <w:r>
        <w:rPr>
          <w:rFonts w:hint="eastAsia" w:ascii="楷体" w:hAnsi="楷体" w:eastAsia="楷体" w:cs="Arial"/>
          <w:lang w:val="en-US" w:eastAsia="zh-CN"/>
        </w:rPr>
        <w:t>announce}}</w:t>
      </w:r>
    </w:p>
    <w:sectPr>
      <w:pgSz w:w="11906" w:h="16838"/>
      <w:pgMar w:top="2211" w:right="1531" w:bottom="1871" w:left="1531" w:header="851" w:footer="992" w:gutter="0"/>
      <w:cols w:space="425" w:num="1"/>
      <w:docGrid w:type="lines"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60"/>
  <w:drawingGridVerticalSpacing w:val="435"/>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E31CB"/>
    <w:rsid w:val="00014EE9"/>
    <w:rsid w:val="0009204F"/>
    <w:rsid w:val="00203B96"/>
    <w:rsid w:val="00282427"/>
    <w:rsid w:val="00435ECF"/>
    <w:rsid w:val="005337C4"/>
    <w:rsid w:val="006235B3"/>
    <w:rsid w:val="006236BC"/>
    <w:rsid w:val="00685361"/>
    <w:rsid w:val="006E5CD3"/>
    <w:rsid w:val="00702075"/>
    <w:rsid w:val="0078594B"/>
    <w:rsid w:val="007A4EC0"/>
    <w:rsid w:val="007B3DFE"/>
    <w:rsid w:val="008762B4"/>
    <w:rsid w:val="008A17D7"/>
    <w:rsid w:val="00A32BCE"/>
    <w:rsid w:val="00B5795E"/>
    <w:rsid w:val="00DE607A"/>
    <w:rsid w:val="00E74390"/>
    <w:rsid w:val="00E74C4D"/>
    <w:rsid w:val="00EA2D75"/>
    <w:rsid w:val="00ED47BD"/>
    <w:rsid w:val="00F1767D"/>
    <w:rsid w:val="00F25DBD"/>
    <w:rsid w:val="00FB5812"/>
    <w:rsid w:val="00FB6BE1"/>
    <w:rsid w:val="00FD15B7"/>
    <w:rsid w:val="08781FE5"/>
    <w:rsid w:val="0D33738B"/>
    <w:rsid w:val="285E31CB"/>
    <w:rsid w:val="55371C7A"/>
    <w:rsid w:val="62883C98"/>
    <w:rsid w:val="70AB1147"/>
    <w:rsid w:val="7E807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ascii="仿宋_GB2312" w:hAnsi="仿宋_GB2312" w:eastAsia="仿宋_GB2312" w:cstheme="minorBidi"/>
      <w:kern w:val="2"/>
      <w:sz w:val="32"/>
      <w:szCs w:val="22"/>
      <w:lang w:val="en-US" w:eastAsia="zh-CN" w:bidi="ar-SA"/>
    </w:rPr>
  </w:style>
  <w:style w:type="paragraph" w:styleId="3">
    <w:name w:val="heading 3"/>
    <w:basedOn w:val="1"/>
    <w:next w:val="1"/>
    <w:semiHidden/>
    <w:unhideWhenUsed/>
    <w:qFormat/>
    <w:uiPriority w:val="0"/>
    <w:pPr>
      <w:keepNext/>
      <w:keepLines/>
      <w:spacing w:before="260" w:after="260" w:line="413" w:lineRule="auto"/>
      <w:outlineLvl w:val="2"/>
    </w:pPr>
    <w:rPr>
      <w:b/>
    </w:rPr>
  </w:style>
  <w:style w:type="paragraph" w:styleId="4">
    <w:name w:val="heading 4"/>
    <w:basedOn w:val="1"/>
    <w:next w:val="1"/>
    <w:semiHidden/>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5">
    <w:name w:val="HTML Address"/>
    <w:basedOn w:val="1"/>
    <w:link w:val="12"/>
    <w:qFormat/>
    <w:uiPriority w:val="0"/>
    <w:pPr>
      <w:spacing w:line="600" w:lineRule="exact"/>
      <w:ind w:firstLine="881" w:firstLineChars="200"/>
    </w:pPr>
    <w:rPr>
      <w:rFonts w:ascii="Times New Roman" w:hAnsi="Times New Roman" w:cs="宋体"/>
    </w:rPr>
  </w:style>
  <w:style w:type="paragraph" w:styleId="6">
    <w:name w:val="footer"/>
    <w:basedOn w:val="1"/>
    <w:link w:val="11"/>
    <w:qFormat/>
    <w:uiPriority w:val="0"/>
    <w:pPr>
      <w:tabs>
        <w:tab w:val="center" w:pos="4153"/>
        <w:tab w:val="right" w:pos="8306"/>
      </w:tabs>
      <w:snapToGrid w:val="0"/>
      <w:spacing w:line="240" w:lineRule="auto"/>
      <w:jc w:val="left"/>
    </w:pPr>
    <w:rPr>
      <w:sz w:val="18"/>
      <w:szCs w:val="18"/>
    </w:rPr>
  </w:style>
  <w:style w:type="paragraph" w:styleId="7">
    <w:name w:val="header"/>
    <w:basedOn w:val="1"/>
    <w:link w:val="10"/>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10">
    <w:name w:val="页眉 字符"/>
    <w:basedOn w:val="9"/>
    <w:link w:val="7"/>
    <w:qFormat/>
    <w:uiPriority w:val="0"/>
    <w:rPr>
      <w:rFonts w:ascii="仿宋_GB2312" w:hAnsi="仿宋_GB2312" w:eastAsia="仿宋_GB2312"/>
      <w:kern w:val="2"/>
      <w:sz w:val="18"/>
      <w:szCs w:val="18"/>
    </w:rPr>
  </w:style>
  <w:style w:type="character" w:customStyle="1" w:styleId="11">
    <w:name w:val="页脚 字符"/>
    <w:basedOn w:val="9"/>
    <w:link w:val="6"/>
    <w:qFormat/>
    <w:uiPriority w:val="0"/>
    <w:rPr>
      <w:rFonts w:ascii="仿宋_GB2312" w:hAnsi="仿宋_GB2312" w:eastAsia="仿宋_GB2312"/>
      <w:kern w:val="2"/>
      <w:sz w:val="18"/>
      <w:szCs w:val="18"/>
    </w:rPr>
  </w:style>
  <w:style w:type="character" w:customStyle="1" w:styleId="12">
    <w:name w:val="HTML 地址 字符"/>
    <w:basedOn w:val="9"/>
    <w:link w:val="5"/>
    <w:qFormat/>
    <w:uiPriority w:val="0"/>
    <w:rPr>
      <w:rFonts w:ascii="Times New Roman" w:hAnsi="Times New Roman" w:eastAsia="仿宋_GB2312" w:cs="宋体"/>
      <w:kern w:val="2"/>
      <w:sz w:val="32"/>
      <w:szCs w:val="22"/>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657</Words>
  <Characters>3748</Characters>
  <Lines>31</Lines>
  <Paragraphs>8</Paragraphs>
  <TotalTime>0</TotalTime>
  <ScaleCrop>false</ScaleCrop>
  <LinksUpToDate>false</LinksUpToDate>
  <CharactersWithSpaces>4397</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2021-08-24T08:28:00Z</dcterms:created>
  <dc:creator>Administrator</dc:creator>
  <cp:lastModifiedBy>唐伟</cp:lastModifiedBy>
  <dcterms:modified xsi:type="dcterms:W3CDTF">2024-12-03T10:06:31Z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10181304B1484CA589A7F3566CBF2712</vt:lpwstr>
  </property>
</Properties>
</file>