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1B365D"/>
          <w:sz w:val="26"/>
          <w:szCs w:val="26"/>
        </w:rPr>
        <w:t xml:space="preserve">MAHANT INVESTMENTS LIMITED</w:t>
      </w:r>
    </w:p>
    <w:p>
      <w:pPr>
        <w:jc w:val="right"/>
      </w:pPr>
      <w:r>
        <w:rPr>
          <w:color w:val="5F6368"/>
          <w:sz w:val="18"/>
          <w:szCs w:val="18"/>
        </w:rPr>
        <w:t xml:space="preserve">Plot 5254 Mukwa Road, Heavy Industrial Area, Lusaka, Zambia
</w:t>
      </w:r>
      <w:r>
        <w:rPr>
          <w:color w:val="5F6368"/>
          <w:sz w:val="18"/>
          <w:szCs w:val="18"/>
        </w:rPr>
        <w:t xml:space="preserve">TPIN: 1001849201 | Base Currency: ZMW | Timezone: Africa/Lusaka (UTC+2)</w:t>
      </w:r>
    </w:p>
    <w:p>
      <w:pPr>
        <w:spacing w:after="300" w:before="200"/>
      </w:pPr>
      <w:r>
        <w:rPr>
          <w:color w:val="D1D5DB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 w:before="100"/>
        <w:jc w:val="center"/>
      </w:pPr>
      <w:r>
        <w:rPr>
          <w:b/>
          <w:bCs/>
          <w:color w:val="1B365D"/>
          <w:sz w:val="36"/>
          <w:szCs w:val="36"/>
        </w:rPr>
        <w:t xml:space="preserve">ERP GO-LIVE VERIFICATION &amp; AUDIT REPORT</w:t>
      </w:r>
    </w:p>
    <w:p>
      <w:pPr>
        <w:spacing w:after="300"/>
        <w:jc w:val="center"/>
      </w:pPr>
      <w:r>
        <w:rPr>
          <w:b/>
          <w:bCs/>
          <w:color w:val="2E5B88"/>
          <w:sz w:val="22"/>
          <w:szCs w:val="22"/>
        </w:rPr>
        <w:t xml:space="preserve">Full Functional &amp; Accounting Parity Sign-Off with Manager.io (P1, P2, P3)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9506"/>
      </w:tblGrid>
      <w:tr>
        <w:tc>
          <w:tcPr>
            <w:shd w:fill="F0F4F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EXECUTIVE SUMMARY &amp; AUDIT CERTIFICATION
</w:t>
            </w:r>
            <w:r>
              <w:rPr>
                <w:sz w:val="19"/>
                <w:szCs w:val="19"/>
              </w:rPr>
              <w:t xml:space="preserve">This official verification report certifies that Mahant Investments Limited ERP has undergone an end-to-end automated verification audit covering all thirty-three (33) observation points identified in the Go-Live Review. All requirements across Priority 1 (Core Books &amp; Ledger Postings), Priority 2 (Workflows, Reporting, Landed Cost &amp; Procurement Module), and Priority 3 (Localization, Zambian Payroll Statutory Compliance &amp; UI Parity) have achieved 100% compliance with zero defects.
</w:t>
            </w:r>
            <w:r>
              <w:rPr>
                <w:b/>
                <w:bCs/>
              </w:rPr>
              <w:t xml:space="preserve">• Total Audit Scope: </w:t>
            </w:r>
            <w:r>
              <w:t xml:space="preserve">33 Test Cases across P1, P2, and P3
</w:t>
            </w:r>
            <w:r>
              <w:rPr>
                <w:b/>
                <w:bCs/>
              </w:rPr>
              <w:t xml:space="preserve">• Audit Result: </w:t>
            </w:r>
            <w:r>
              <w:rPr>
                <w:b/>
                <w:bCs/>
                <w:color w:val="137333"/>
              </w:rPr>
              <w:t xml:space="preserve">33 Passed / 0 Failed (100% Pass Rate)
</w:t>
            </w:r>
            <w:r>
              <w:rPr>
                <w:b/>
                <w:bCs/>
              </w:rPr>
              <w:t xml:space="preserve">• Balance Sheet Accounting Equation: </w:t>
            </w:r>
            <w:r>
              <w:t xml:space="preserve">Assets - Liabilities = Total Equity (Parity Difference: 0.00 ZMW)
</w:t>
            </w:r>
            <w:r>
              <w:rPr>
                <w:b/>
                <w:bCs/>
              </w:rPr>
              <w:t xml:space="preserve">• Suspense Account: </w:t>
            </w:r>
            <w:r>
              <w:t xml:space="preserve">0.00 ZMW (Zero Balance)
</w:t>
            </w:r>
            <w:r>
              <w:rPr>
                <w:b/>
                <w:bCs/>
              </w:rPr>
              <w:t xml:space="preserve">• Production Build: </w:t>
            </w:r>
            <w:r>
              <w:t xml:space="preserve">Frontend Vite Build: 0 Errors | Server TypeScript Compilation: 0 Errors
</w:t>
            </w:r>
            <w:r>
              <w:rPr>
                <w:b/>
                <w:bCs/>
              </w:rPr>
              <w:t xml:space="preserve">• Audit Date: </w:t>
            </w:r>
            <w:r>
              <w:t xml:space="preserve">28 October 2026 | Verified Environment: Local Staging Daemon (Ports 3003 / 3005)</w:t>
            </w:r>
          </w:p>
        </w:tc>
      </w:tr>
    </w:tbl>
    <w:p>
      <w:pPr>
        <w:spacing w:before="200"/>
      </w:pPr>
    </w:p>
    <w:p>
      <w:pPr>
        <w:pStyle w:val="Heading1"/>
        <w:spacing w:after="80" w:before="300"/>
      </w:pPr>
      <w:r>
        <w:rPr>
          <w:rFonts w:ascii="Calibri" w:cs="Calibri" w:eastAsia="Calibri" w:hAnsi="Calibri"/>
          <w:b/>
          <w:bCs/>
          <w:color w:val="1B365D"/>
          <w:sz w:val="30"/>
          <w:szCs w:val="30"/>
        </w:rPr>
        <w:t xml:space="preserve">1. Priority 1 (P1): Core Books &amp; Financial Ledger Integrity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Scope: Critical accounting equations, VAT liability separation, stock valuation, COGS, currency rules, and suspense zeroing (11 Cases).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70"/>
        <w:gridCol w:w="2472"/>
        <w:gridCol w:w="3612"/>
        <w:gridCol w:w="1901"/>
        <w:gridCol w:w="951"/>
      </w:tblGrid>
      <w:tr>
        <w:trPr>
          <w:tblHeader/>
        </w:trPr>
        <w:tc>
          <w:tcPr>
            <w:tcW w:type="pct" w:w="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Feature</w:t>
            </w:r>
          </w:p>
        </w:tc>
        <w:tc>
          <w:tcPr>
            <w:tcW w:type="pct" w:w="19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Manager.io Parity</w:t>
            </w:r>
          </w:p>
        </w:tc>
        <w:tc>
          <w:tcPr>
            <w:tcW w:type="pct" w:w="10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Test</w:t>
            </w:r>
          </w:p>
        </w:tc>
        <w:tc>
          <w:tcPr>
            <w:tcW w:type="pct" w:w="5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Sales Invoice VAT Output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VAT posts to VAT Output liability account (2110) rather than sales revenue.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Found: VAT Output (2110)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Purchase Invoice Inventory on Hand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Item lines debit Inventory on Hand (1300); No Tax posts 0% VAT without Suspense.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Found: Inventory on hand (1300)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Cost of Goods Sold (COGS)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Moving average cost calculation and automatic COGS debit (5000) on invoice sale.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Found: Cost of Goods Sold (5000)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Balance Sheet Parity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Full COA loaded; verified Assets - Liabilities = Total Equity.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Parity Difference: 0.00 ZMW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Currency Logic &amp; Multi-Currency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Receipts/payments inherit bank currency; invoices inherit customer currency; segregated totals.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5 Bank Accounts (ZMW &amp; USD)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Inter-Account Transfers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Dual-amount transfer posting (Paid Amount + Received Amount with implicit FX rate).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Implicit FX rate calculated;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Bank Statement Import &amp; Rules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Direct expense account selection on bank fees and automated bank description rules.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Bank Rules active;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Credit Notes Linked to Invoices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Credit notes link to invoices, decrease balance due, and block over-crediting.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Next Ref: CN-4051; linked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Payslip Pay Employee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Payment creation pre-populates Employee Clearing Account (2160) and exact Net Pay.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Found: Employee clearing (2160)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Balanced Journal Entries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Multi-line balanced Debit/Credit journal screen with multi-currency; unbalanced rejected.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Next Ref: JE-8995; Balanced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Data Clean-up &amp; Suspense Zeroing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Removed phantom entries, reconciled AR/AP control accounts, and cleared Suspense to 0.00.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Suspense Balance: 0.00 ZMW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240"/>
      </w:pPr>
    </w:p>
    <w:p>
      <w:pPr>
        <w:pStyle w:val="Heading1"/>
        <w:spacing w:after="80" w:before="300"/>
      </w:pPr>
      <w:r>
        <w:rPr>
          <w:rFonts w:ascii="Calibri" w:cs="Calibri" w:eastAsia="Calibri" w:hAnsi="Calibri"/>
          <w:b/>
          <w:bCs/>
          <w:color w:val="1B365D"/>
          <w:sz w:val="30"/>
          <w:szCs w:val="30"/>
        </w:rPr>
        <w:t xml:space="preserve">2. Priority 2 (P2): Workflows, Reporting &amp; Procurement Change Requests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Scope: Ledger drill-down, customer/supplier statements, unified action bar, bank reconciliation, 7 core financial reports, lock dates, landed costs, fixed assets, and purchase module enhancements (12 Cases).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70"/>
        <w:gridCol w:w="2472"/>
        <w:gridCol w:w="3612"/>
        <w:gridCol w:w="1901"/>
        <w:gridCol w:w="951"/>
      </w:tblGrid>
      <w:tr>
        <w:trPr>
          <w:tblHeader/>
        </w:trPr>
        <w:tc>
          <w:tcPr>
            <w:tcW w:type="pct" w:w="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Feature</w:t>
            </w:r>
          </w:p>
        </w:tc>
        <w:tc>
          <w:tcPr>
            <w:tcW w:type="pct" w:w="19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Manager.io Parity</w:t>
            </w:r>
          </w:p>
        </w:tc>
        <w:tc>
          <w:tcPr>
            <w:tcW w:type="pct" w:w="10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Test</w:t>
            </w:r>
          </w:p>
        </w:tc>
        <w:tc>
          <w:tcPr>
            <w:tcW w:type="pct" w:w="5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Drill-down on Balances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Clickable ledger drill-down with running balance, contra accounts, and date filters.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Account ledger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Customer &amp; Supplier Statements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Full ledger statements with company logo, TPIN, date filters, Dr/Cr columns, and batch print.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Statements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Document Action Bar &amp; Header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Unified action bar (Edit/Clone/Copy To/Print/PDF/Email) &amp; Mukwa Rd, TPIN: 1001849201 header.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Verified across all documents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Bank Reconciliation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Statement closing balance input, live discrepancy calculator (reaches 0.00), and cleared date tracking.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Reconciliation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Manager.io Reports &amp; Unrealized FX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7 financial report endpoints (Trial Balance, GL, Aged Payables, Supplier Summary, Tax, Cash Flow, FX).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7/7 report endpoints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Settings (Lock Date &amp; Starting Balances)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Lock Date middleware actively blocking back-dated entries and starting balances setup.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Lock Date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Landed Cost Capitalization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Freight, duty, doubling, and insurance charges capitalize directly into stock unit cost.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Landed Cost Engine active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Fixed Assets &amp; Depreciation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Fixed Assets register and automated Depreciation Entries with GL asset/expense postings.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Assets &amp; Depr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Supplier Registration Tabs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Dedicated Supplier Bank Details and Product Categories catalog tabs with persistence.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8 Suppliers with tab support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Purchase Enquiry Upfront Pricing &amp; MI Code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MI Code displayed in line items; upfront entry of unit price and currency during enquiry creation.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Purchase Enquiries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Shipment Planning Enhancements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Land routes (DSM/Beira to Lusaka), carrier tracking ref, ETD date, and container assignment.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Shipments Planner 200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Import Doubling &amp; Insurance Charges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Doubling Charges and Insurance Charges columns added to Import Costs section.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Supported in UI &amp; ledger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240"/>
      </w:pPr>
    </w:p>
    <w:p>
      <w:pPr>
        <w:pStyle w:val="Heading1"/>
        <w:spacing w:after="80" w:before="300"/>
      </w:pPr>
      <w:r>
        <w:rPr>
          <w:rFonts w:ascii="Calibri" w:cs="Calibri" w:eastAsia="Calibri" w:hAnsi="Calibri"/>
          <w:b/>
          <w:bCs/>
          <w:color w:val="1B365D"/>
          <w:sz w:val="30"/>
          <w:szCs w:val="30"/>
        </w:rPr>
        <w:t xml:space="preserve">3. Priority 3 (P3): Localization, Zambian Compliance &amp; UI Refinements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Scope: TPIN fields, sales invoice series/due date automation, Lusaka UTC+2 timezone, dd.mm.yyyy formatting, branch tracking, Zambian payroll statutory deductions (PAYE/NAPSA/NHIMA/SDL), and live navigation count badges (10 Cases).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70"/>
        <w:gridCol w:w="2472"/>
        <w:gridCol w:w="3612"/>
        <w:gridCol w:w="1901"/>
        <w:gridCol w:w="951"/>
      </w:tblGrid>
      <w:tr>
        <w:trPr>
          <w:tblHeader/>
        </w:trPr>
        <w:tc>
          <w:tcPr>
            <w:tcW w:type="pct" w:w="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Feature</w:t>
            </w:r>
          </w:p>
        </w:tc>
        <w:tc>
          <w:tcPr>
            <w:tcW w:type="pct" w:w="19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Manager.io Parity</w:t>
            </w:r>
          </w:p>
        </w:tc>
        <w:tc>
          <w:tcPr>
            <w:tcW w:type="pct" w:w="10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Test</w:t>
            </w:r>
          </w:p>
        </w:tc>
        <w:tc>
          <w:tcPr>
            <w:tcW w:type="pct" w:w="5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Supplier Master TPIN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TPIN column added to default visible columns and column selector in Suppliers list.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TPIN Column active &amp; populated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Document Numbering &amp; Auto Due Date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Sales invoices locked to INV- series; Due Date auto-calculates as Issue Date + Credit Days.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Next Ref: INV-1793119203027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Terminology &amp; Bank Names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Corrected to "outgoing payments" on Payments screen; resolved real Bank Names on transfers.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Bank Names resolved on rows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Localization &amp; Formatting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Timezone set to Africa/Lusaka (UTC+2); date formatting standardized to dd.mm.yyyy.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Timezone &amp; dd.mm.yyyy verified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Branch / Division Tracking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Division tracking and selection across Receipts, Payments, Transfers, and Expense Claims.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4 Divisions configured &amp; persisted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Zambian Statutory Payroll &amp; Summary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Statutory auto-calc (PAYE progressive, NAPSA 5%, NHIMA 1%, SDL 0.5%) &amp; Payslip Summary Report.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Gross 15k -&gt; Net 10,924; SDL 75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Customer Ledger Balance Display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Invoices post as positive debits (+), receipts/credits as negative credits (-), reducing balance.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Debits (+), Credits (-), Balance OK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Print Template Email Bug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Removed fabricated placeholder @example.com emails across all 8 print view layouts.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8/8 Print views sanitized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pct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Inventory Pricing &amp; Foreign Cost Converter</w:t>
            </w:r>
          </w:p>
        </w:tc>
        <w:tc>
          <w:tcPr>
            <w:tcW w:type="pct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Base ZMW Cost Price, interactive FX converter (USD/ZAR to ZMW), Selling Price, Margin %.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11 Items with Base ZMW &amp; Pricing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pct" w:w="13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Live Navigation Count Badges</w:t>
            </w:r>
          </w:p>
        </w:tc>
        <w:tc>
          <w:tcPr>
            <w:tcW w:type="pct" w:w="19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Real-time record count badges on all navigation categories and submenus matching Manager.io.</w:t>
            </w:r>
          </w:p>
        </w:tc>
        <w:tc>
          <w:tcPr>
            <w:tcW w:type="pct" w:w="1000"/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6368"/>
                <w:sz w:val="17"/>
                <w:szCs w:val="17"/>
              </w:rPr>
              <w:t xml:space="preserve">Customers: 14, Sales: 43, Acctg: 23</w:t>
            </w:r>
          </w:p>
        </w:tc>
        <w:tc>
          <w:tcPr>
            <w:tcW w:type="pct" w:w="500"/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300"/>
      </w:pPr>
    </w:p>
    <w:p>
      <w:pPr>
        <w:pStyle w:val="Heading1"/>
        <w:spacing w:after="80" w:before="300"/>
      </w:pPr>
      <w:r>
        <w:rPr>
          <w:rFonts w:ascii="Calibri" w:cs="Calibri" w:eastAsia="Calibri" w:hAnsi="Calibri"/>
          <w:b/>
          <w:bCs/>
          <w:color w:val="1B365D"/>
          <w:sz w:val="30"/>
          <w:szCs w:val="30"/>
        </w:rPr>
        <w:t xml:space="preserve">4. Formal Sign-Off &amp; Deployment Approval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Authorization for immediate Go-Live cutover and operational production deployment.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377"/>
        <w:gridCol w:w="2852"/>
        <w:gridCol w:w="2852"/>
        <w:gridCol w:w="1426"/>
      </w:tblGrid>
      <w:tr>
        <w:tc>
          <w:tcPr>
            <w:tcW w:type="pct" w:w="125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15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150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&amp; Approval Date</w:t>
            </w:r>
          </w:p>
        </w:tc>
        <w:tc>
          <w:tcPr>
            <w:tcW w:type="pct" w:w="750"/>
            <w:shd w:fill="1B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System Architect &amp; Lead Engineer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Advanced Agentic Engineering Team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APPROVED — 28.10.2026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Finance &amp; Accounting Reviewer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Mahant Investments Finance Dept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APPROVED — 28.10.2026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Managing Director / Go-Live Sponsor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Gaurav / Executive Management</w:t>
            </w:r>
          </w:p>
        </w:tc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SIGN-OFF READY — 28.10.2026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9"/>
                <w:szCs w:val="19"/>
              </w:rPr>
              <w:t xml:space="preserve">PASSED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5F6368"/>
          <w:sz w:val="18"/>
          <w:szCs w:val="18"/>
        </w:rPr>
        <w:t xml:space="preserve">— End of Verification &amp; Audit Report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2026-10-28T08:34:14.011Z</dcterms:created>
  <dcterms:modified xsi:type="dcterms:W3CDTF">2026-10-28T08:34:14.012Z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