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oot_level_reality_and_simulation_ff6adf"/>
      <w:r>
        <w:rPr>
          <w:rFonts w:eastAsia="source serif 4" w:cs="source serif 4" w:ascii="source serif 4" w:hAnsi="source serif 4"/>
          <w:b/>
          <w:color w:val="000000"/>
          <w:sz w:val="39"/>
        </w:rPr>
        <w:t xml:space="preserve">Root-Level, Reality, and Simulation Structures</w:t>
      </w:r>
      <w:bookmarkEnd w:id="0"/>
    </w:p>
    <w:p>
      <w:pPr>
        <w:spacing w:line="360" w:after="210" w:lineRule="auto"/>
      </w:pPr>
      <w:r>
        <w:rPr>
          <w:rFonts w:eastAsia="source serif 4" w:cs="source serif 4" w:ascii="source serif 4" w:hAnsi="source serif 4"/>
          <w:b/>
          <w:color w:val="000000"/>
        </w:rPr>
        <w:t xml:space="preserve">Foundational Research Framework for Mapping, Comparing, Modeling, Lifecycle Design, and Conditional Failure</w:t>
      </w:r>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September 23,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DRAFT — UNDER REVIEW — NOT CANON — ONESTAMP PENDING</w:t>
      </w:r>
    </w:p>
    <w:p>
      <w:pPr>
        <w:spacing w:line="360" w:before="315" w:after="105" w:lineRule="auto"/>
        <w:ind w:left="-30"/>
        <w:jc w:val="left"/>
      </w:pPr>
      <w:bookmarkStart w:id="1" w:name="direct_finding"/>
      <w:r>
        <w:rPr>
          <w:rFonts w:eastAsia="source serif 4" w:cs="source serif 4" w:ascii="source serif 4" w:hAnsi="source serif 4"/>
          <w:b/>
          <w:color w:val="000000"/>
          <w:sz w:val="24"/>
        </w:rPr>
        <w:t xml:space="preserve">Direct finding</w:t>
      </w:r>
      <w:bookmarkEnd w:id="1"/>
    </w:p>
    <w:p>
      <w:pPr>
        <w:spacing w:line="360" w:after="210" w:lineRule="auto"/>
      </w:pPr>
      <w:r>
        <w:rPr>
          <w:rFonts w:eastAsia="source serif 4" w:cs="source serif 4" w:ascii="source serif 4" w:hAnsi="source serif 4"/>
          <w:color w:val="000000"/>
        </w:rPr>
        <w:t xml:space="preserve">The corrected program should study structures before it studies root failure. Conditional Failure at the Root Level (CFTRL) is therefore an applied downstream branch, while the parent program examines how structures arise, persist, nest, constrain, represent worlds, become treated as real, and can be compared under incomplete knowledge.</w:t>
      </w:r>
    </w:p>
    <w:p>
      <w:pPr>
        <w:spacing w:line="360" w:after="210" w:lineRule="auto"/>
      </w:pPr>
      <w:r>
        <w:rPr>
          <w:rFonts w:eastAsia="source serif 4" w:cs="source serif 4" w:ascii="source serif 4" w:hAnsi="source serif 4"/>
          <w:color w:val="000000"/>
        </w:rPr>
        <w:t xml:space="preserve">The program can rigorously investigate known engineered systems, nested simulations, digital twins, complex adaptive systems, lifecycle behavior, observer limitations, and failure diagnosis. It cannot currently prove whether experienced reality is base reality, derive an architecture outside all observable structure, or infer simulation from an unexplained anomaly. Those limits should be recorded as findings rather than treated as project failures.</w:t>
      </w:r>
    </w:p>
    <w:p>
      <w:pPr>
        <w:spacing w:line="360" w:before="315" w:after="105" w:lineRule="auto"/>
        <w:ind w:left="-30"/>
        <w:jc w:val="left"/>
      </w:pPr>
      <w:bookmarkStart w:id="2" w:name="foundational_statement"/>
      <w:r>
        <w:rPr>
          <w:rFonts w:eastAsia="source serif 4" w:cs="source serif 4" w:ascii="source serif 4" w:hAnsi="source serif 4"/>
          <w:b/>
          <w:color w:val="000000"/>
          <w:sz w:val="24"/>
        </w:rPr>
        <w:t xml:space="preserve">Foundational statement</w:t>
      </w:r>
      <w:bookmarkEnd w:id="2"/>
    </w:p>
    <w:p>
      <w:pPr>
        <w:spacing w:line="360" w:after="210" w:lineRule="auto"/>
        <w:ind w:left="630"/>
      </w:pPr>
      <w:r>
        <w:rPr>
          <w:rFonts w:eastAsia="source serif 4" w:cs="source serif 4" w:ascii="source serif 4" w:hAnsi="source serif 4"/>
          <w:color w:val="000000"/>
        </w:rPr>
        <w:t xml:space="preserve">This research does not begin by assuming that reality, base reality, simulation, or root-level structure has already been identified or adequately defined. It studies how structures arise, persist, interact, nest, change, and fail; how observers classify structures as real, literal, simulated, foundational, or derivative; what evidence supports those classifications; and how provisional maps can be constructed under incomplete information. The resulting knowledge will support—but will not be limited to—the later design and development of Conditional Failure at the Root Level.</w:t>
      </w:r>
    </w:p>
    <w:p>
      <w:pPr>
        <w:spacing w:line="360" w:before="315" w:after="105" w:lineRule="auto"/>
        <w:ind w:left="-30"/>
        <w:jc w:val="left"/>
      </w:pPr>
      <w:bookmarkStart w:id="3" w:name="why_the_program_changed"/>
      <w:r>
        <w:rPr>
          <w:rFonts w:eastAsia="source serif 4" w:cs="source serif 4" w:ascii="source serif 4" w:hAnsi="source serif 4"/>
          <w:b/>
          <w:color w:val="000000"/>
          <w:sz w:val="24"/>
        </w:rPr>
        <w:t xml:space="preserve">Why the program changed</w:t>
      </w:r>
      <w:bookmarkEnd w:id="3"/>
    </w:p>
    <w:p>
      <w:pPr>
        <w:spacing w:line="360" w:after="210" w:lineRule="auto"/>
      </w:pPr>
      <w:r>
        <w:rPr>
          <w:rFonts w:eastAsia="source serif 4" w:cs="source serif 4" w:ascii="source serif 4" w:hAnsi="source serif 4"/>
          <w:color w:val="000000"/>
        </w:rPr>
        <w:t xml:space="preserve">The originating material asked about root-level structures, base reality, simulation, incomplete maps, laboratory design, and failure as an investigative instrument. The first synthesis cycle nevertheless placed “Conditional Failure at the Root Level” in nearly every title and made failure the organizing subject. That work remains useful as an applied sub-dossier, but it reversed the intended dependency: a failure framework cannot responsibly characterize root-level failure until the project has defined what “structure,” “root,” “reality,” “simulation,” “map,” and “evidence” mean within declared boundaries.</w:t>
      </w:r>
    </w:p>
    <w:p>
      <w:pPr>
        <w:spacing w:line="360" w:after="210" w:lineRule="auto"/>
      </w:pPr>
      <w:r>
        <w:rPr>
          <w:rFonts w:eastAsia="source serif 4" w:cs="source serif 4" w:ascii="source serif 4" w:hAnsi="source serif 4"/>
          <w:color w:val="000000"/>
        </w:rPr>
        <w:t xml:space="preserve">The corrected dependency is:</w:t>
      </w:r>
    </w:p>
    <w:p>
      <w:pPr>
        <w:spacing w:line="360" w:after="210" w:lineRule="auto"/>
      </w:pPr>
      <w:r>
        <w:rPr>
          <w:rFonts w:eastAsia="source serif 4" w:cs="source serif 4" w:ascii="source serif 4" w:hAnsi="source serif 4"/>
          <w:b/>
          <w:color w:val="000000"/>
        </w:rPr>
        <w:t xml:space="preserve">Structural study → reality-model study → simulation study → comparative mapping → lifecycle study → failure study → CFTRL application.</w:t>
      </w:r>
    </w:p>
    <w:p>
      <w:pPr>
        <w:spacing w:line="360" w:before="315" w:after="105" w:lineRule="auto"/>
        <w:ind w:left="-30"/>
        <w:jc w:val="left"/>
      </w:pPr>
      <w:bookmarkStart w:id="4" w:name="research_position"/>
      <w:r>
        <w:rPr>
          <w:rFonts w:eastAsia="source serif 4" w:cs="source serif 4" w:ascii="source serif 4" w:hAnsi="source serif 4"/>
          <w:b/>
          <w:color w:val="000000"/>
          <w:sz w:val="24"/>
        </w:rPr>
        <w:t xml:space="preserve">Research position</w:t>
      </w:r>
      <w:bookmarkEnd w:id="4"/>
    </w:p>
    <w:p>
      <w:pPr>
        <w:spacing w:line="360" w:after="210" w:lineRule="auto"/>
      </w:pPr>
      <w:r>
        <w:rPr>
          <w:rFonts w:eastAsia="source serif 4" w:cs="source serif 4" w:ascii="source serif 4" w:hAnsi="source serif 4"/>
          <w:color w:val="000000"/>
        </w:rPr>
        <w:t xml:space="preserve">A system is an arrangement of interacting elements that exhibits behavior or meaning not attributable to isolated elements alone, and systems engineering explicitly treats system boundaries as demarcations between a system of interest and its environment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This supports a boundary-relative definition of rootness: a component may be foundational for one function and boundary without being ontologically ultimate.</w:t>
      </w:r>
    </w:p>
    <w:p>
      <w:pPr>
        <w:spacing w:line="360" w:after="210" w:lineRule="auto"/>
      </w:pPr>
      <w:r>
        <w:rPr>
          <w:rFonts w:eastAsia="source serif 4" w:cs="source serif 4" w:ascii="source serif 4" w:hAnsi="source serif 4"/>
          <w:color w:val="000000"/>
        </w:rPr>
        <w:t xml:space="preserve">Complex-systems research adds that global properties may emerge from local interactions without a central controller, so a foundational constraint or dependency may arise rather than be intentionally designed [</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 “Root” must therefore include engineered, inherited, distributed, plural, and emergent candidates.</w:t>
      </w:r>
    </w:p>
    <w:p>
      <w:pPr>
        <w:spacing w:line="360" w:after="210" w:lineRule="auto"/>
      </w:pPr>
      <w:r>
        <w:rPr>
          <w:rFonts w:eastAsia="source serif 4" w:cs="source serif 4" w:ascii="source serif 4" w:hAnsi="source serif 4"/>
          <w:color w:val="000000"/>
        </w:rPr>
        <w:t xml:space="preserve">Scientific models selectively represent targets or interpret theories; they are not identical to the represented world [^5]. NASA’s modeling standard accordingly separates verification—whether a model conforms to its specification—from validation—whether it represents the real-world system adequately for an intended use—and requires uncertainty, validation domains, and credibility evidence to accompany results [</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 The project’s “map of reality” should therefore be an explicitly purpose-bound, versioned ensemble of observations, models, alternatives, uncertainty, and unresolved questions, not an assertion of complete reality.</w:t>
      </w:r>
    </w:p>
    <w:p>
      <w:pPr>
        <w:spacing w:line="360" w:after="210" w:lineRule="auto"/>
      </w:pPr>
      <w:r>
        <w:rPr>
          <w:rFonts w:eastAsia="source serif 4" w:cs="source serif 4" w:ascii="source serif 4" w:hAnsi="source serif 4"/>
          <w:color w:val="000000"/>
        </w:rPr>
        <w:t xml:space="preserve">Evidence can underdetermine theory: more than one model may remain compatible with available observations [^8]. Structural realism offers a relevant but noncanonical research stance: science may preserve or recover relational structure even when theories about the intrinsic nature of entities change [</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 This makes relational maps—dependencies, constraints, transformations, invariants, and causal effects—more defensible initial targets than claims about ultimate substance.</w:t>
      </w:r>
    </w:p>
    <w:p>
      <w:pPr>
        <w:spacing w:line="360" w:before="315" w:after="105" w:lineRule="auto"/>
        <w:ind w:left="-30"/>
        <w:jc w:val="left"/>
      </w:pPr>
      <w:bookmarkStart w:id="5" w:name="core_distinctions"/>
      <w:r>
        <w:rPr>
          <w:rFonts w:eastAsia="source serif 4" w:cs="source serif 4" w:ascii="source serif 4" w:hAnsi="source serif 4"/>
          <w:b/>
          <w:color w:val="000000"/>
          <w:sz w:val="24"/>
        </w:rPr>
        <w:t xml:space="preserve">Core distinctions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Operational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Elements, relations, constraints, state, behavior, boundary, environment, and lifecycle represented for a declared 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Root-level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structure or set of structures whose alteration materially changes the validity, operation, interpretation, or recoverability of dependent structures within a declared boundary and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Reality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structure proposed to participate in, constitute, constrain, or represent the experienced world; the label does not by itself establish ultimacy.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Literal-reality claim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claim intended as an assertion of existence, not merely metaphor, fiction, or instrumental representation.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selective representation used for explanation, prediction, exploration, or control [^5].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implemented model that generates state transitions or behavior under specified rules; it may be offline, interactive, nested, stochastic, agent-based, or synchronized to a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twin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dynamically connected representation of a real-world entity or process, distinguished from a static model by synchronization and data exchange [</w:t>
            </w:r>
            <w:r>
              <w:rPr>
                <w:rFonts w:eastAsia="source serif 4" w:cs="source serif 4" w:ascii="source serif 4" w:hAnsi="source serif 4"/>
                <w:color w:val="000000"/>
                <w:sz w:val="17"/>
                <w:vertAlign w:val="superscript"/>
              </w:rPr>
              <w:t xml:space="preserve">11][</w:t>
            </w:r>
            <w:r>
              <w:rPr>
                <w:rFonts w:eastAsia="source sans 3" w:cs="source sans 3" w:ascii="source sans 3" w:hAnsi="source sans 3"/>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Virtual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structure instantiated through a supporting medium; virtuality alone does not determine whether its objects or events are unreal. Chalmers, for example, argues that virtual worlds can be genuine realities, a philosophical position the project should record without canonizing [</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 reality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hypothesized reality with no containing or governing parent structure. This is an ontological designation, not an operational status established merely by failure to observe a parent.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purpose-bound representation of selected entities, relations, observations, uncertainties, and model alternatives.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defined loss, unacceptable state, constraint violation, or inability to perform a required function—not simply surprise or anomaly.</w:t>
            </w:r>
          </w:p>
        </w:tc>
      </w:tr>
    </w:tbl>
    <w:p>
      <w:pPr>
        <w:spacing w:lineRule="auto"/>
      </w:pPr>
    </w:p>
    <w:p>
      <w:pPr>
        <w:spacing w:line="360" w:after="210" w:lineRule="auto"/>
      </w:pPr>
      <w:r>
        <w:rPr>
          <w:rFonts w:eastAsia="source serif 4" w:cs="source serif 4" w:ascii="source serif 4" w:hAnsi="source serif 4"/>
          <w:color w:val="000000"/>
        </w:rPr>
        <w:t xml:space="preserve">A root of trust illustrates functional rootness. NIST defines roots of trust as highly reliable components performing critical security functions from which trust is built, but the fact that they are inherently trusted within an architecture does not establish that they are ontological roots [</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 This distinction separates structural, causal, control, trust, epistemic, and ontological roots.</w:t>
      </w:r>
    </w:p>
    <w:p>
      <w:pPr>
        <w:spacing w:line="360" w:before="315" w:after="105" w:lineRule="auto"/>
        <w:ind w:left="-30"/>
        <w:jc w:val="left"/>
      </w:pPr>
      <w:bookmarkStart w:id="6" w:name="root_identification"/>
      <w:r>
        <w:rPr>
          <w:rFonts w:eastAsia="source serif 4" w:cs="source serif 4" w:ascii="source serif 4" w:hAnsi="source serif 4"/>
          <w:b/>
          <w:color w:val="000000"/>
          <w:sz w:val="24"/>
        </w:rPr>
        <w:t xml:space="preserve">Root identification</w:t>
      </w:r>
      <w:bookmarkEnd w:id="6"/>
    </w:p>
    <w:p>
      <w:pPr>
        <w:spacing w:line="360" w:after="210" w:lineRule="auto"/>
      </w:pPr>
      <w:r>
        <w:rPr>
          <w:rFonts w:eastAsia="source serif 4" w:cs="source serif 4" w:ascii="source serif 4" w:hAnsi="source serif 4"/>
          <w:color w:val="000000"/>
        </w:rPr>
        <w:t xml:space="preserve">Rootness is best represented as a multidimensional, boundary-relative classification rather than a universal binary label. Candidate dimensions are dependency reach, constraint reach, intervention asymmetry, observability asymmetry, substitution resistance, recovery dependence, persistence across resets, and sensitivity of downstream models to changes in the candidate.</w:t>
      </w:r>
    </w:p>
    <w:p>
      <w:pPr>
        <w:spacing w:line="360" w:after="210" w:lineRule="auto"/>
      </w:pPr>
      <w:r>
        <w:rPr>
          <w:rFonts w:eastAsia="source serif 4" w:cs="source serif 4" w:ascii="source serif 4" w:hAnsi="source serif 4"/>
          <w:color w:val="000000"/>
        </w:rPr>
        <w:t xml:space="preserve">A candidate should be investigated through controlled interventions where ethical and technically safe: isolate it, delay it, replace it, perturb outputs, withdraw maintenance, corrupt telemetry, or substitute an independent implementation. Causal inference treats interventions and counterfactuals as distinct from passive observation, making it a useful methodological foundation for testing whether a candidate actually controls downstream outcomes [</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color w:val="000000"/>
        </w:rPr>
        <w:t xml:space="preserve">No single score proves ontological rootness. Results should produce a </w:t>
      </w:r>
      <w:r>
        <w:rPr>
          <w:rFonts w:eastAsia="source serif 4" w:cs="source serif 4" w:ascii="source serif 4" w:hAnsi="source serif 4"/>
          <w:b/>
          <w:color w:val="000000"/>
        </w:rPr>
        <w:t xml:space="preserve">root profile</w:t>
      </w:r>
      <w:r>
        <w:rPr>
          <w:rFonts w:eastAsia="source serif 4" w:cs="source serif 4" w:ascii="source serif 4" w:hAnsi="source serif 4"/>
          <w:color w:val="000000"/>
        </w:rPr>
        <w:t xml:space="preserve">: root of what, for which function, within which boundary, under which conditions, observed by whom, and with what alternatives.</w:t>
      </w:r>
    </w:p>
    <w:p>
      <w:pPr>
        <w:spacing w:line="360" w:before="315" w:after="105" w:lineRule="auto"/>
        <w:ind w:left="-30"/>
        <w:jc w:val="left"/>
      </w:pPr>
      <w:bookmarkStart w:id="7" w:name="reality_and_simulation"/>
      <w:r>
        <w:rPr>
          <w:rFonts w:eastAsia="source serif 4" w:cs="source serif 4" w:ascii="source serif 4" w:hAnsi="source serif 4"/>
          <w:b/>
          <w:color w:val="000000"/>
          <w:sz w:val="24"/>
        </w:rPr>
        <w:t xml:space="preserve">Reality and simulation</w:t>
      </w:r>
      <w:bookmarkEnd w:id="7"/>
    </w:p>
    <w:p>
      <w:pPr>
        <w:spacing w:line="360" w:after="210" w:lineRule="auto"/>
      </w:pPr>
      <w:r>
        <w:rPr>
          <w:rFonts w:eastAsia="source serif 4" w:cs="source serif 4" w:ascii="source serif 4" w:hAnsi="source serif 4"/>
          <w:color w:val="000000"/>
        </w:rPr>
        <w:t xml:space="preserve">Known engineered simulations offer privileged ground truth: investigators can inspect host, guest, scheduler, state store, resource allocator, reset functions, and observation channels. These environments permit real tests of whether embedded agents can infer parent structure from constrained observations.</w:t>
      </w:r>
    </w:p>
    <w:p>
      <w:pPr>
        <w:spacing w:line="360" w:after="210" w:lineRule="auto"/>
      </w:pPr>
      <w:r>
        <w:rPr>
          <w:rFonts w:eastAsia="source serif 4" w:cs="source serif 4" w:ascii="source serif 4" w:hAnsi="source serif 4"/>
          <w:color w:val="000000"/>
        </w:rPr>
        <w:t xml:space="preserve">The universal simulation hypothesis is different. Bostrom’s published argument is a conditional trilemma about extinction, posthuman simulation behavior, and the proportion of simulated observers; it is not empirical proof that this world is simulated [</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 Strong versions can become observationally indistinguishable from nonsimulation alternatives, creating a falsifiability and underdetermination problem [</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color w:val="000000"/>
        </w:rPr>
        <w:t xml:space="preserve">The program should therefore test </w:t>
      </w:r>
      <w:r>
        <w:rPr>
          <w:rFonts w:eastAsia="source serif 4" w:cs="source serif 4" w:ascii="source serif 4" w:hAnsi="source serif 4"/>
          <w:b/>
          <w:color w:val="000000"/>
        </w:rPr>
        <w:t xml:space="preserve">specified simulation families</w:t>
      </w:r>
      <w:r>
        <w:rPr>
          <w:rFonts w:eastAsia="source serif 4" w:cs="source serif 4" w:ascii="source serif 4" w:hAnsi="source serif 4"/>
          <w:color w:val="000000"/>
        </w:rPr>
        <w:t xml:space="preserve">, not “simulation” without architecture. A claim such as “this environment uses a discrete lattice that produces signature X” is testable if it states discriminating predictions and rejection conditions. A claim that an undetectable simulator can produce any observation is not empirically discriminating.</w:t>
      </w:r>
    </w:p>
    <w:p>
      <w:pPr>
        <w:spacing w:line="360" w:after="210" w:lineRule="auto"/>
      </w:pPr>
      <w:r>
        <w:rPr>
          <w:rFonts w:eastAsia="source serif 4" w:cs="source serif 4" w:ascii="source serif 4" w:hAnsi="source serif 4"/>
          <w:color w:val="000000"/>
        </w:rPr>
        <w:t xml:space="preserve">“Real” and “simulated” should not be forced into opposites. An environment can be simulated relative to a host while remaining causally effective and experientially real for embedded agents. The research taxonomy should therefore separate existence, implementation medium, causal efficacy, observer experience, dependence, and ontological ultimacy.</w:t>
      </w:r>
    </w:p>
    <w:p>
      <w:pPr>
        <w:spacing w:line="360" w:before="315" w:after="105" w:lineRule="auto"/>
        <w:ind w:left="-30"/>
        <w:jc w:val="left"/>
      </w:pPr>
      <w:bookmarkStart w:id="8" w:name="mapping_under_uncertainty"/>
      <w:r>
        <w:rPr>
          <w:rFonts w:eastAsia="source serif 4" w:cs="source serif 4" w:ascii="source serif 4" w:hAnsi="source serif 4"/>
          <w:b/>
          <w:color w:val="000000"/>
          <w:sz w:val="24"/>
        </w:rPr>
        <w:t xml:space="preserve">Mapping under uncertainty</w:t>
      </w:r>
      <w:bookmarkEnd w:id="8"/>
    </w:p>
    <w:p>
      <w:pPr>
        <w:spacing w:line="360" w:after="210" w:lineRule="auto"/>
      </w:pPr>
      <w:r>
        <w:rPr>
          <w:rFonts w:eastAsia="source serif 4" w:cs="source serif 4" w:ascii="source serif 4" w:hAnsi="source serif 4"/>
          <w:color w:val="000000"/>
        </w:rPr>
        <w:t xml:space="preserve">A reliable map is not necessarily complete. Reliability means that scope, provenance, confidence, validation domain, alternatives, and revision history are explicit. NIST guidance treats uncertainty as a state of knowledge and warns that multiple plausible models may need to be entertained and their model uncertainty propagated [^22].</w:t>
      </w:r>
    </w:p>
    <w:p>
      <w:pPr>
        <w:spacing w:line="360" w:after="210" w:lineRule="auto"/>
      </w:pPr>
      <w:r>
        <w:rPr>
          <w:rFonts w:eastAsia="source serif 4" w:cs="source serif 4" w:ascii="source serif 4" w:hAnsi="source serif 4"/>
          <w:color w:val="000000"/>
        </w:rPr>
        <w:t xml:space="preserve">The proposed Reality-Structure Map should contain:</w:t>
      </w:r>
    </w:p>
    <w:p>
      <w:pPr>
        <w:numPr>
          <w:ilvl w:val="0"/>
          <w:numId w:val="1"/>
        </w:numPr>
        <w:spacing w:line="360" w:before="105" w:after="105" w:lineRule="auto"/>
      </w:pPr>
      <w:r>
        <w:rPr>
          <w:rFonts w:eastAsia="source serif 4" w:cs="source serif 4" w:ascii="source serif 4" w:hAnsi="source serif 4"/>
          <w:color w:val="000000"/>
          <w:sz w:val="21"/>
        </w:rPr>
        <w:t xml:space="preserve">Observation ledger: what was measured, by which instrument, when, and under what conditions.</w:t>
      </w:r>
    </w:p>
    <w:p>
      <w:pPr>
        <w:numPr>
          <w:ilvl w:val="0"/>
          <w:numId w:val="1"/>
        </w:numPr>
        <w:spacing w:line="360" w:before="105" w:after="105" w:lineRule="auto"/>
      </w:pPr>
      <w:r>
        <w:rPr>
          <w:rFonts w:eastAsia="source serif 4" w:cs="source serif 4" w:ascii="source serif 4" w:hAnsi="source serif 4"/>
          <w:color w:val="000000"/>
          <w:sz w:val="21"/>
        </w:rPr>
        <w:t xml:space="preserve">Claim ledger: observation, inference, hypothesis, model assumption, design choice, or speculation.</w:t>
      </w:r>
    </w:p>
    <w:p>
      <w:pPr>
        <w:numPr>
          <w:ilvl w:val="0"/>
          <w:numId w:val="1"/>
        </w:numPr>
        <w:spacing w:line="360" w:before="105" w:after="105" w:lineRule="auto"/>
      </w:pPr>
      <w:r>
        <w:rPr>
          <w:rFonts w:eastAsia="source serif 4" w:cs="source serif 4" w:ascii="source serif 4" w:hAnsi="source serif 4"/>
          <w:color w:val="000000"/>
          <w:sz w:val="21"/>
        </w:rPr>
        <w:t xml:space="preserve">Structure registry: boundaries, elements, relations, constraints, state, behavior, lifecycle, and environment.</w:t>
      </w:r>
    </w:p>
    <w:p>
      <w:pPr>
        <w:numPr>
          <w:ilvl w:val="0"/>
          <w:numId w:val="1"/>
        </w:numPr>
        <w:spacing w:line="360" w:before="105" w:after="105" w:lineRule="auto"/>
      </w:pPr>
      <w:r>
        <w:rPr>
          <w:rFonts w:eastAsia="source serif 4" w:cs="source serif 4" w:ascii="source serif 4" w:hAnsi="source serif 4"/>
          <w:color w:val="000000"/>
          <w:sz w:val="21"/>
        </w:rPr>
        <w:t xml:space="preserve">Root-candidate registry: function-relative root profiles and supporting interventions.</w:t>
      </w:r>
    </w:p>
    <w:p>
      <w:pPr>
        <w:numPr>
          <w:ilvl w:val="0"/>
          <w:numId w:val="1"/>
        </w:numPr>
        <w:spacing w:line="360" w:before="105" w:after="105" w:lineRule="auto"/>
      </w:pPr>
      <w:r>
        <w:rPr>
          <w:rFonts w:eastAsia="source serif 4" w:cs="source serif 4" w:ascii="source serif 4" w:hAnsi="source serif 4"/>
          <w:color w:val="000000"/>
          <w:sz w:val="21"/>
        </w:rPr>
        <w:t xml:space="preserve">Model ensemble: competing models capable of explaining the same evidence.</w:t>
      </w:r>
    </w:p>
    <w:p>
      <w:pPr>
        <w:numPr>
          <w:ilvl w:val="0"/>
          <w:numId w:val="1"/>
        </w:numPr>
        <w:spacing w:line="360" w:before="105" w:after="105" w:lineRule="auto"/>
      </w:pPr>
      <w:r>
        <w:rPr>
          <w:rFonts w:eastAsia="source serif 4" w:cs="source serif 4" w:ascii="source serif 4" w:hAnsi="source serif 4"/>
          <w:color w:val="000000"/>
          <w:sz w:val="21"/>
        </w:rPr>
        <w:t xml:space="preserve">Simulation architecture registry: known or hypothesized host–guest relations, synchronization, permissions, and state transitions.</w:t>
      </w:r>
    </w:p>
    <w:p>
      <w:pPr>
        <w:numPr>
          <w:ilvl w:val="0"/>
          <w:numId w:val="1"/>
        </w:numPr>
        <w:spacing w:line="360" w:before="105" w:after="105" w:lineRule="auto"/>
      </w:pPr>
      <w:r>
        <w:rPr>
          <w:rFonts w:eastAsia="source serif 4" w:cs="source serif 4" w:ascii="source serif 4" w:hAnsi="source serif 4"/>
          <w:color w:val="000000"/>
          <w:sz w:val="21"/>
        </w:rPr>
        <w:t xml:space="preserve">Failure and anomaly ledger: discrepancies without premature causal assignment.</w:t>
      </w:r>
    </w:p>
    <w:p>
      <w:pPr>
        <w:numPr>
          <w:ilvl w:val="0"/>
          <w:numId w:val="1"/>
        </w:numPr>
        <w:spacing w:line="360" w:before="105" w:after="105" w:lineRule="auto"/>
      </w:pPr>
      <w:r>
        <w:rPr>
          <w:rFonts w:eastAsia="source serif 4" w:cs="source serif 4" w:ascii="source serif 4" w:hAnsi="source serif 4"/>
          <w:color w:val="000000"/>
          <w:sz w:val="21"/>
        </w:rPr>
        <w:t xml:space="preserve">Unknowns register: known unknowns, unresolved alternatives, and presently non-testable questions.</w:t>
      </w:r>
    </w:p>
    <w:p>
      <w:pPr>
        <w:numPr>
          <w:ilvl w:val="0"/>
          <w:numId w:val="1"/>
        </w:numPr>
        <w:spacing w:line="360" w:before="105" w:after="105" w:lineRule="auto"/>
      </w:pPr>
      <w:r>
        <w:rPr>
          <w:rFonts w:eastAsia="source serif 4" w:cs="source serif 4" w:ascii="source serif 4" w:hAnsi="source serif 4"/>
          <w:color w:val="000000"/>
          <w:sz w:val="21"/>
        </w:rPr>
        <w:t xml:space="preserve">Testability register: direct empirical, simulation-testable, analogical, philosophical, or presently non-resolvable.</w:t>
      </w:r>
    </w:p>
    <w:p>
      <w:pPr>
        <w:numPr>
          <w:ilvl w:val="0"/>
          <w:numId w:val="1"/>
        </w:numPr>
        <w:spacing w:line="360" w:before="105" w:after="105" w:lineRule="auto"/>
      </w:pPr>
      <w:r>
        <w:rPr>
          <w:rFonts w:eastAsia="source serif 4" w:cs="source serif 4" w:ascii="source serif 4" w:hAnsi="source serif 4"/>
          <w:color w:val="000000"/>
          <w:sz w:val="21"/>
        </w:rPr>
        <w:t xml:space="preserve">Change record: additions, removals, revisions, confidence changes, and dissent.</w:t>
      </w:r>
    </w:p>
    <w:p>
      <w:pPr>
        <w:spacing w:line="360" w:after="210" w:lineRule="auto"/>
      </w:pPr>
      <w:r>
        <w:rPr>
          <w:rFonts w:eastAsia="source serif 4" w:cs="source serif 4" w:ascii="source serif 4" w:hAnsi="source serif 4"/>
          <w:color w:val="000000"/>
        </w:rPr>
        <w:t xml:space="preserve">The map should preserve the difference between observed, inferred, constructed, reported, and hypothesized information. Project governance already contains a compatible principle: admission is not certainty, inference must remain distinguishable from observation, and uncertainty must survive processing [^23].</w:t>
      </w:r>
    </w:p>
    <w:p>
      <w:pPr>
        <w:spacing w:line="360" w:before="315" w:after="105" w:lineRule="auto"/>
        <w:ind w:left="-30"/>
        <w:jc w:val="left"/>
      </w:pPr>
      <w:bookmarkStart w:id="9" w:name="failure_as_an_instrument"/>
      <w:r>
        <w:rPr>
          <w:rFonts w:eastAsia="source serif 4" w:cs="source serif 4" w:ascii="source serif 4" w:hAnsi="source serif 4"/>
          <w:b/>
          <w:color w:val="000000"/>
          <w:sz w:val="24"/>
        </w:rPr>
        <w:t xml:space="preserve">Failure as an instrument</w:t>
      </w:r>
      <w:bookmarkEnd w:id="9"/>
    </w:p>
    <w:p>
      <w:pPr>
        <w:spacing w:line="360" w:after="210" w:lineRule="auto"/>
      </w:pPr>
      <w:r>
        <w:rPr>
          <w:rFonts w:eastAsia="source serif 4" w:cs="source serif 4" w:ascii="source serif 4" w:hAnsi="source serif 4"/>
          <w:color w:val="000000"/>
        </w:rPr>
        <w:t xml:space="preserve">Failure is useful because perturbation reveals hidden dependency, constraint, and recovery structure. It does not reveal ontology automatically. A shared outage can expose a common dependency; it cannot by itself establish that the dependency is the ultimate substrate of reality.</w:t>
      </w:r>
    </w:p>
    <w:p>
      <w:pPr>
        <w:spacing w:line="360" w:after="210" w:lineRule="auto"/>
      </w:pPr>
      <w:r>
        <w:rPr>
          <w:rFonts w:eastAsia="source serif 4" w:cs="source serif 4" w:ascii="source serif 4" w:hAnsi="source serif 4"/>
          <w:color w:val="000000"/>
        </w:rPr>
        <w:t xml:space="preserve">STAMP is relevant because it treats safety as an emergent control property and accidents as failures to enforce constraints across interacting technical and organizational components, rather than always as one linear “root cause” [</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 This cautions the project against assuming a single metaphysical root merely because investigators seek a root cause.</w:t>
      </w:r>
    </w:p>
    <w:p>
      <w:pPr>
        <w:spacing w:line="360" w:after="210" w:lineRule="auto"/>
      </w:pPr>
      <w:r>
        <w:rPr>
          <w:rFonts w:eastAsia="source serif 4" w:cs="source serif 4" w:ascii="source serif 4" w:hAnsi="source serif 4"/>
          <w:color w:val="000000"/>
        </w:rPr>
        <w:t xml:space="preserve">Controlled fault experiments should begin in isolated, reversible environments. Chaos-engineering practice begins with measurable steady state, introduces realistic disturbances, compares control and experimental conditions, and limits blast radius [</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 The project should adapt those principles to research sandboxes, not use them as authorization to interfere with real systems or reality.</w:t>
      </w:r>
    </w:p>
    <w:p>
      <w:pPr>
        <w:spacing w:line="360" w:before="315" w:after="105" w:lineRule="auto"/>
        <w:ind w:left="-30"/>
        <w:jc w:val="left"/>
      </w:pPr>
      <w:bookmarkStart w:id="10" w:name="laboratory_architecture"/>
      <w:r>
        <w:rPr>
          <w:rFonts w:eastAsia="source serif 4" w:cs="source serif 4" w:ascii="source serif 4" w:hAnsi="source serif 4"/>
          <w:b/>
          <w:color w:val="000000"/>
          <w:sz w:val="24"/>
        </w:rPr>
        <w:t xml:space="preserve">Laboratory architecture</w:t>
      </w:r>
      <w:bookmarkEnd w:id="10"/>
    </w:p>
    <w:p>
      <w:pPr>
        <w:spacing w:line="360" w:after="210" w:lineRule="auto"/>
      </w:pPr>
      <w:r>
        <w:rPr>
          <w:rFonts w:eastAsia="source serif 4" w:cs="source serif 4" w:ascii="source serif 4" w:hAnsi="source serif 4"/>
          <w:color w:val="000000"/>
        </w:rPr>
        <w:t xml:space="preserve">The proposed laboratory has six layers:</w:t>
      </w:r>
    </w:p>
    <w:p>
      <w:pPr>
        <w:numPr>
          <w:ilvl w:val="0"/>
          <w:numId w:val="2"/>
        </w:numPr>
        <w:spacing w:line="360" w:before="105" w:after="105" w:lineRule="auto"/>
      </w:pPr>
      <w:r>
        <w:rPr>
          <w:rFonts w:eastAsia="source serif 4" w:cs="source serif 4" w:ascii="source serif 4" w:hAnsi="source serif 4"/>
          <w:b/>
          <w:color w:val="000000"/>
          <w:sz w:val="21"/>
        </w:rPr>
        <w:t xml:space="preserve">Concept laboratory:</w:t>
      </w:r>
      <w:r>
        <w:rPr>
          <w:rFonts w:eastAsia="source serif 4" w:cs="source serif 4" w:ascii="source serif 4" w:hAnsi="source serif 4"/>
          <w:color w:val="000000"/>
          <w:sz w:val="21"/>
        </w:rPr>
        <w:t xml:space="preserve"> Formal vocabularies, ontologies, boundary declarations, causal diagrams, and competing definitions.</w:t>
      </w:r>
    </w:p>
    <w:p>
      <w:pPr>
        <w:numPr>
          <w:ilvl w:val="0"/>
          <w:numId w:val="2"/>
        </w:numPr>
        <w:spacing w:line="360" w:before="105" w:after="105" w:lineRule="auto"/>
      </w:pPr>
      <w:r>
        <w:rPr>
          <w:rFonts w:eastAsia="source serif 4" w:cs="source serif 4" w:ascii="source serif 4" w:hAnsi="source serif 4"/>
          <w:b/>
          <w:color w:val="000000"/>
          <w:sz w:val="21"/>
        </w:rPr>
        <w:t xml:space="preserve">Known-architecture laboratory:</w:t>
      </w:r>
      <w:r>
        <w:rPr>
          <w:rFonts w:eastAsia="source serif 4" w:cs="source serif 4" w:ascii="source serif 4" w:hAnsi="source serif 4"/>
          <w:color w:val="000000"/>
          <w:sz w:val="21"/>
        </w:rPr>
        <w:t xml:space="preserve"> Small deterministic and stochastic systems with complete designer access.</w:t>
      </w:r>
    </w:p>
    <w:p>
      <w:pPr>
        <w:numPr>
          <w:ilvl w:val="0"/>
          <w:numId w:val="2"/>
        </w:numPr>
        <w:spacing w:line="360" w:before="105" w:after="105" w:lineRule="auto"/>
      </w:pPr>
      <w:r>
        <w:rPr>
          <w:rFonts w:eastAsia="source serif 4" w:cs="source serif 4" w:ascii="source serif 4" w:hAnsi="source serif 4"/>
          <w:b/>
          <w:color w:val="000000"/>
          <w:sz w:val="21"/>
        </w:rPr>
        <w:t xml:space="preserve">Nested-simulation laboratory:</w:t>
      </w:r>
      <w:r>
        <w:rPr>
          <w:rFonts w:eastAsia="source serif 4" w:cs="source serif 4" w:ascii="source serif 4" w:hAnsi="source serif 4"/>
          <w:color w:val="000000"/>
          <w:sz w:val="21"/>
        </w:rPr>
        <w:t xml:space="preserve"> Host–guest stacks with intentionally limited embedded observers.</w:t>
      </w:r>
    </w:p>
    <w:p>
      <w:pPr>
        <w:numPr>
          <w:ilvl w:val="0"/>
          <w:numId w:val="2"/>
        </w:numPr>
        <w:spacing w:line="360" w:before="105" w:after="105" w:lineRule="auto"/>
      </w:pPr>
      <w:r>
        <w:rPr>
          <w:rFonts w:eastAsia="source serif 4" w:cs="source serif 4" w:ascii="source serif 4" w:hAnsi="source serif 4"/>
          <w:b/>
          <w:color w:val="000000"/>
          <w:sz w:val="21"/>
        </w:rPr>
        <w:t xml:space="preserve">Digital-twin and empirical-analogue laboratory:</w:t>
      </w:r>
      <w:r>
        <w:rPr>
          <w:rFonts w:eastAsia="source serif 4" w:cs="source serif 4" w:ascii="source serif 4" w:hAnsi="source serif 4"/>
          <w:color w:val="000000"/>
          <w:sz w:val="21"/>
        </w:rPr>
        <w:t xml:space="preserve"> Models synchronized with bounded physical or organizational targets; digital twins can support diagnosis, prediction, optimization, and low-risk design testing [</w:t>
      </w:r>
      <w:r>
        <w:rPr>
          <w:rFonts w:eastAsia="source serif 4" w:cs="source serif 4" w:ascii="source serif 4" w:hAnsi="source serif 4"/>
          <w:color w:val="000000"/>
          <w:sz w:val="21"/>
          <w:vertAlign w:val="superscript"/>
        </w:rPr>
        <w:t xml:space="preserve">28][</w:t>
      </w:r>
      <w:r>
        <w:rPr>
          <w:rFonts w:eastAsia="source serif 4" w:cs="source serif 4" w:ascii="source serif 4" w:hAnsi="source serif 4"/>
          <w:color w:val="000000"/>
          <w:sz w:val="21"/>
        </w:rPr>
        <w:t xml:space="preserve">29].</w:t>
      </w:r>
    </w:p>
    <w:p>
      <w:pPr>
        <w:numPr>
          <w:ilvl w:val="0"/>
          <w:numId w:val="2"/>
        </w:numPr>
        <w:spacing w:line="360" w:before="105" w:after="105" w:lineRule="auto"/>
      </w:pPr>
      <w:r>
        <w:rPr>
          <w:rFonts w:eastAsia="source serif 4" w:cs="source serif 4" w:ascii="source serif 4" w:hAnsi="source serif 4"/>
          <w:b/>
          <w:color w:val="000000"/>
          <w:sz w:val="21"/>
        </w:rPr>
        <w:t xml:space="preserve">Comparative-structure laboratory:</w:t>
      </w:r>
      <w:r>
        <w:rPr>
          <w:rFonts w:eastAsia="source serif 4" w:cs="source serif 4" w:ascii="source serif 4" w:hAnsi="source serif 4"/>
          <w:color w:val="000000"/>
          <w:sz w:val="21"/>
        </w:rPr>
        <w:t xml:space="preserve"> Cross-domain comparison of physical, biological, social, computational, conceptual, virtual, and simulated systems.</w:t>
      </w:r>
    </w:p>
    <w:p>
      <w:pPr>
        <w:numPr>
          <w:ilvl w:val="0"/>
          <w:numId w:val="2"/>
        </w:numPr>
        <w:spacing w:line="360" w:before="105" w:after="105" w:lineRule="auto"/>
      </w:pPr>
      <w:r>
        <w:rPr>
          <w:rFonts w:eastAsia="source serif 4" w:cs="source serif 4" w:ascii="source serif 4" w:hAnsi="source serif 4"/>
          <w:b/>
          <w:color w:val="000000"/>
          <w:sz w:val="21"/>
        </w:rPr>
        <w:t xml:space="preserve">Speculative-model laboratory:</w:t>
      </w:r>
      <w:r>
        <w:rPr>
          <w:rFonts w:eastAsia="source serif 4" w:cs="source serif 4" w:ascii="source serif 4" w:hAnsi="source serif 4"/>
          <w:color w:val="000000"/>
          <w:sz w:val="21"/>
        </w:rPr>
        <w:t xml:space="preserve"> Explicitly labeled exploration of base reality, unknown containing structures, and extra-ontological hypotheses, with no promotion to empirical finding without discriminating evidence.</w:t>
      </w:r>
    </w:p>
    <w:p>
      <w:pPr>
        <w:spacing w:line="360" w:after="210" w:lineRule="auto"/>
      </w:pPr>
      <w:r>
        <w:rPr>
          <w:rFonts w:eastAsia="source serif 4" w:cs="source serif 4" w:ascii="source serif 4" w:hAnsi="source serif 4"/>
          <w:color w:val="000000"/>
        </w:rPr>
        <w:t xml:space="preserve">Every experiment should declare system boundary, observer permissions, ground truth available to investigators, hypotheses, alternative explanations, intervention, control, measured outcomes, stop conditions, uncertainty, and interpretation limits. NASA’s verification-and-validation discipline should govern model claims [</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before="315" w:after="105" w:lineRule="auto"/>
        <w:ind w:left="-30"/>
        <w:jc w:val="left"/>
      </w:pPr>
      <w:bookmarkStart w:id="11" w:name="initial_experiments"/>
      <w:r>
        <w:rPr>
          <w:rFonts w:eastAsia="source serif 4" w:cs="source serif 4" w:ascii="source serif 4" w:hAnsi="source serif 4"/>
          <w:b/>
          <w:color w:val="000000"/>
          <w:sz w:val="24"/>
        </w:rPr>
        <w:t xml:space="preserve">Initial experiments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 Identification Blind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embedded agents distinguish local, parent, shared, telemetry, rule, and no-failure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Accuracy, calibration, localization distance, unknown-rate.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Observational Equivalence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different host architectures generate indistinguishable guest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Equivalence classes and discriminating observations.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Verifier Compromise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happens when the diagnostic channel depends on the candidate being diagnosed?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False assurance rate and independent-witness requirements.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 Migration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essential functions move between foundations while identity and service remain coherent?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Migration conditions, discontinuities, recoverability.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Emergent Root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local interactions produce a global constraint that becomes foundational?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Emergence criteria and intervention sensitivity.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Model-Failure Separation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agents separate world change from sensor, telemetry, and model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Confusion matrix and evidence thresholds.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Lifecycle Withdrawal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do maintenance cessation, resource starvation, state corruption, and rule change propagate?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trajectories and survival/recovery envelopes.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Survival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records of foundational failure survive when the foundation controls state and history?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Witness independence and evidence durability.</w:t>
            </w:r>
          </w:p>
        </w:tc>
      </w:tr>
    </w:tbl>
    <w:p>
      <w:pPr>
        <w:spacing w:lineRule="auto"/>
      </w:pPr>
    </w:p>
    <w:p>
      <w:pPr>
        <w:spacing w:line="360" w:before="315" w:after="105" w:lineRule="auto"/>
        <w:ind w:left="-30"/>
        <w:jc w:val="left"/>
      </w:pPr>
      <w:bookmarkStart w:id="12" w:name="what_works"/>
      <w:r>
        <w:rPr>
          <w:rFonts w:eastAsia="source serif 4" w:cs="source serif 4" w:ascii="source serif 4" w:hAnsi="source serif 4"/>
          <w:b/>
          <w:color w:val="000000"/>
          <w:sz w:val="24"/>
        </w:rPr>
        <w:t xml:space="preserve">What works</w:t>
      </w:r>
      <w:bookmarkEnd w:id="12"/>
    </w:p>
    <w:p>
      <w:pPr>
        <w:spacing w:line="360" w:after="210" w:lineRule="auto"/>
      </w:pPr>
      <w:r>
        <w:rPr>
          <w:rFonts w:eastAsia="source serif 4" w:cs="source serif 4" w:ascii="source serif 4" w:hAnsi="source serif 4"/>
          <w:color w:val="000000"/>
        </w:rPr>
        <w:t xml:space="preserve">The program has a strong interdisciplinary core. Systems engineering supplies boundaries and lifecycles [</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 complexity science supplies emergence and cross-scale organization [</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 causal inference supplies intervention and counterfactual reasoning [^17]; modeling standards supply verification, validation, credibility, and uncertainty [</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 security supplies functional roots of trust and attestation analogies [</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30]; and safety engineering supplies constraint-based, non-linear accounts of failure [^24].</w:t>
      </w:r>
    </w:p>
    <w:p>
      <w:pPr>
        <w:spacing w:line="360" w:after="210" w:lineRule="auto"/>
      </w:pPr>
      <w:r>
        <w:rPr>
          <w:rFonts w:eastAsia="source serif 4" w:cs="source serif 4" w:ascii="source serif 4" w:hAnsi="source serif 4"/>
          <w:color w:val="000000"/>
        </w:rPr>
        <w:t xml:space="preserve">The project’s refusal to claim a complete architecture of existence is a methodological strength. It allows empirically tractable work and speculative exploration to coexist without being assigned the same evidentiary status.</w:t>
      </w:r>
    </w:p>
    <w:p>
      <w:pPr>
        <w:spacing w:line="360" w:before="315" w:after="105" w:lineRule="auto"/>
        <w:ind w:left="-30"/>
        <w:jc w:val="left"/>
      </w:pPr>
      <w:bookmarkStart w:id="13" w:name="what_does_not_work"/>
      <w:r>
        <w:rPr>
          <w:rFonts w:eastAsia="source serif 4" w:cs="source serif 4" w:ascii="source serif 4" w:hAnsi="source serif 4"/>
          <w:b/>
          <w:color w:val="000000"/>
          <w:sz w:val="24"/>
        </w:rPr>
        <w:t xml:space="preserve">What does not work</w:t>
      </w:r>
      <w:bookmarkEnd w:id="13"/>
    </w:p>
    <w:p>
      <w:pPr>
        <w:spacing w:line="360" w:after="210" w:lineRule="auto"/>
      </w:pPr>
      <w:r>
        <w:rPr>
          <w:rFonts w:eastAsia="source serif 4" w:cs="source serif 4" w:ascii="source serif 4" w:hAnsi="source serif 4"/>
          <w:color w:val="000000"/>
        </w:rPr>
        <w:t xml:space="preserve">The project should reject several shortcuts:</w:t>
      </w:r>
    </w:p>
    <w:p>
      <w:pPr>
        <w:numPr>
          <w:ilvl w:val="0"/>
          <w:numId w:val="3"/>
        </w:numPr>
        <w:spacing w:line="360" w:before="105" w:after="105" w:lineRule="auto"/>
      </w:pPr>
      <w:r>
        <w:rPr>
          <w:rFonts w:eastAsia="source serif 4" w:cs="source serif 4" w:ascii="source serif 4" w:hAnsi="source serif 4"/>
          <w:color w:val="000000"/>
          <w:sz w:val="21"/>
        </w:rPr>
        <w:t xml:space="preserve">Labeling a structure “root” because it is first, large, powerful, hidden, or narratively important.</w:t>
      </w:r>
    </w:p>
    <w:p>
      <w:pPr>
        <w:numPr>
          <w:ilvl w:val="0"/>
          <w:numId w:val="3"/>
        </w:numPr>
        <w:spacing w:line="360" w:before="105" w:after="105" w:lineRule="auto"/>
      </w:pPr>
      <w:r>
        <w:rPr>
          <w:rFonts w:eastAsia="source serif 4" w:cs="source serif 4" w:ascii="source serif 4" w:hAnsi="source serif 4"/>
          <w:color w:val="000000"/>
          <w:sz w:val="21"/>
        </w:rPr>
        <w:t xml:space="preserve">Treating “physical,” “real,” “literal,” “virtual,” and “simulated” as mutually exclusive synonyms.</w:t>
      </w:r>
    </w:p>
    <w:p>
      <w:pPr>
        <w:numPr>
          <w:ilvl w:val="0"/>
          <w:numId w:val="3"/>
        </w:numPr>
        <w:spacing w:line="360" w:before="105" w:after="105" w:lineRule="auto"/>
      </w:pPr>
      <w:r>
        <w:rPr>
          <w:rFonts w:eastAsia="source serif 4" w:cs="source serif 4" w:ascii="source serif 4" w:hAnsi="source serif 4"/>
          <w:color w:val="000000"/>
          <w:sz w:val="21"/>
        </w:rPr>
        <w:t xml:space="preserve">Treating unexplained anomalies as evidence of simulation or base-reality compromise.</w:t>
      </w:r>
    </w:p>
    <w:p>
      <w:pPr>
        <w:numPr>
          <w:ilvl w:val="0"/>
          <w:numId w:val="3"/>
        </w:numPr>
        <w:spacing w:line="360" w:before="105" w:after="105" w:lineRule="auto"/>
      </w:pPr>
      <w:r>
        <w:rPr>
          <w:rFonts w:eastAsia="source serif 4" w:cs="source serif 4" w:ascii="source serif 4" w:hAnsi="source serif 4"/>
          <w:color w:val="000000"/>
          <w:sz w:val="21"/>
        </w:rPr>
        <w:t xml:space="preserve">Assuming absence of detected parent control proves base reality.</w:t>
      </w:r>
    </w:p>
    <w:p>
      <w:pPr>
        <w:numPr>
          <w:ilvl w:val="0"/>
          <w:numId w:val="3"/>
        </w:numPr>
        <w:spacing w:line="360" w:before="105" w:after="105" w:lineRule="auto"/>
      </w:pPr>
      <w:r>
        <w:rPr>
          <w:rFonts w:eastAsia="source serif 4" w:cs="source serif 4" w:ascii="source serif 4" w:hAnsi="source serif 4"/>
          <w:color w:val="000000"/>
          <w:sz w:val="21"/>
        </w:rPr>
        <w:t xml:space="preserve">Treating a model’s internal coherence as validation against a target.</w:t>
      </w:r>
    </w:p>
    <w:p>
      <w:pPr>
        <w:numPr>
          <w:ilvl w:val="0"/>
          <w:numId w:val="3"/>
        </w:numPr>
        <w:spacing w:line="360" w:before="105" w:after="105" w:lineRule="auto"/>
      </w:pPr>
      <w:r>
        <w:rPr>
          <w:rFonts w:eastAsia="source serif 4" w:cs="source serif 4" w:ascii="source serif 4" w:hAnsi="source serif 4"/>
          <w:color w:val="000000"/>
          <w:sz w:val="21"/>
        </w:rPr>
        <w:t xml:space="preserve">Assuming one root, one cause, or one level of explanation.</w:t>
      </w:r>
    </w:p>
    <w:p>
      <w:pPr>
        <w:numPr>
          <w:ilvl w:val="0"/>
          <w:numId w:val="3"/>
        </w:numPr>
        <w:spacing w:line="360" w:before="105" w:after="105" w:lineRule="auto"/>
      </w:pPr>
      <w:r>
        <w:rPr>
          <w:rFonts w:eastAsia="source serif 4" w:cs="source serif 4" w:ascii="source serif 4" w:hAnsi="source serif 4"/>
          <w:color w:val="000000"/>
          <w:sz w:val="21"/>
        </w:rPr>
        <w:t xml:space="preserve">Allowing simulated success to establish unrestricted claims about reality.</w:t>
      </w:r>
    </w:p>
    <w:p>
      <w:pPr>
        <w:numPr>
          <w:ilvl w:val="0"/>
          <w:numId w:val="3"/>
        </w:numPr>
        <w:spacing w:line="360" w:before="105" w:after="105" w:lineRule="auto"/>
      </w:pPr>
      <w:r>
        <w:rPr>
          <w:rFonts w:eastAsia="source serif 4" w:cs="source serif 4" w:ascii="source serif 4" w:hAnsi="source serif 4"/>
          <w:color w:val="000000"/>
          <w:sz w:val="21"/>
        </w:rPr>
        <w:t xml:space="preserve">Allowing AI consensus to substitute for evidence or ratification.</w:t>
      </w:r>
    </w:p>
    <w:p>
      <w:pPr>
        <w:spacing w:line="360" w:before="315" w:after="105" w:lineRule="auto"/>
        <w:ind w:left="-30"/>
        <w:jc w:val="left"/>
      </w:pPr>
      <w:bookmarkStart w:id="14" w:name="current_assessment"/>
      <w:r>
        <w:rPr>
          <w:rFonts w:eastAsia="source serif 4" w:cs="source serif 4" w:ascii="source serif 4" w:hAnsi="source serif 4"/>
          <w:b/>
          <w:color w:val="000000"/>
          <w:sz w:val="24"/>
        </w:rPr>
        <w:t xml:space="preserve">Current assessment</w:t>
      </w:r>
      <w:bookmarkEnd w:id="14"/>
    </w:p>
    <w:p>
      <w:pPr>
        <w:spacing w:line="360" w:after="210" w:lineRule="auto"/>
      </w:pPr>
      <w:r>
        <w:rPr>
          <w:rFonts w:eastAsia="source serif 4" w:cs="source serif 4" w:ascii="source serif 4" w:hAnsi="source serif 4"/>
          <w:color w:val="000000"/>
        </w:rPr>
        <w:t xml:space="preserve">The project is now between the concept and defined-framework stages. It has a rich origin prompt, multiple AI interpretations, an existing CFTRL sub-dossier, a clarified parent scope, a strong foundational statement, preliminary terminology, and useful candidate experiments. It does not yet have a ratified ontology, formal evidence standard, implemented laboratory, benchmark corpus, validated metrics, or canon decision.</w:t>
      </w:r>
    </w:p>
    <w:p>
      <w:pPr>
        <w:spacing w:line="360" w:after="210" w:lineRule="auto"/>
      </w:pPr>
      <w:r>
        <w:rPr>
          <w:rFonts w:eastAsia="source serif 4" w:cs="source serif 4" w:ascii="source serif 4" w:hAnsi="source serif 4"/>
          <w:color w:val="000000"/>
        </w:rPr>
        <w:t xml:space="preserve">The existing CFTRL dossier should be preserved unchanged as historical and applied work. It should be reclassified as a downstream sub-dossier rather than rewritten to appear as though the original interpretation never occurred.</w:t>
      </w:r>
    </w:p>
    <w:p>
      <w:pPr>
        <w:spacing w:line="360" w:before="315" w:after="105" w:lineRule="auto"/>
        <w:ind w:left="-30"/>
        <w:jc w:val="left"/>
      </w:pPr>
      <w:bookmarkStart w:id="15" w:name="development_plan"/>
      <w:r>
        <w:rPr>
          <w:rFonts w:eastAsia="source serif 4" w:cs="source serif 4" w:ascii="source serif 4" w:hAnsi="source serif 4"/>
          <w:b/>
          <w:color w:val="000000"/>
          <w:sz w:val="24"/>
        </w:rPr>
        <w:t xml:space="preserve">Development plan</w:t>
      </w:r>
      <w:bookmarkEnd w:id="15"/>
    </w:p>
    <w:p>
      <w:pPr>
        <w:spacing w:line="360" w:before="315" w:after="105" w:lineRule="auto"/>
        <w:ind w:left="-30"/>
        <w:jc w:val="left"/>
      </w:pPr>
      <w:bookmarkStart w:id="16" w:name="phase_0_provenance_lock"/>
      <w:r>
        <w:rPr>
          <w:rFonts w:eastAsia="source serif 4" w:cs="source serif 4" w:ascii="source serif 4" w:hAnsi="source serif 4"/>
          <w:b/>
          <w:color w:val="000000"/>
          <w:sz w:val="24"/>
        </w:rPr>
        <w:t xml:space="preserve">Phase 0 — Provenance lock</w:t>
      </w:r>
      <w:bookmarkEnd w:id="16"/>
    </w:p>
    <w:p>
      <w:pPr>
        <w:spacing w:line="360" w:after="210" w:lineRule="auto"/>
      </w:pPr>
      <w:r>
        <w:rPr>
          <w:rFonts w:eastAsia="source serif 4" w:cs="source serif 4" w:ascii="source serif 4" w:hAnsi="source serif 4"/>
          <w:color w:val="000000"/>
        </w:rPr>
        <w:t xml:space="preserve">Preserve the origin prompt, clarification directive, every AI draft, file hashes, dates, and status labels. Separate author statements from AI interpretations.</w:t>
      </w:r>
    </w:p>
    <w:p>
      <w:pPr>
        <w:spacing w:line="360" w:before="315" w:after="105" w:lineRule="auto"/>
        <w:ind w:left="-30"/>
        <w:jc w:val="left"/>
      </w:pPr>
      <w:bookmarkStart w:id="17" w:name="phase_1_vocabulary_and_scope"/>
      <w:r>
        <w:rPr>
          <w:rFonts w:eastAsia="source serif 4" w:cs="source serif 4" w:ascii="source serif 4" w:hAnsi="source serif 4"/>
          <w:b/>
          <w:color w:val="000000"/>
          <w:sz w:val="24"/>
        </w:rPr>
        <w:t xml:space="preserve">Phase 1 — Vocabulary and scope</w:t>
      </w:r>
      <w:bookmarkEnd w:id="17"/>
    </w:p>
    <w:p>
      <w:pPr>
        <w:spacing w:line="360" w:after="210" w:lineRule="auto"/>
      </w:pPr>
      <w:r>
        <w:rPr>
          <w:rFonts w:eastAsia="source serif 4" w:cs="source serif 4" w:ascii="source serif 4" w:hAnsi="source serif 4"/>
          <w:color w:val="000000"/>
        </w:rPr>
        <w:t xml:space="preserve">Ratify provisional working definitions, define system-boundary syntax, and create the claim/evidence taxonomy. Record disagreements rather than forcing premature consensus.</w:t>
      </w:r>
    </w:p>
    <w:p>
      <w:pPr>
        <w:spacing w:line="360" w:before="315" w:after="105" w:lineRule="auto"/>
        <w:ind w:left="-30"/>
        <w:jc w:val="left"/>
      </w:pPr>
      <w:bookmarkStart w:id="18" w:name="phase_2_mapping_standard"/>
      <w:r>
        <w:rPr>
          <w:rFonts w:eastAsia="source serif 4" w:cs="source serif 4" w:ascii="source serif 4" w:hAnsi="source serif 4"/>
          <w:b/>
          <w:color w:val="000000"/>
          <w:sz w:val="24"/>
        </w:rPr>
        <w:t xml:space="preserve">Phase 2 — Mapping standard</w:t>
      </w:r>
      <w:bookmarkEnd w:id="18"/>
    </w:p>
    <w:p>
      <w:pPr>
        <w:spacing w:line="360" w:after="210" w:lineRule="auto"/>
      </w:pPr>
      <w:r>
        <w:rPr>
          <w:rFonts w:eastAsia="source serif 4" w:cs="source serif 4" w:ascii="source serif 4" w:hAnsi="source serif 4"/>
          <w:color w:val="000000"/>
        </w:rPr>
        <w:t xml:space="preserve">Create templates for structure records, root profiles, reality claims, simulation architectures, failure records, model alternatives, and unknowns.</w:t>
      </w:r>
    </w:p>
    <w:p>
      <w:pPr>
        <w:spacing w:line="360" w:before="315" w:after="105" w:lineRule="auto"/>
        <w:ind w:left="-30"/>
        <w:jc w:val="left"/>
      </w:pPr>
      <w:bookmarkStart w:id="19" w:name="phase_3_laboratory_specification"/>
      <w:r>
        <w:rPr>
          <w:rFonts w:eastAsia="source serif 4" w:cs="source serif 4" w:ascii="source serif 4" w:hAnsi="source serif 4"/>
          <w:b/>
          <w:color w:val="000000"/>
          <w:sz w:val="24"/>
        </w:rPr>
        <w:t xml:space="preserve">Phase 3 — Laboratory specification</w:t>
      </w:r>
      <w:bookmarkEnd w:id="19"/>
    </w:p>
    <w:p>
      <w:pPr>
        <w:spacing w:line="360" w:after="210" w:lineRule="auto"/>
      </w:pPr>
      <w:r>
        <w:rPr>
          <w:rFonts w:eastAsia="source serif 4" w:cs="source serif 4" w:ascii="source serif 4" w:hAnsi="source serif 4"/>
          <w:color w:val="000000"/>
        </w:rPr>
        <w:t xml:space="preserve">Specify software architecture, ground-truth controls, observer permissions, experiment manifests, safety constraints, metrics, and reproducibility requirements.</w:t>
      </w:r>
    </w:p>
    <w:p>
      <w:pPr>
        <w:spacing w:line="360" w:before="315" w:after="105" w:lineRule="auto"/>
        <w:ind w:left="-30"/>
        <w:jc w:val="left"/>
      </w:pPr>
      <w:bookmarkStart w:id="20" w:name="phase_4_pilot_implementation"/>
      <w:r>
        <w:rPr>
          <w:rFonts w:eastAsia="source serif 4" w:cs="source serif 4" w:ascii="source serif 4" w:hAnsi="source serif 4"/>
          <w:b/>
          <w:color w:val="000000"/>
          <w:sz w:val="24"/>
        </w:rPr>
        <w:t xml:space="preserve">Phase 4 — Pilot implementation</w:t>
      </w:r>
      <w:bookmarkEnd w:id="20"/>
    </w:p>
    <w:p>
      <w:pPr>
        <w:spacing w:line="360" w:after="210" w:lineRule="auto"/>
      </w:pPr>
      <w:r>
        <w:rPr>
          <w:rFonts w:eastAsia="source serif 4" w:cs="source serif 4" w:ascii="source serif 4" w:hAnsi="source serif 4"/>
          <w:color w:val="000000"/>
        </w:rPr>
        <w:t xml:space="preserve">Build minimal known-ground-truth systems and run taxonomy calibration, Root Identification Blind Test, Model-Failure Separation Test, and Observational Equivalence Test.</w:t>
      </w:r>
    </w:p>
    <w:p>
      <w:pPr>
        <w:spacing w:line="360" w:before="315" w:after="105" w:lineRule="auto"/>
        <w:ind w:left="-30"/>
        <w:jc w:val="left"/>
      </w:pPr>
      <w:bookmarkStart w:id="21" w:name="phase_5_comparative_expansion"/>
      <w:r>
        <w:rPr>
          <w:rFonts w:eastAsia="source serif 4" w:cs="source serif 4" w:ascii="source serif 4" w:hAnsi="source serif 4"/>
          <w:b/>
          <w:color w:val="000000"/>
          <w:sz w:val="24"/>
        </w:rPr>
        <w:t xml:space="preserve">Phase 5 — Comparative expansion</w:t>
      </w:r>
      <w:bookmarkEnd w:id="21"/>
    </w:p>
    <w:p>
      <w:pPr>
        <w:spacing w:line="360" w:after="210" w:lineRule="auto"/>
      </w:pPr>
      <w:r>
        <w:rPr>
          <w:rFonts w:eastAsia="source serif 4" w:cs="source serif 4" w:ascii="source serif 4" w:hAnsi="source serif 4"/>
          <w:color w:val="000000"/>
        </w:rPr>
        <w:t xml:space="preserve">Add network, biological, organizational, security, and digital-twin analogues. Test which structural dimensions transfer and where analogies fail.</w:t>
      </w:r>
    </w:p>
    <w:p>
      <w:pPr>
        <w:spacing w:line="360" w:before="315" w:after="105" w:lineRule="auto"/>
        <w:ind w:left="-30"/>
        <w:jc w:val="left"/>
      </w:pPr>
      <w:bookmarkStart w:id="22" w:name="phase_6_cftrl_integration"/>
      <w:r>
        <w:rPr>
          <w:rFonts w:eastAsia="source serif 4" w:cs="source serif 4" w:ascii="source serif 4" w:hAnsi="source serif 4"/>
          <w:b/>
          <w:color w:val="000000"/>
          <w:sz w:val="24"/>
        </w:rPr>
        <w:t xml:space="preserve">Phase 6 — CFTRL integration</w:t>
      </w:r>
      <w:bookmarkEnd w:id="22"/>
    </w:p>
    <w:p>
      <w:pPr>
        <w:spacing w:line="360" w:after="210" w:lineRule="auto"/>
      </w:pPr>
      <w:r>
        <w:rPr>
          <w:rFonts w:eastAsia="source serif 4" w:cs="source serif 4" w:ascii="source serif 4" w:hAnsi="source serif 4"/>
          <w:color w:val="000000"/>
        </w:rPr>
        <w:t xml:space="preserve">Use validated results to revise the failure taxonomy, diagnostic protocol, root-attestation problem, lifecycle design principles, and Department of Endings charter.</w:t>
      </w:r>
    </w:p>
    <w:p>
      <w:pPr>
        <w:spacing w:line="360" w:before="315" w:after="105" w:lineRule="auto"/>
        <w:ind w:left="-30"/>
        <w:jc w:val="left"/>
      </w:pPr>
      <w:bookmarkStart w:id="23" w:name="phase_7_review_and_ratification"/>
      <w:r>
        <w:rPr>
          <w:rFonts w:eastAsia="source serif 4" w:cs="source serif 4" w:ascii="source serif 4" w:hAnsi="source serif 4"/>
          <w:b/>
          <w:color w:val="000000"/>
          <w:sz w:val="24"/>
        </w:rPr>
        <w:t xml:space="preserve">Phase 7 — Review and ratification</w:t>
      </w:r>
      <w:bookmarkEnd w:id="23"/>
    </w:p>
    <w:p>
      <w:pPr>
        <w:spacing w:line="360" w:after="210" w:lineRule="auto"/>
      </w:pPr>
      <w:r>
        <w:rPr>
          <w:rFonts w:eastAsia="source serif 4" w:cs="source serif 4" w:ascii="source serif 4" w:hAnsi="source serif 4"/>
          <w:color w:val="000000"/>
        </w:rPr>
        <w:t xml:space="preserve">Conduct independent team reviews, adversarial review, source audit, correction pass, and ONESTAMP decision. Ratification should apply to explicit provisions, not an undifferentiated document bundle.</w:t>
      </w:r>
    </w:p>
    <w:p>
      <w:pPr>
        <w:spacing w:line="360" w:before="315" w:after="105" w:lineRule="auto"/>
        <w:ind w:left="-30"/>
        <w:jc w:val="left"/>
      </w:pPr>
      <w:bookmarkStart w:id="24" w:name="team_operating_model"/>
      <w:r>
        <w:rPr>
          <w:rFonts w:eastAsia="source serif 4" w:cs="source serif 4" w:ascii="source serif 4" w:hAnsi="source serif 4"/>
          <w:b/>
          <w:color w:val="000000"/>
          <w:sz w:val="24"/>
        </w:rPr>
        <w:t xml:space="preserve">Team operating model</w:t>
      </w:r>
      <w:bookmarkEnd w:id="24"/>
    </w:p>
    <w:p>
      <w:pPr>
        <w:spacing w:line="360" w:after="210" w:lineRule="auto"/>
      </w:pPr>
      <w:r>
        <w:rPr>
          <w:rFonts w:eastAsia="source serif 4" w:cs="source serif 4" w:ascii="source serif 4" w:hAnsi="source serif 4"/>
          <w:color w:val="000000"/>
        </w:rPr>
        <w:t xml:space="preserve">The Architect remains the source-of-intent and sole ratification authority under the project’s stated ONESTAMP practice. AI collaborators should produce independent analyses before reading one another where feasible, disclose uncertainty, distinguish evidence from synthesis, and preserve disagreements. The existing project charter’s multi-AI process—independent drafts, exchange, comparison, consensus/divergence log, synthesis, and ratification review—is directly applicable [^23].</w:t>
      </w:r>
    </w:p>
    <w:p>
      <w:pPr>
        <w:spacing w:line="360" w:after="210" w:lineRule="auto"/>
      </w:pPr>
      <w:r>
        <w:rPr>
          <w:rFonts w:eastAsia="source serif 4" w:cs="source serif 4" w:ascii="source serif 4" w:hAnsi="source serif 4"/>
          <w:color w:val="000000"/>
        </w:rPr>
        <w:t xml:space="preserve">Recommended functional roles are research coordinator, provenance custodian, ontology lead, methods lead, simulation lead, evidence auditor, red-team critic, ethics/safety reviewer, synthesis editor, and change-log maintainer. One participant may hold multiple roles, but a model should not be the sole author, validator, and approver of the same claim.</w:t>
      </w:r>
    </w:p>
    <w:p>
      <w:pPr>
        <w:spacing w:line="360" w:before="315" w:after="105" w:lineRule="auto"/>
        <w:ind w:left="-30"/>
        <w:jc w:val="left"/>
      </w:pPr>
      <w:bookmarkStart w:id="25" w:name="success_criteria"/>
      <w:r>
        <w:rPr>
          <w:rFonts w:eastAsia="source serif 4" w:cs="source serif 4" w:ascii="source serif 4" w:hAnsi="source serif 4"/>
          <w:b/>
          <w:color w:val="000000"/>
          <w:sz w:val="24"/>
        </w:rPr>
        <w:t xml:space="preserve">Success criteria</w:t>
      </w:r>
      <w:bookmarkEnd w:id="25"/>
    </w:p>
    <w:p>
      <w:pPr>
        <w:spacing w:line="360" w:after="210" w:lineRule="auto"/>
      </w:pPr>
      <w:r>
        <w:rPr>
          <w:rFonts w:eastAsia="source serif 4" w:cs="source serif 4" w:ascii="source serif 4" w:hAnsi="source serif 4"/>
          <w:color w:val="000000"/>
        </w:rPr>
        <w:t xml:space="preserve">The first successful release does not need to identify base reality. It should:</w:t>
      </w:r>
    </w:p>
    <w:p>
      <w:pPr>
        <w:numPr>
          <w:ilvl w:val="0"/>
          <w:numId w:val="4"/>
        </w:numPr>
        <w:spacing w:line="360" w:before="105" w:after="105" w:lineRule="auto"/>
      </w:pPr>
      <w:r>
        <w:rPr>
          <w:rFonts w:eastAsia="source serif 4" w:cs="source serif 4" w:ascii="source serif 4" w:hAnsi="source serif 4"/>
          <w:color w:val="000000"/>
          <w:sz w:val="21"/>
        </w:rPr>
        <w:t xml:space="preserve">Define terms without hiding disagreement.</w:t>
      </w:r>
    </w:p>
    <w:p>
      <w:pPr>
        <w:numPr>
          <w:ilvl w:val="0"/>
          <w:numId w:val="4"/>
        </w:numPr>
        <w:spacing w:line="360" w:before="105" w:after="105" w:lineRule="auto"/>
      </w:pPr>
      <w:r>
        <w:rPr>
          <w:rFonts w:eastAsia="source serif 4" w:cs="source serif 4" w:ascii="source serif 4" w:hAnsi="source serif 4"/>
          <w:color w:val="000000"/>
          <w:sz w:val="21"/>
        </w:rPr>
        <w:t xml:space="preserve">Represent multiple kinds of roots without conflation.</w:t>
      </w:r>
    </w:p>
    <w:p>
      <w:pPr>
        <w:numPr>
          <w:ilvl w:val="0"/>
          <w:numId w:val="4"/>
        </w:numPr>
        <w:spacing w:line="360" w:before="105" w:after="105" w:lineRule="auto"/>
      </w:pPr>
      <w:r>
        <w:rPr>
          <w:rFonts w:eastAsia="source serif 4" w:cs="source serif 4" w:ascii="source serif 4" w:hAnsi="source serif 4"/>
          <w:color w:val="000000"/>
          <w:sz w:val="21"/>
        </w:rPr>
        <w:t xml:space="preserve">Build provisional maps that preserve uncertainty and alternatives.</w:t>
      </w:r>
    </w:p>
    <w:p>
      <w:pPr>
        <w:numPr>
          <w:ilvl w:val="0"/>
          <w:numId w:val="4"/>
        </w:numPr>
        <w:spacing w:line="360" w:before="105" w:after="105" w:lineRule="auto"/>
      </w:pPr>
      <w:r>
        <w:rPr>
          <w:rFonts w:eastAsia="source serif 4" w:cs="source serif 4" w:ascii="source serif 4" w:hAnsi="source serif 4"/>
          <w:color w:val="000000"/>
          <w:sz w:val="21"/>
        </w:rPr>
        <w:t xml:space="preserve">Demonstrate repeatable root-identification experiments in known systems.</w:t>
      </w:r>
    </w:p>
    <w:p>
      <w:pPr>
        <w:numPr>
          <w:ilvl w:val="0"/>
          <w:numId w:val="4"/>
        </w:numPr>
        <w:spacing w:line="360" w:before="105" w:after="105" w:lineRule="auto"/>
      </w:pPr>
      <w:r>
        <w:rPr>
          <w:rFonts w:eastAsia="source serif 4" w:cs="source serif 4" w:ascii="source serif 4" w:hAnsi="source serif 4"/>
          <w:color w:val="000000"/>
          <w:sz w:val="21"/>
        </w:rPr>
        <w:t xml:space="preserve">Quantify diagnostic accuracy and calibration.</w:t>
      </w:r>
    </w:p>
    <w:p>
      <w:pPr>
        <w:numPr>
          <w:ilvl w:val="0"/>
          <w:numId w:val="4"/>
        </w:numPr>
        <w:spacing w:line="360" w:before="105" w:after="105" w:lineRule="auto"/>
      </w:pPr>
      <w:r>
        <w:rPr>
          <w:rFonts w:eastAsia="source serif 4" w:cs="source serif 4" w:ascii="source serif 4" w:hAnsi="source serif 4"/>
          <w:color w:val="000000"/>
          <w:sz w:val="21"/>
        </w:rPr>
        <w:t xml:space="preserve">Show at least one observational-equivalence case and state what evidence would discriminate it.</w:t>
      </w:r>
    </w:p>
    <w:p>
      <w:pPr>
        <w:numPr>
          <w:ilvl w:val="0"/>
          <w:numId w:val="4"/>
        </w:numPr>
        <w:spacing w:line="360" w:before="105" w:after="105" w:lineRule="auto"/>
      </w:pPr>
      <w:r>
        <w:rPr>
          <w:rFonts w:eastAsia="source serif 4" w:cs="source serif 4" w:ascii="source serif 4" w:hAnsi="source serif 4"/>
          <w:color w:val="000000"/>
          <w:sz w:val="21"/>
        </w:rPr>
        <w:t xml:space="preserve">Demonstrate model verification and bounded validation.</w:t>
      </w:r>
    </w:p>
    <w:p>
      <w:pPr>
        <w:numPr>
          <w:ilvl w:val="0"/>
          <w:numId w:val="4"/>
        </w:numPr>
        <w:spacing w:line="360" w:before="105" w:after="105" w:lineRule="auto"/>
      </w:pPr>
      <w:r>
        <w:rPr>
          <w:rFonts w:eastAsia="source serif 4" w:cs="source serif 4" w:ascii="source serif 4" w:hAnsi="source serif 4"/>
          <w:color w:val="000000"/>
          <w:sz w:val="21"/>
        </w:rPr>
        <w:t xml:space="preserve">Preserve source provenance and historical drafts.</w:t>
      </w:r>
    </w:p>
    <w:p>
      <w:pPr>
        <w:numPr>
          <w:ilvl w:val="0"/>
          <w:numId w:val="4"/>
        </w:numPr>
        <w:spacing w:line="360" w:before="105" w:after="105" w:lineRule="auto"/>
      </w:pPr>
      <w:r>
        <w:rPr>
          <w:rFonts w:eastAsia="source serif 4" w:cs="source serif 4" w:ascii="source serif 4" w:hAnsi="source serif 4"/>
          <w:color w:val="000000"/>
          <w:sz w:val="21"/>
        </w:rPr>
        <w:t xml:space="preserve">Produce documented negative results and testability boundaries.</w:t>
      </w:r>
    </w:p>
    <w:p>
      <w:pPr>
        <w:numPr>
          <w:ilvl w:val="0"/>
          <w:numId w:val="4"/>
        </w:numPr>
        <w:spacing w:line="360" w:before="105" w:after="105" w:lineRule="auto"/>
      </w:pPr>
      <w:r>
        <w:rPr>
          <w:rFonts w:eastAsia="source serif 4" w:cs="source serif 4" w:ascii="source serif 4" w:hAnsi="source serif 4"/>
          <w:color w:val="000000"/>
          <w:sz w:val="21"/>
        </w:rPr>
        <w:t xml:space="preserve">Feed validated findings into CFTRL without making CFTRL the parent framework.</w:t>
      </w:r>
    </w:p>
    <w:p>
      <w:pPr>
        <w:spacing w:line="360" w:before="315" w:after="105" w:lineRule="auto"/>
        <w:ind w:left="-30"/>
        <w:jc w:val="left"/>
      </w:pPr>
      <w:bookmarkStart w:id="26" w:name="governing_conclusion"/>
      <w:r>
        <w:rPr>
          <w:rFonts w:eastAsia="source serif 4" w:cs="source serif 4" w:ascii="source serif 4" w:hAnsi="source serif 4"/>
          <w:b/>
          <w:color w:val="000000"/>
          <w:sz w:val="24"/>
        </w:rPr>
        <w:t xml:space="preserve">Governing conclusion</w:t>
      </w:r>
      <w:bookmarkEnd w:id="26"/>
    </w:p>
    <w:p>
      <w:pPr>
        <w:spacing w:line="360" w:after="210" w:lineRule="auto"/>
      </w:pPr>
      <w:r>
        <w:rPr>
          <w:rFonts w:eastAsia="source serif 4" w:cs="source serif 4" w:ascii="source serif 4" w:hAnsi="source serif 4"/>
          <w:color w:val="000000"/>
        </w:rPr>
        <w:t xml:space="preserve">The central product is not a declaration of reality’s architecture. It is a disciplined framework for asking what structures are present, which relations are supported by evidence, what remains model-dependent, which foundations are operationally identifiable, how simulations can test limited claims, and how failure can expose dependency without being mistaken for proof of ontology.</w:t>
      </w:r>
    </w:p>
    <w:p>
      <w:pPr>
        <w:spacing w:line="360" w:after="210" w:lineRule="auto"/>
      </w:pPr>
      <w:r>
        <w:rPr>
          <w:rFonts w:eastAsia="source serif 4" w:cs="source serif 4" w:ascii="source serif 4" w:hAnsi="source serif 4"/>
          <w:color w:val="000000"/>
        </w:rPr>
        <w:t xml:space="preserve">That framework gives CFTRL a defensible foundation. It also produces independent value for simulation design, reality-model lifecycle management, digital twins, complex-system maintenance, epistemic integrity, resilience, and responsible treatment of unknowns.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5"/>
        </w:numPr>
        <w:spacing w:line="360" w:after="210" w:lineRule="auto"/>
      </w:pPr>
      <w:hyperlink r:id="rId5">
        <w:r>
          <w:rPr>
            <w:rFonts w:eastAsia="source sans 3" w:cs="source sans 3" w:ascii="source sans 3" w:hAnsi="source sans 3"/>
            <w:color w:val="#000"/>
            <w:sz w:val="21"/>
            <w:u w:val="single"/>
          </w:rPr>
          <w:t xml:space="preserve">INCOSE Systems Engineering Handbook [5 ed.] 2023022915, 9781119814290, 9781119814306, 9781119814313 - DOKUMEN.PUB</w:t>
        </w:r>
      </w:hyperlink>
      <w:r>
        <w:rPr>
          <w:rFonts w:eastAsia="source serif 4" w:cs="source serif 4" w:ascii="source serif 4" w:hAnsi="source serif 4"/>
          <w:color w:val="000000"/>
          <w:sz w:val="21"/>
        </w:rPr>
        <w:t xml:space="preserve"> - A comprehensive reference on the discipline and practice of systems engineeringSystems engineering p...</w:t>
      </w:r>
    </w:p>
    <w:p>
      <w:pPr>
        <w:numPr>
          <w:ilvl w:val="0"/>
          <w:numId w:val="5"/>
        </w:numPr>
        <w:spacing w:line="360" w:after="210" w:lineRule="auto"/>
      </w:pPr>
      <w:hyperlink r:id="rId6">
        <w:r>
          <w:rPr>
            <w:rFonts w:eastAsia="source sans 3" w:cs="source sans 3" w:ascii="source sans 3" w:hAnsi="source sans 3"/>
            <w:color w:val="#000"/>
            <w:sz w:val="21"/>
            <w:u w:val="single"/>
          </w:rPr>
          <w:t xml:space="preserve">About Systems Engineering</w:t>
        </w:r>
      </w:hyperlink>
      <w:r>
        <w:rPr>
          <w:rFonts w:eastAsia="source serif 4" w:cs="source serif 4" w:ascii="source serif 4" w:hAnsi="source serif 4"/>
          <w:color w:val="000000"/>
          <w:sz w:val="21"/>
        </w:rPr>
        <w:t xml:space="preserve"> - General Definition. A system is a set of elements that work together to produce results that the ind...</w:t>
      </w:r>
    </w:p>
    <w:p>
      <w:pPr>
        <w:numPr>
          <w:ilvl w:val="0"/>
          <w:numId w:val="5"/>
        </w:numPr>
        <w:spacing w:line="360" w:after="210" w:lineRule="auto"/>
      </w:pPr>
      <w:hyperlink r:id="rId7">
        <w:r>
          <w:rPr>
            <w:rFonts w:eastAsia="source sans 3" w:cs="source sans 3" w:ascii="source sans 3" w:hAnsi="source sans 3"/>
            <w:color w:val="#000"/>
            <w:sz w:val="21"/>
            <w:u w:val="single"/>
          </w:rPr>
          <w:t xml:space="preserve">Emergence, (Self)Organization, and Complexity</w:t>
        </w:r>
      </w:hyperlink>
      <w:r>
        <w:rPr>
          <w:rFonts w:eastAsia="source serif 4" w:cs="source serif 4" w:ascii="source serif 4" w:hAnsi="source serif 4"/>
          <w:color w:val="000000"/>
          <w:sz w:val="21"/>
        </w:rPr>
        <w:t xml:space="preserve"> - Tune in for the live stream on YouTube or Twitter. Abstract: In this second talk on balance, I will ...</w:t>
      </w:r>
    </w:p>
    <w:p>
      <w:pPr>
        <w:numPr>
          <w:ilvl w:val="0"/>
          <w:numId w:val="5"/>
        </w:numPr>
        <w:spacing w:line="360" w:after="210" w:lineRule="auto"/>
      </w:pPr>
      <w:hyperlink r:id="rId8">
        <w:r>
          <w:rPr>
            <w:rFonts w:eastAsia="source sans 3" w:cs="source sans 3" w:ascii="source sans 3" w:hAnsi="source sans 3"/>
            <w:color w:val="#000"/>
            <w:sz w:val="21"/>
            <w:u w:val="single"/>
          </w:rPr>
          <w:t xml:space="preserve">Emergence, Self-Organization, and Social Interaction</w:t>
        </w:r>
      </w:hyperlink>
      <w:r>
        <w:rPr>
          <w:rFonts w:eastAsia="source serif 4" w:cs="source serif 4" w:ascii="source serif 4" w:hAnsi="source serif 4"/>
          <w:color w:val="000000"/>
          <w:sz w:val="21"/>
        </w:rPr>
        <w:t xml:space="preserve"> - Welcome to Santa Fe Institute.</w:t>
      </w:r>
    </w:p>
    <w:p>
      <w:pPr>
        <w:numPr>
          <w:ilvl w:val="0"/>
          <w:numId w:val="5"/>
        </w:numPr>
        <w:spacing w:line="360" w:after="210" w:lineRule="auto"/>
      </w:pPr>
      <w:hyperlink r:id="rId9">
        <w:r>
          <w:rPr>
            <w:rFonts w:eastAsia="source sans 3" w:cs="source sans 3" w:ascii="source sans 3" w:hAnsi="source sans 3"/>
            <w:color w:val="#000"/>
            <w:sz w:val="21"/>
            <w:u w:val="single"/>
          </w:rPr>
          <w:t xml:space="preserve">Models in Science - Stanford Encyclopedia of Philosophy</w:t>
        </w:r>
      </w:hyperlink>
    </w:p>
    <w:p>
      <w:pPr>
        <w:numPr>
          <w:ilvl w:val="0"/>
          <w:numId w:val="5"/>
        </w:numPr>
        <w:spacing w:line="360" w:after="210" w:lineRule="auto"/>
      </w:pPr>
      <w:hyperlink r:id="rId10">
        <w:r>
          <w:rPr>
            <w:rFonts w:eastAsia="source sans 3" w:cs="source sans 3" w:ascii="source sans 3" w:hAnsi="source sans 3"/>
            <w:color w:val="#000"/>
            <w:sz w:val="21"/>
            <w:u w:val="single"/>
          </w:rPr>
          <w:t xml:space="preserve">STANDARD FOR MODELS AND SIMULATIONS - NASA</w:t>
        </w:r>
      </w:hyperlink>
    </w:p>
    <w:p>
      <w:pPr>
        <w:numPr>
          <w:ilvl w:val="0"/>
          <w:numId w:val="5"/>
        </w:numPr>
        <w:spacing w:line="360" w:after="210" w:lineRule="auto"/>
      </w:pPr>
      <w:hyperlink r:id="rId11">
        <w:r>
          <w:rPr>
            <w:rFonts w:eastAsia="source sans 3" w:cs="source sans 3" w:ascii="source sans 3" w:hAnsi="source sans 3"/>
            <w:color w:val="#000"/>
            <w:sz w:val="21"/>
            <w:u w:val="single"/>
          </w:rPr>
          <w:t xml:space="preserve">FAQ</w:t>
        </w:r>
      </w:hyperlink>
    </w:p>
    <w:p>
      <w:pPr>
        <w:numPr>
          <w:ilvl w:val="0"/>
          <w:numId w:val="5"/>
        </w:numPr>
        <w:spacing w:line="360" w:after="210" w:lineRule="auto"/>
      </w:pPr>
      <w:hyperlink r:id="rId12">
        <w:r>
          <w:rPr>
            <w:rFonts w:eastAsia="source sans 3" w:cs="source sans 3" w:ascii="source sans 3" w:hAnsi="source sans 3"/>
            <w:color w:val="#000"/>
            <w:sz w:val="21"/>
            <w:u w:val="single"/>
          </w:rPr>
          <w:t xml:space="preserve">Scientific Underdetermination</w:t>
        </w:r>
      </w:hyperlink>
    </w:p>
    <w:p>
      <w:pPr>
        <w:numPr>
          <w:ilvl w:val="0"/>
          <w:numId w:val="5"/>
        </w:numPr>
        <w:spacing w:line="360" w:after="210" w:lineRule="auto"/>
      </w:pPr>
      <w:hyperlink r:id="rId13">
        <w:r>
          <w:rPr>
            <w:rFonts w:eastAsia="source sans 3" w:cs="source sans 3" w:ascii="source sans 3" w:hAnsi="source sans 3"/>
            <w:color w:val="#000"/>
            <w:sz w:val="21"/>
            <w:u w:val="single"/>
          </w:rPr>
          <w:t xml:space="preserve">Structural Realism - Stanford Encyclopedia of Philosophy</w:t>
        </w:r>
      </w:hyperlink>
    </w:p>
    <w:p>
      <w:pPr>
        <w:numPr>
          <w:ilvl w:val="0"/>
          <w:numId w:val="5"/>
        </w:numPr>
        <w:spacing w:line="360" w:after="210" w:lineRule="auto"/>
      </w:pPr>
      <w:hyperlink r:id="rId14">
        <w:r>
          <w:rPr>
            <w:rFonts w:eastAsia="source sans 3" w:cs="source sans 3" w:ascii="source sans 3" w:hAnsi="source sans 3"/>
            <w:color w:val="#000"/>
            <w:sz w:val="21"/>
            <w:u w:val="single"/>
          </w:rPr>
          <w:t xml:space="preserve">Realism and Theory Change in Science</w:t>
        </w:r>
      </w:hyperlink>
    </w:p>
    <w:p>
      <w:pPr>
        <w:numPr>
          <w:ilvl w:val="0"/>
          <w:numId w:val="5"/>
        </w:numPr>
        <w:spacing w:line="360" w:after="210" w:lineRule="auto"/>
      </w:pPr>
      <w:hyperlink r:id="rId15">
        <w:r>
          <w:rPr>
            <w:rFonts w:eastAsia="source sans 3" w:cs="source sans 3" w:ascii="source sans 3" w:hAnsi="source sans 3"/>
            <w:color w:val="#000"/>
            <w:sz w:val="21"/>
            <w:u w:val="single"/>
          </w:rPr>
          <w:t xml:space="preserve">Security and Trust Considerations for Digital Twin Technology</w:t>
        </w:r>
      </w:hyperlink>
    </w:p>
    <w:p>
      <w:pPr>
        <w:numPr>
          <w:ilvl w:val="0"/>
          <w:numId w:val="5"/>
        </w:numPr>
        <w:spacing w:line="360" w:after="210" w:lineRule="auto"/>
      </w:pPr>
      <w:hyperlink r:id="rId16">
        <w:r>
          <w:rPr>
            <w:rFonts w:eastAsia="source sans 3" w:cs="source sans 3" w:ascii="source sans 3" w:hAnsi="source sans 3"/>
            <w:color w:val="#000"/>
            <w:sz w:val="21"/>
            <w:u w:val="single"/>
          </w:rPr>
          <w:t xml:space="preserve">Digital Twins Workshops Summary Report - nvlpubs.nist.gov</w:t>
        </w:r>
      </w:hyperlink>
    </w:p>
    <w:p>
      <w:pPr>
        <w:numPr>
          <w:ilvl w:val="0"/>
          <w:numId w:val="5"/>
        </w:numPr>
        <w:spacing w:line="360" w:after="210" w:lineRule="auto"/>
      </w:pPr>
      <w:hyperlink r:id="rId17">
        <w:r>
          <w:rPr>
            <w:rFonts w:eastAsia="source sans 3" w:cs="source sans 3" w:ascii="source sans 3" w:hAnsi="source sans 3"/>
            <w:color w:val="#000"/>
            <w:sz w:val="21"/>
            <w:u w:val="single"/>
          </w:rPr>
          <w:t xml:space="preserve">Reality+: Virtual Worlds and the Problems of Philosophy - Google Play</w:t>
        </w:r>
      </w:hyperlink>
      <w:r>
        <w:rPr>
          <w:rFonts w:eastAsia="source serif 4" w:cs="source serif 4" w:ascii="source serif 4" w:hAnsi="source serif 4"/>
          <w:color w:val="000000"/>
          <w:sz w:val="21"/>
        </w:rPr>
        <w:t xml:space="preserve"> - Reality+: Virtual Worlds and the Problems of Philosophy - Ebook written by David J. Chalmers. Read t...</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Reality+ - David Chalmers</w:t>
        </w:r>
      </w:hyperlink>
    </w:p>
    <w:p>
      <w:pPr>
        <w:numPr>
          <w:ilvl w:val="0"/>
          <w:numId w:val="5"/>
        </w:numPr>
        <w:spacing w:line="360" w:after="210" w:lineRule="auto"/>
      </w:pPr>
      <w:hyperlink r:id="rId19">
        <w:r>
          <w:rPr>
            <w:rFonts w:eastAsia="source sans 3" w:cs="source sans 3" w:ascii="source sans 3" w:hAnsi="source sans 3"/>
            <w:color w:val="#000"/>
            <w:sz w:val="21"/>
            <w:u w:val="single"/>
          </w:rPr>
          <w:t xml:space="preserve">Hardware root of trust - Glossary - NIST CSRC</w:t>
        </w:r>
      </w:hyperlink>
      <w:r>
        <w:rPr>
          <w:rFonts w:eastAsia="source serif 4" w:cs="source serif 4" w:ascii="source serif 4" w:hAnsi="source serif 4"/>
          <w:color w:val="000000"/>
          <w:sz w:val="21"/>
        </w:rPr>
        <w:t xml:space="preserve"> - CSRC Home Page</w:t>
      </w:r>
    </w:p>
    <w:p>
      <w:pPr>
        <w:numPr>
          <w:ilvl w:val="0"/>
          <w:numId w:val="5"/>
        </w:numPr>
        <w:spacing w:line="360" w:after="210" w:lineRule="auto"/>
      </w:pPr>
      <w:hyperlink r:id="rId20">
        <w:r>
          <w:rPr>
            <w:rFonts w:eastAsia="source sans 3" w:cs="source sans 3" w:ascii="source sans 3" w:hAnsi="source sans 3"/>
            <w:color w:val="#000"/>
            <w:sz w:val="21"/>
            <w:u w:val="single"/>
          </w:rPr>
          <w:t xml:space="preserve">Roots of Trust | CSRC - NIST Computer Security Resource Center</w:t>
        </w:r>
      </w:hyperlink>
      <w:r>
        <w:rPr>
          <w:rFonts w:eastAsia="source serif 4" w:cs="source serif 4" w:ascii="source serif 4" w:hAnsi="source serif 4"/>
          <w:color w:val="000000"/>
          <w:sz w:val="21"/>
        </w:rPr>
        <w:t xml:space="preserve"> - Modern computing devices consist of various hardware, firmware, and software components at multiple ...</w:t>
      </w:r>
    </w:p>
    <w:p>
      <w:pPr>
        <w:numPr>
          <w:ilvl w:val="0"/>
          <w:numId w:val="5"/>
        </w:numPr>
        <w:spacing w:line="360" w:after="210" w:lineRule="auto"/>
      </w:pPr>
      <w:hyperlink r:id="rId21">
        <w:r>
          <w:rPr>
            <w:rFonts w:eastAsia="source sans 3" w:cs="source sans 3" w:ascii="source sans 3" w:hAnsi="source sans 3"/>
            <w:color w:val="#000"/>
            <w:sz w:val="21"/>
            <w:u w:val="single"/>
          </w:rPr>
          <w:t xml:space="preserve">WHAT IS CAUSAL INFERENCE</w:t>
        </w:r>
      </w:hyperlink>
    </w:p>
    <w:p>
      <w:pPr>
        <w:numPr>
          <w:ilvl w:val="0"/>
          <w:numId w:val="5"/>
        </w:numPr>
        <w:spacing w:line="360" w:after="210" w:lineRule="auto"/>
      </w:pPr>
      <w:hyperlink r:id="rId22">
        <w:r>
          <w:rPr>
            <w:rFonts w:eastAsia="source sans 3" w:cs="source sans 3" w:ascii="source sans 3" w:hAnsi="source sans 3"/>
            <w:color w:val="#000"/>
            <w:sz w:val="21"/>
            <w:u w:val="single"/>
          </w:rPr>
          <w:t xml:space="preserve">CAUSALITY by Judea Pearl - University of California, Los Angeles</w:t>
        </w:r>
      </w:hyperlink>
    </w:p>
    <w:p>
      <w:pPr>
        <w:numPr>
          <w:ilvl w:val="0"/>
          <w:numId w:val="5"/>
        </w:numPr>
        <w:spacing w:line="360" w:after="210" w:lineRule="auto"/>
      </w:pPr>
      <w:hyperlink r:id="rId23">
        <w:r>
          <w:rPr>
            <w:rFonts w:eastAsia="source sans 3" w:cs="source sans 3" w:ascii="source sans 3" w:hAnsi="source sans 3"/>
            <w:color w:val="#000"/>
            <w:sz w:val="21"/>
            <w:u w:val="single"/>
          </w:rPr>
          <w:t xml:space="preserve">Are We Living in a Computer Simulation - scalar.usc.edu</w:t>
        </w:r>
      </w:hyperlink>
    </w:p>
    <w:p>
      <w:pPr>
        <w:numPr>
          <w:ilvl w:val="0"/>
          <w:numId w:val="5"/>
        </w:numPr>
        <w:spacing w:line="360" w:after="210" w:lineRule="auto"/>
      </w:pPr>
      <w:hyperlink r:id="rId24">
        <w:r>
          <w:rPr>
            <w:rFonts w:eastAsia="source sans 3" w:cs="source sans 3" w:ascii="source sans 3" w:hAnsi="source sans 3"/>
            <w:color w:val="#000"/>
            <w:sz w:val="21"/>
            <w:u w:val="single"/>
          </w:rPr>
          <w:t xml:space="preserve">Are We Living in a Computer Simulation? - Oxford Academic</w:t>
        </w:r>
      </w:hyperlink>
      <w:r>
        <w:rPr>
          <w:rFonts w:eastAsia="source serif 4" w:cs="source serif 4" w:ascii="source serif 4" w:hAnsi="source serif 4"/>
          <w:color w:val="000000"/>
          <w:sz w:val="21"/>
        </w:rPr>
        <w:t xml:space="preserve"> - Abstract. I argue that at least one of the following propositions is true: (1) the human species is ...</w:t>
      </w:r>
    </w:p>
    <w:p>
      <w:pPr>
        <w:numPr>
          <w:ilvl w:val="0"/>
          <w:numId w:val="5"/>
        </w:numPr>
        <w:spacing w:line="360" w:after="210" w:lineRule="auto"/>
      </w:pPr>
      <w:hyperlink r:id="rId25">
        <w:r>
          <w:rPr>
            <w:rFonts w:eastAsia="source sans 3" w:cs="source sans 3" w:ascii="source sans 3" w:hAnsi="source sans 3"/>
            <w:color w:val="#000"/>
            <w:sz w:val="21"/>
            <w:u w:val="single"/>
          </w:rPr>
          <w:t xml:space="preserve">[PDF] A Critical Engagement of Bostrom's Computer Simulation Hypothesis</w:t>
        </w:r>
      </w:hyperlink>
    </w:p>
    <w:p>
      <w:pPr>
        <w:numPr>
          <w:ilvl w:val="0"/>
          <w:numId w:val="5"/>
        </w:numPr>
        <w:spacing w:line="360" w:after="210" w:lineRule="auto"/>
      </w:pPr>
      <w:hyperlink r:id="rId26">
        <w:r>
          <w:rPr>
            <w:rFonts w:eastAsia="source sans 3" w:cs="source sans 3" w:ascii="source sans 3" w:hAnsi="source sans 3"/>
            <w:color w:val="#000"/>
            <w:sz w:val="21"/>
            <w:u w:val="single"/>
          </w:rPr>
          <w:t xml:space="preserve">[PDF] Simple Guide for Evaluating and Expressing the Uncertainty of NIST ...</w:t>
        </w:r>
      </w:hyperlink>
    </w:p>
    <w:p>
      <w:pPr>
        <w:numPr>
          <w:ilvl w:val="0"/>
          <w:numId w:val="5"/>
        </w:numPr>
        <w:spacing w:line="360" w:after="210" w:lineRule="auto"/>
      </w:pPr>
      <w:hyperlink r:id="rId27">
        <w:r>
          <w:rPr>
            <w:rFonts w:eastAsia="source sans 3" w:cs="source sans 3" w:ascii="source sans 3" w:hAnsi="source sans 3"/>
            <w:color w:val="#000"/>
            <w:sz w:val="21"/>
            <w:u w:val="single"/>
          </w:rPr>
          <w:t xml:space="preserve">UIARC_Preliminary_Information_Collection_Charter_Perplexity.pdf</w:t>
        </w:r>
      </w:hyperlink>
    </w:p>
    <w:p>
      <w:pPr>
        <w:numPr>
          <w:ilvl w:val="0"/>
          <w:numId w:val="5"/>
        </w:numPr>
        <w:spacing w:line="360" w:after="210" w:lineRule="auto"/>
      </w:pPr>
      <w:hyperlink r:id="rId28">
        <w:r>
          <w:rPr>
            <w:rFonts w:eastAsia="source sans 3" w:cs="source sans 3" w:ascii="source sans 3" w:hAnsi="source sans 3"/>
            <w:color w:val="#000"/>
            <w:sz w:val="21"/>
            <w:u w:val="single"/>
          </w:rPr>
          <w:t xml:space="preserve">A Systems Theoretic Approach to Safety Engineering - Nancy Leveson</w:t>
        </w:r>
      </w:hyperlink>
    </w:p>
    <w:p>
      <w:pPr>
        <w:numPr>
          <w:ilvl w:val="0"/>
          <w:numId w:val="5"/>
        </w:numPr>
        <w:spacing w:line="360" w:after="210" w:lineRule="auto"/>
      </w:pPr>
      <w:hyperlink r:id="rId29">
        <w:r>
          <w:rPr>
            <w:rFonts w:eastAsia="source sans 3" w:cs="source sans 3" w:ascii="source sans 3" w:hAnsi="source sans 3"/>
            <w:color w:val="#000"/>
            <w:sz w:val="21"/>
            <w:u w:val="single"/>
          </w:rPr>
          <w:t xml:space="preserve">16.63 Lecture 9: Introduction to systems theory and STAMP</w:t>
        </w:r>
      </w:hyperlink>
    </w:p>
    <w:p>
      <w:pPr>
        <w:numPr>
          <w:ilvl w:val="0"/>
          <w:numId w:val="5"/>
        </w:numPr>
        <w:spacing w:line="360" w:after="210" w:lineRule="auto"/>
      </w:pPr>
      <w:hyperlink r:id="rId30">
        <w:r>
          <w:rPr>
            <w:rFonts w:eastAsia="source sans 3" w:cs="source sans 3" w:ascii="source sans 3" w:hAnsi="source sans 3"/>
            <w:color w:val="#000"/>
            <w:sz w:val="21"/>
            <w:u w:val="single"/>
          </w:rPr>
          <w:t xml:space="preserve">[PDF] Chaos Engineering - arXiv</w:t>
        </w:r>
      </w:hyperlink>
    </w:p>
    <w:p>
      <w:pPr>
        <w:numPr>
          <w:ilvl w:val="0"/>
          <w:numId w:val="5"/>
        </w:numPr>
        <w:spacing w:line="360" w:after="210" w:lineRule="auto"/>
      </w:pPr>
      <w:hyperlink r:id="rId31">
        <w:r>
          <w:rPr>
            <w:rFonts w:eastAsia="source sans 3" w:cs="source sans 3" w:ascii="source sans 3" w:hAnsi="source sans 3"/>
            <w:color w:val="#000"/>
            <w:sz w:val="21"/>
            <w:u w:val="single"/>
          </w:rPr>
          <w:t xml:space="preserve">Chaos Engineering: A Multi-Vocal Literature Review</w:t>
        </w:r>
      </w:hyperlink>
    </w:p>
    <w:p>
      <w:pPr>
        <w:numPr>
          <w:ilvl w:val="0"/>
          <w:numId w:val="5"/>
        </w:numPr>
        <w:spacing w:line="360" w:after="210" w:lineRule="auto"/>
      </w:pPr>
      <w:hyperlink r:id="rId32">
        <w:r>
          <w:rPr>
            <w:rFonts w:eastAsia="source sans 3" w:cs="source sans 3" w:ascii="source sans 3" w:hAnsi="source sans 3"/>
            <w:color w:val="#000"/>
            <w:sz w:val="21"/>
            <w:u w:val="single"/>
          </w:rPr>
          <w:t xml:space="preserve">Digital twins | NIST</w:t>
        </w:r>
      </w:hyperlink>
      <w:r>
        <w:rPr>
          <w:rFonts w:eastAsia="source serif 4" w:cs="source serif 4" w:ascii="source serif 4" w:hAnsi="source serif 4"/>
          <w:color w:val="000000"/>
          <w:sz w:val="21"/>
        </w:rPr>
        <w:t xml:space="preserve"> - The Forecasting Revolution: Digital Twins and the Bottom Line</w:t>
      </w:r>
    </w:p>
    <w:p>
      <w:pPr>
        <w:numPr>
          <w:ilvl w:val="0"/>
          <w:numId w:val="5"/>
        </w:numPr>
        <w:spacing w:line="360" w:after="210" w:lineRule="auto"/>
      </w:pPr>
      <w:hyperlink r:id="rId33">
        <w:r>
          <w:rPr>
            <w:rFonts w:eastAsia="source sans 3" w:cs="source sans 3" w:ascii="source sans 3" w:hAnsi="source sans 3"/>
            <w:color w:val="#000"/>
            <w:sz w:val="21"/>
            <w:u w:val="single"/>
          </w:rPr>
          <w:t xml:space="preserve">Digital Twin Core Conceptual Models and Services</w:t>
        </w:r>
      </w:hyperlink>
      <w:r>
        <w:rPr>
          <w:rFonts w:eastAsia="source serif 4" w:cs="source serif 4" w:ascii="source serif 4" w:hAnsi="source serif 4"/>
          <w:color w:val="000000"/>
          <w:sz w:val="21"/>
        </w:rPr>
        <w:t xml:space="preserve"> - To improve operational efficiency and enhance competitiveness in business, organizations are broadly...</w:t>
      </w:r>
    </w:p>
    <w:p>
      <w:pPr>
        <w:numPr>
          <w:ilvl w:val="0"/>
          <w:numId w:val="5"/>
        </w:numPr>
        <w:spacing w:line="360" w:after="210" w:lineRule="auto"/>
      </w:pPr>
      <w:hyperlink r:id="rId34">
        <w:r>
          <w:rPr>
            <w:rFonts w:eastAsia="source sans 3" w:cs="source sans 3" w:ascii="source sans 3" w:hAnsi="source sans 3"/>
            <w:color w:val="#000"/>
            <w:sz w:val="21"/>
            <w:u w:val="single"/>
          </w:rPr>
          <w:t xml:space="preserve">Remote Attestation Sets</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kumen.pub/incose-systems-engineering-handbook-5nbsped-2023022915-9781119814290-9781119814306-9781119814313.html" TargetMode="External"/><Relationship Id="rId6" Type="http://schemas.openxmlformats.org/officeDocument/2006/relationships/hyperlink" Target="https://www.incose.org/about-systems-engineering/" TargetMode="External"/><Relationship Id="rId7" Type="http://schemas.openxmlformats.org/officeDocument/2006/relationships/hyperlink" Target="https://santafe.edu/events/emergence-selforganization-and-complexity" TargetMode="External"/><Relationship Id="rId8" Type="http://schemas.openxmlformats.org/officeDocument/2006/relationships/hyperlink" Target="https://santafe.edu/research/results/working-papers/emergence-self-organization-and-social-interaction" TargetMode="External"/><Relationship Id="rId9" Type="http://schemas.openxmlformats.org/officeDocument/2006/relationships/hyperlink" Target="https://plato.stanford.edu/archives/sum2018/entries/models-science/" TargetMode="External"/><Relationship Id="rId10" Type="http://schemas.openxmlformats.org/officeDocument/2006/relationships/hyperlink" Target="https://standards.nasa.gov/sites/default/files/standards/NASA/B/1/NASA-STD-7009B-Final-3-5-2024.pdf" TargetMode="External"/><Relationship Id="rId11" Type="http://schemas.openxmlformats.org/officeDocument/2006/relationships/hyperlink" Target="https://public.ksc.nasa.gov/mns/faq/" TargetMode="External"/><Relationship Id="rId12" Type="http://schemas.openxmlformats.org/officeDocument/2006/relationships/hyperlink" Target="https://plato.stanford.edu/entries/scientific-underdetermination/" TargetMode="External"/><Relationship Id="rId13" Type="http://schemas.openxmlformats.org/officeDocument/2006/relationships/hyperlink" Target="https://plato.stanford.edu/archives/fall2016/entries/structural-realism/" TargetMode="External"/><Relationship Id="rId14" Type="http://schemas.openxmlformats.org/officeDocument/2006/relationships/hyperlink" Target="https://plato.stanford.edu/entries/realism-theory-change/" TargetMode="External"/><Relationship Id="rId15" Type="http://schemas.openxmlformats.org/officeDocument/2006/relationships/hyperlink" Target="https://nvlpubs.nist.gov/nistpubs/ir/2025/NIST.IR.8356.pdf" TargetMode="External"/><Relationship Id="rId16" Type="http://schemas.openxmlformats.org/officeDocument/2006/relationships/hyperlink" Target="https://nvlpubs.nist.gov/nistpubs/ir/2026/NIST.IR.8620.pdf" TargetMode="External"/><Relationship Id="rId17" Type="http://schemas.openxmlformats.org/officeDocument/2006/relationships/hyperlink" Target="https://play.google.com/store/books/details/David_J_Chalmers_Reality?id=DUM3EAAAQBAJ" TargetMode="External"/><Relationship Id="rId18" Type="http://schemas.openxmlformats.org/officeDocument/2006/relationships/hyperlink" Target="https://consc.net/reality/" TargetMode="External"/><Relationship Id="rId19" Type="http://schemas.openxmlformats.org/officeDocument/2006/relationships/hyperlink" Target="https://csrc.nist.gov/glossary/term/hardware_root_of_trust" TargetMode="External"/><Relationship Id="rId20" Type="http://schemas.openxmlformats.org/officeDocument/2006/relationships/hyperlink" Target="https://csrc.nist.gov/Projects/Hardware-Roots-of-Trust" TargetMode="External"/><Relationship Id="rId21" Type="http://schemas.openxmlformats.org/officeDocument/2006/relationships/hyperlink" Target="https://idre.ucla.edu/wp-content/uploads/2022/05/judea-pearl-idre-may2022.pdf?x76519" TargetMode="External"/><Relationship Id="rId22" Type="http://schemas.openxmlformats.org/officeDocument/2006/relationships/hyperlink" Target="https://bayes.cs.ucla.edu/BOOK-99/book-toc.html" TargetMode="External"/><Relationship Id="rId23" Type="http://schemas.openxmlformats.org/officeDocument/2006/relationships/hyperlink" Target="https://scalar.usc.edu/works/simulated-worlds/media/bostrom.pdf" TargetMode="External"/><Relationship Id="rId24" Type="http://schemas.openxmlformats.org/officeDocument/2006/relationships/hyperlink" Target="https://academic.oup.com/pq/article-abstract/53/211/243/1610975" TargetMode="External"/><Relationship Id="rId25" Type="http://schemas.openxmlformats.org/officeDocument/2006/relationships/hyperlink" Target="https://philsci-archive.pitt.edu/11537/1/Computer_Simulation_paper_revised.pdf" TargetMode="External"/><Relationship Id="rId26" Type="http://schemas.openxmlformats.org/officeDocument/2006/relationships/hyperlink" Target="https://nvlpubs.nist.gov/nistpubs/TechnicalNotes/NIST.TN.1900.pdf" TargetMode="External"/><Relationship Id="rId27" Type="http://schemas.openxmlformats.org/officeDocument/2006/relationships/hyperlink" Target="UIARC_Preliminary_Information_Collection_Charter_Perplexity.pdf" TargetMode="External"/><Relationship Id="rId28" Type="http://schemas.openxmlformats.org/officeDocument/2006/relationships/hyperlink" Target="http://sunnyday.mit.edu/accidents/external2.pdf" TargetMode="External"/><Relationship Id="rId29" Type="http://schemas.openxmlformats.org/officeDocument/2006/relationships/hyperlink" Target="https://dspace.mit.edu/bitstream/handle/1721.1/106497/16-63j-fall-2012/contents/lecture-notes/MIT16_63JF12_Class9SystThe.pdf" TargetMode="External"/><Relationship Id="rId30" Type="http://schemas.openxmlformats.org/officeDocument/2006/relationships/hyperlink" Target="https://arxiv.org/pdf/1702.05843.pdf" TargetMode="External"/><Relationship Id="rId31" Type="http://schemas.openxmlformats.org/officeDocument/2006/relationships/hyperlink" Target="https://arxiv.org/html/2412.01416v2" TargetMode="External"/><Relationship Id="rId32" Type="http://schemas.openxmlformats.org/officeDocument/2006/relationships/hyperlink" Target="https://www.nist.gov/digital-twins" TargetMode="External"/><Relationship Id="rId33" Type="http://schemas.openxmlformats.org/officeDocument/2006/relationships/hyperlink" Target="https://www.nist.gov/publications/digital-twin-core-conceptual-models-and-services" TargetMode="External"/><Relationship Id="rId34" Type="http://schemas.openxmlformats.org/officeDocument/2006/relationships/hyperlink" Target="https://www.ietf.org/proceedings/110/slides/slides-110-rats-sessa-rats-session-i-all-slides-01.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2026-09-24T00:41:51.564Z</dcterms:created>
  <dcterms:modified xsi:type="dcterms:W3CDTF">2026-09-24T00:41:51.564Z</dcterms:modified>
</cp:coreProperties>
</file>