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2100"/>
        <w:jc w:val="center"/>
      </w:pPr>
      <w:r>
        <w:t>Transmogrification Framework II</w:t>
      </w:r>
    </w:p>
    <w:p>
      <w:pPr>
        <w:pStyle w:val="Subtitle"/>
        <w:widowControl/>
        <w:jc w:val="center"/>
      </w:pPr>
      <w:r>
        <w:t>Resource-State Conversion and Beneficial Vector Mapping</w:t>
      </w:r>
    </w:p>
    <w:p>
      <w:pPr>
        <w:widowControl/>
        <w:spacing w:before="360"/>
        <w:jc w:val="center"/>
      </w:pPr>
      <w:r>
        <w:rPr>
          <w:b/>
          <w:color w:val="2F6B8A"/>
          <w:sz w:val="34"/>
        </w:rPr>
        <w:t>Response Insights, Decisions, and Feedback Workbook</w:t>
      </w:r>
    </w:p>
    <w:p>
      <w:pPr>
        <w:widowControl/>
        <w:spacing w:before="440"/>
        <w:jc w:val="center"/>
      </w:pPr>
      <w:r>
        <w:rPr>
          <w:b/>
          <w:color w:val="1A4156"/>
          <w:sz w:val="26"/>
        </w:rPr>
        <w:t>VERSION 2.0</w:t>
      </w:r>
    </w:p>
    <w:p>
      <w:pPr>
        <w:widowControl/>
        <w:jc w:val="center"/>
      </w:pPr>
      <w:r>
        <w:rPr>
          <w:i/>
        </w:rPr>
        <w:t>Project-Owner Responses Integrated</w:t>
      </w:r>
    </w:p>
    <w:p>
      <w:pPr>
        <w:widowControl/>
        <w:spacing w:before="240"/>
        <w:jc w:val="center"/>
      </w:pPr>
      <w:r>
        <w:t>Issued September 13, 2026</w:t>
      </w:r>
    </w:p>
    <w:p>
      <w:pPr>
        <w:widowControl/>
        <w:spacing w:before="1800"/>
        <w:jc w:val="center"/>
      </w:pPr>
      <w:r>
        <w:rPr>
          <w:color w:val="5A6473"/>
          <w:sz w:val="18"/>
        </w:rPr>
        <w:t>Working status: Approved framework title • Controlled collaborative draft</w:t>
      </w:r>
    </w:p>
    <w:p>
      <w:pPr>
        <w:widowControl/>
      </w:pPr>
      <w:r>
        <w:br w:type="page"/>
      </w:r>
    </w:p>
    <w:p>
      <w:pPr>
        <w:pStyle w:val="Heading1"/>
        <w:widowControl/>
      </w:pPr>
      <w:r>
        <w:t>Document Control</w:t>
      </w:r>
    </w:p>
    <w:tbl>
      <w:tblPr>
        <w:tblW w:type="auto" w:w="0"/>
        <w:jc w:val="center"/>
        <w:tblLayout w:type="fixed"/>
        <w:tblLook w:firstColumn="1" w:firstRow="1" w:lastColumn="0" w:lastRow="0" w:noHBand="0" w:noVBand="1" w:val="04A0"/>
      </w:tblPr>
      <w:tblGrid>
        <w:gridCol w:w="5083"/>
        <w:gridCol w:w="5083"/>
      </w:tblGrid>
      <w:tr>
        <w:tc>
          <w:tcPr>
            <w:tcW w:type="dxa" w:w="2304"/>
            <w:vAlign w:val="top"/>
            <w:shd w:fill="2F6B8A"/>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color w:val="FFFFFF"/>
                <w:sz w:val="18"/>
              </w:rPr>
              <w:t>Document title</w:t>
            </w:r>
          </w:p>
        </w:tc>
        <w:tc>
          <w:tcPr>
            <w:tcW w:type="dxa" w:w="7632"/>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8"/>
              </w:rPr>
              <w:t>Transmogrification Framework II: Resource-State Conversion and Beneficial Vector Mapping — Response Insights, Decisions, and Feedback Workbook</w:t>
            </w:r>
          </w:p>
        </w:tc>
      </w:tr>
      <w:tr>
        <w:tc>
          <w:tcPr>
            <w:tcW w:type="dxa" w:w="2304"/>
            <w:vAlign w:val="top"/>
            <w:shd w:fill="2F6B8A"/>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color w:val="FFFFFF"/>
                <w:sz w:val="18"/>
              </w:rPr>
              <w:t>Current version</w:t>
            </w:r>
          </w:p>
        </w:tc>
        <w:tc>
          <w:tcPr>
            <w:tcW w:type="dxa" w:w="7632"/>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8"/>
              </w:rPr>
              <w:t>2.0</w:t>
            </w:r>
          </w:p>
        </w:tc>
      </w:tr>
      <w:tr>
        <w:tc>
          <w:tcPr>
            <w:tcW w:type="dxa" w:w="2304"/>
            <w:vAlign w:val="top"/>
            <w:shd w:fill="2F6B8A"/>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color w:val="FFFFFF"/>
                <w:sz w:val="18"/>
              </w:rPr>
              <w:t>Issue date</w:t>
            </w:r>
          </w:p>
        </w:tc>
        <w:tc>
          <w:tcPr>
            <w:tcW w:type="dxa" w:w="7632"/>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8"/>
              </w:rPr>
              <w:t>September 13, 2026</w:t>
            </w:r>
          </w:p>
        </w:tc>
      </w:tr>
      <w:tr>
        <w:tc>
          <w:tcPr>
            <w:tcW w:type="dxa" w:w="2304"/>
            <w:vAlign w:val="top"/>
            <w:shd w:fill="2F6B8A"/>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color w:val="FFFFFF"/>
                <w:sz w:val="18"/>
              </w:rPr>
              <w:t>Edition status</w:t>
            </w:r>
          </w:p>
        </w:tc>
        <w:tc>
          <w:tcPr>
            <w:tcW w:type="dxa" w:w="7632"/>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8"/>
              </w:rPr>
              <w:t>Project-owner responses integrated</w:t>
            </w:r>
          </w:p>
        </w:tc>
      </w:tr>
      <w:tr>
        <w:tc>
          <w:tcPr>
            <w:tcW w:type="dxa" w:w="2304"/>
            <w:vAlign w:val="top"/>
            <w:shd w:fill="2F6B8A"/>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color w:val="FFFFFF"/>
                <w:sz w:val="18"/>
              </w:rPr>
              <w:t>Source edition</w:t>
            </w:r>
          </w:p>
        </w:tc>
        <w:tc>
          <w:tcPr>
            <w:tcW w:type="dxa" w:w="7632"/>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8"/>
              </w:rPr>
              <w:t>Unversioned “responses included” workbook</w:t>
            </w:r>
          </w:p>
        </w:tc>
      </w:tr>
      <w:tr>
        <w:tc>
          <w:tcPr>
            <w:tcW w:type="dxa" w:w="2304"/>
            <w:vAlign w:val="top"/>
            <w:shd w:fill="2F6B8A"/>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color w:val="FFFFFF"/>
                <w:sz w:val="18"/>
              </w:rPr>
              <w:t>Master framework</w:t>
            </w:r>
          </w:p>
        </w:tc>
        <w:tc>
          <w:tcPr>
            <w:tcW w:type="dxa" w:w="7632"/>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8"/>
              </w:rPr>
              <w:t>Transmogrification Framework II</w:t>
            </w:r>
          </w:p>
        </w:tc>
      </w:tr>
      <w:tr>
        <w:tc>
          <w:tcPr>
            <w:tcW w:type="dxa" w:w="2304"/>
            <w:vAlign w:val="top"/>
            <w:shd w:fill="2F6B8A"/>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color w:val="FFFFFF"/>
                <w:sz w:val="18"/>
              </w:rPr>
              <w:t>Core exercise kit</w:t>
            </w:r>
          </w:p>
        </w:tc>
        <w:tc>
          <w:tcPr>
            <w:tcW w:type="dxa" w:w="7632"/>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8"/>
              </w:rPr>
              <w:t>TRANSMUTE</w:t>
            </w:r>
          </w:p>
        </w:tc>
      </w:tr>
      <w:tr>
        <w:tc>
          <w:tcPr>
            <w:tcW w:type="dxa" w:w="2304"/>
            <w:vAlign w:val="top"/>
            <w:shd w:fill="2F6B8A"/>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color w:val="FFFFFF"/>
                <w:sz w:val="18"/>
              </w:rPr>
              <w:t>Operative mechanism</w:t>
            </w:r>
          </w:p>
        </w:tc>
        <w:tc>
          <w:tcPr>
            <w:tcW w:type="dxa" w:w="7632"/>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8"/>
              </w:rPr>
              <w:t>Beneficial Vector Transmogrification</w:t>
            </w:r>
          </w:p>
        </w:tc>
      </w:tr>
    </w:tbl>
    <w:p>
      <w:pPr>
        <w:pStyle w:val="SmallNote"/>
        <w:widowControl/>
        <w:spacing w:after="100" w:before="160"/>
        <w:ind w:left="0"/>
      </w:pPr>
      <w:r>
        <w:rPr>
          <w:i w:val="0"/>
        </w:rPr>
        <w:t>Version 2.0 preserves the source analysis, converts the project owner’s entered feedback into explicit decision responses, updates the decision register and collaborator reply frames, and adds a governing protocol for conflicting approved recommendations and independently operated simulation labs.</w:t>
      </w:r>
    </w:p>
    <w:p>
      <w:pPr>
        <w:pStyle w:val="Heading2"/>
        <w:widowControl/>
      </w:pPr>
      <w:r>
        <w:t>Version History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top"/>
            <w:shd w:fill="2F6B8A"/>
          </w:tcPr>
          <w:p>
            <w:pPr>
              <w:widowControl/>
              <w:spacing w:after="0"/>
            </w:pPr>
            <w:r/>
            <w:r>
              <w:rPr>
                <w:b/>
                <w:color w:val="FFFFFF"/>
                <w:sz w:val="17"/>
              </w:rPr>
              <w:t>Version</w:t>
            </w:r>
          </w:p>
        </w:tc>
        <w:tc>
          <w:tcPr>
            <w:tcW w:type="dxa" w:w="2541"/>
            <w:vAlign w:val="top"/>
            <w:shd w:fill="2F6B8A"/>
          </w:tcPr>
          <w:p>
            <w:pPr>
              <w:widowControl/>
              <w:spacing w:after="0"/>
            </w:pPr>
            <w:r/>
            <w:r>
              <w:rPr>
                <w:b/>
                <w:color w:val="FFFFFF"/>
                <w:sz w:val="17"/>
              </w:rPr>
              <w:t>Date</w:t>
            </w:r>
          </w:p>
        </w:tc>
        <w:tc>
          <w:tcPr>
            <w:tcW w:type="dxa" w:w="2541"/>
            <w:vAlign w:val="top"/>
            <w:shd w:fill="2F6B8A"/>
          </w:tcPr>
          <w:p>
            <w:pPr>
              <w:widowControl/>
              <w:spacing w:after="0"/>
            </w:pPr>
            <w:r/>
            <w:r>
              <w:rPr>
                <w:b/>
                <w:color w:val="FFFFFF"/>
                <w:sz w:val="17"/>
              </w:rPr>
              <w:t>Status</w:t>
            </w:r>
          </w:p>
        </w:tc>
        <w:tc>
          <w:tcPr>
            <w:tcW w:type="dxa" w:w="2541"/>
            <w:vAlign w:val="top"/>
            <w:shd w:fill="2F6B8A"/>
          </w:tcPr>
          <w:p>
            <w:pPr>
              <w:widowControl/>
              <w:spacing w:after="0"/>
            </w:pPr>
            <w:r/>
            <w:r>
              <w:rPr>
                <w:b/>
                <w:color w:val="FFFFFF"/>
                <w:sz w:val="17"/>
              </w:rPr>
              <w:t>Material changes</w:t>
            </w:r>
          </w:p>
        </w:tc>
      </w:tr>
      <w:tr>
        <w:tc>
          <w:tcPr>
            <w:tcW w:type="dxa" w:w="2541"/>
            <w:vAlign w:val="top"/>
            <w:shd w:fill="F3F6F8"/>
          </w:tcPr>
          <w:p>
            <w:pPr>
              <w:widowControl/>
              <w:spacing w:after="0"/>
            </w:pPr>
            <w:r/>
            <w:r>
              <w:rPr>
                <w:b w:val="0"/>
                <w:sz w:val="16"/>
              </w:rPr>
              <w:t>Source edition</w:t>
            </w:r>
          </w:p>
        </w:tc>
        <w:tc>
          <w:tcPr>
            <w:tcW w:type="dxa" w:w="2541"/>
            <w:vAlign w:val="top"/>
            <w:shd w:fill="F3F6F8"/>
          </w:tcPr>
          <w:p>
            <w:pPr>
              <w:widowControl/>
              <w:spacing w:after="0"/>
            </w:pPr>
            <w:r/>
            <w:r>
              <w:rPr>
                <w:b w:val="0"/>
                <w:sz w:val="16"/>
              </w:rPr>
              <w:t>Not specified</w:t>
            </w:r>
          </w:p>
        </w:tc>
        <w:tc>
          <w:tcPr>
            <w:tcW w:type="dxa" w:w="2541"/>
            <w:vAlign w:val="top"/>
            <w:shd w:fill="F3F6F8"/>
          </w:tcPr>
          <w:p>
            <w:pPr>
              <w:widowControl/>
              <w:spacing w:after="0"/>
            </w:pPr>
            <w:r/>
            <w:r>
              <w:rPr>
                <w:b w:val="0"/>
                <w:sz w:val="16"/>
              </w:rPr>
              <w:t>Responses included</w:t>
            </w:r>
          </w:p>
        </w:tc>
        <w:tc>
          <w:tcPr>
            <w:tcW w:type="dxa" w:w="2541"/>
            <w:vAlign w:val="top"/>
            <w:shd w:fill="F3F6F8"/>
          </w:tcPr>
          <w:p>
            <w:pPr>
              <w:widowControl/>
              <w:spacing w:after="0"/>
            </w:pPr>
            <w:r/>
            <w:r>
              <w:rPr>
                <w:b w:val="0"/>
                <w:sz w:val="16"/>
              </w:rPr>
              <w:t>Original insights workbook with project-owner feedback entered in response fields.</w:t>
            </w:r>
          </w:p>
        </w:tc>
      </w:tr>
      <w:tr>
        <w:tc>
          <w:tcPr>
            <w:tcW w:type="dxa" w:w="2541"/>
            <w:vAlign w:val="top"/>
            <w:shd w:fill="FFFFFF"/>
          </w:tcPr>
          <w:p>
            <w:pPr>
              <w:widowControl/>
              <w:spacing w:after="0"/>
            </w:pPr>
            <w:r/>
            <w:r>
              <w:rPr>
                <w:b w:val="0"/>
                <w:sz w:val="16"/>
              </w:rPr>
              <w:t>2.0</w:t>
            </w:r>
          </w:p>
        </w:tc>
        <w:tc>
          <w:tcPr>
            <w:tcW w:type="dxa" w:w="2541"/>
            <w:vAlign w:val="top"/>
            <w:shd w:fill="FFFFFF"/>
          </w:tcPr>
          <w:p>
            <w:pPr>
              <w:widowControl/>
              <w:spacing w:after="0"/>
            </w:pPr>
            <w:r/>
            <w:r>
              <w:rPr>
                <w:b w:val="0"/>
                <w:sz w:val="16"/>
              </w:rPr>
              <w:t>September 13, 2026</w:t>
            </w:r>
          </w:p>
        </w:tc>
        <w:tc>
          <w:tcPr>
            <w:tcW w:type="dxa" w:w="2541"/>
            <w:vAlign w:val="top"/>
            <w:shd w:fill="FFFFFF"/>
          </w:tcPr>
          <w:p>
            <w:pPr>
              <w:widowControl/>
              <w:spacing w:after="0"/>
            </w:pPr>
            <w:r/>
            <w:r>
              <w:rPr>
                <w:b w:val="0"/>
                <w:sz w:val="16"/>
              </w:rPr>
              <w:t>Current</w:t>
            </w:r>
          </w:p>
        </w:tc>
        <w:tc>
          <w:tcPr>
            <w:tcW w:type="dxa" w:w="2541"/>
            <w:vAlign w:val="top"/>
            <w:shd w:fill="FFFFFF"/>
          </w:tcPr>
          <w:p>
            <w:pPr>
              <w:widowControl/>
              <w:spacing w:after="0"/>
            </w:pPr>
            <w:r/>
            <w:r>
              <w:rPr>
                <w:b w:val="0"/>
                <w:sz w:val="16"/>
              </w:rPr>
              <w:t>Responses normalized; title and metadata updated; decision register completed; parallel-lab, counterfactual-testing, anti-confirmation, and versioning directives added.</w:t>
            </w:r>
          </w:p>
        </w:tc>
      </w:tr>
    </w:tbl>
    <w:p>
      <w:pPr>
        <w:widowControl/>
      </w:pPr>
      <w:r>
        <w:br w:type="page"/>
      </w:r>
    </w:p>
    <w:p>
      <w:pPr>
        <w:pStyle w:val="Heading1"/>
        <w:widowControl/>
      </w:pPr>
      <w:r>
        <w:t>Project-Owner Decision Statement</w:t>
      </w:r>
    </w:p>
    <w:p>
      <w:pPr>
        <w:spacing w:after="160" w:before="0"/>
        <w:ind w:left="0"/>
        <w:shd w:fill="EAF2F6"/>
        <w:widowControl/>
        <w:pBdr>
          <w:left w:val="single" w:sz="18" w:space="8" w:color="2F6B8A"/>
        </w:pBdr>
      </w:pPr>
      <w:r>
        <w:rPr>
          <w:i w:val="0"/>
        </w:rPr>
        <w:t>The next iteration is approved under the working title Transmogrification Framework II: Resource-State Conversion and Beneficial Vector Mapping. The workbook records approved, modified, deferred, rejected, and confirmed decisions for each collaborator response.</w:t>
      </w:r>
    </w:p>
    <w:p>
      <w:pPr>
        <w:spacing w:after="160" w:before="0"/>
        <w:ind w:left="0"/>
        <w:shd w:fill="EAF2F6"/>
        <w:widowControl/>
        <w:pBdr>
          <w:left w:val="single" w:sz="18" w:space="8" w:color="2F6B8A"/>
        </w:pBdr>
      </w:pPr>
      <w:r>
        <w:rPr>
          <w:i w:val="0"/>
        </w:rPr>
        <w:t>Where approved recommendations conflict, they do not automatically cancel one another. Each AI collaborator may operate a separately named laboratory or simulation branch, preserve its own assumptions and methods, and report a different result. Shared governance exists to make those results traceable and comparable—not to force uniform thinking.</w:t>
      </w:r>
    </w:p>
    <w:p>
      <w:pPr>
        <w:spacing w:after="160" w:before="0"/>
        <w:ind w:left="0"/>
        <w:shd w:fill="EAF2F6"/>
        <w:widowControl/>
        <w:pBdr>
          <w:left w:val="single" w:sz="18" w:space="8" w:color="2F6B8A"/>
        </w:pBdr>
      </w:pPr>
      <w:r>
        <w:rPr>
          <w:i w:val="0"/>
        </w:rPr>
        <w:t>Baseline simulations should apply established real-world constraints. Clearly labeled counterfactual or “law laboratory” simulations may alter selected assumptions or simulated laws to examine limits and consequences. Such results must not be represented as evidence of present real-world feasibility, and all branches remain subject to documentation, provenance, legal, ethical, and safety controls.</w:t>
      </w:r>
    </w:p>
    <w:p>
      <w:pPr>
        <w:pStyle w:val="Heading2"/>
        <w:widowControl/>
      </w:pPr>
      <w:r>
        <w:t>Purpose</w:t>
      </w:r>
    </w:p>
    <w:p>
      <w:pPr>
        <w:widowControl/>
        <w:spacing w:after="100" w:before="0"/>
        <w:ind w:left="0"/>
      </w:pPr>
      <w:r>
        <w:rPr>
          <w:i w:val="0"/>
        </w:rPr>
        <w:t>This workbook extracts every material decision, approval request, unresolved question, and recommended next step from the responses by ChatGPT, Claude, Google Gemini, Microsoft Copilot, Perplexity, and Grok. It separates observations that merely need acknowledgment from proposals that require approval, modification, deferral, or rejection, and provides a feedback field for each item.</w:t>
      </w:r>
    </w:p>
    <w:p>
      <w:pPr>
        <w:pStyle w:val="Heading2"/>
        <w:widowControl/>
      </w:pPr>
      <w:r>
        <w:t>Decisions Already Supplied</w:t>
      </w:r>
    </w:p>
    <w:p>
      <w:pPr>
        <w:widowControl/>
        <w:spacing w:after="100" w:before="0"/>
        <w:ind w:left="0"/>
      </w:pPr>
      <w:r>
        <w:rPr>
          <w:i w:val="0"/>
        </w:rPr>
        <w:t>Proceed with the next iteration: Approved.</w:t>
      </w:r>
    </w:p>
    <w:p>
      <w:pPr>
        <w:widowControl/>
        <w:spacing w:after="100" w:before="0"/>
        <w:ind w:left="0"/>
      </w:pPr>
      <w:r>
        <w:rPr>
          <w:i w:val="0"/>
        </w:rPr>
        <w:t>Use the working title “Transmogrification Framework II: Resource-State Conversion and Beneficial Vector Mapping”: Approved.</w:t>
      </w:r>
    </w:p>
    <w:p>
      <w:pPr>
        <w:widowControl/>
        <w:spacing w:after="100" w:before="0"/>
        <w:ind w:left="0"/>
      </w:pPr>
      <w:r>
        <w:rPr>
          <w:i w:val="0"/>
        </w:rPr>
        <w:t>Important naming note: Approval of this working title does not automatically resolve whether TRANSMUTE, Transmogrification Vector Lab, Beneficial Vector Transmogrification, and Operation ALCHEMY are exercise names, component names, aliases, or retired titles. That still requires one explicit naming decision.</w:t>
      </w:r>
    </w:p>
    <w:p>
      <w:pPr>
        <w:pStyle w:val="Heading2"/>
        <w:widowControl/>
      </w:pPr>
      <w:r>
        <w:t>Core Insights</w:t>
      </w:r>
    </w:p>
    <w:p>
      <w:pPr>
        <w:widowControl/>
        <w:spacing w:after="100" w:before="0"/>
        <w:ind w:left="0"/>
      </w:pPr>
      <w:r>
        <w:rPr>
          <w:i w:val="0"/>
        </w:rPr>
        <w:t>The responses agree that the project has moved beyond its original missile/grid thought experiment. Its strongest defensible form is now a general systems framework for identifying resources, by-products, disturbances, reserves, constraints, and conversion opportunities while preserving physical limits, safety margins, and future flexibility.</w:t>
      </w:r>
    </w:p>
    <w:p>
      <w:pPr>
        <w:widowControl/>
        <w:spacing w:after="100" w:before="0"/>
        <w:ind w:left="0"/>
      </w:pPr>
      <w:r>
        <w:rPr>
          <w:i w:val="0"/>
        </w:rPr>
        <w:t>The largest immediate risk is no longer conceptual weakness; it is fragmentation. Multiple names, overlapping taxonomies, partially duplicative documents, and competing lab structures could prevent the project from reaching a runnable pilot.</w:t>
      </w:r>
    </w:p>
    <w:p>
      <w:pPr>
        <w:widowControl/>
        <w:spacing w:after="100" w:before="0"/>
        <w:ind w:left="0"/>
      </w:pPr>
      <w:r>
        <w:rPr>
          <w:i w:val="0"/>
        </w:rPr>
        <w:t>The data-center case is the strongest proposed bridge between theory and implementation because it allows the framework to examine electricity, compute, heat, cooling, water, time, capacity, workload scheduling, resilience, and sink availability without relying on fictional physics. The responses differ on whether it should be the second canonical system or the first pilot, but they broadly agree it should become a major test case.</w:t>
      </w:r>
    </w:p>
    <w:p>
      <w:pPr>
        <w:pStyle w:val="Heading2"/>
        <w:widowControl/>
      </w:pPr>
      <w:r>
        <w:t>Recommended Architecture</w:t>
      </w:r>
    </w:p>
    <w:p>
      <w:pPr>
        <w:widowControl/>
        <w:spacing w:after="100" w:before="0"/>
        <w:ind w:left="0"/>
      </w:pPr>
      <w:r>
        <w:rPr>
          <w:i w:val="0"/>
        </w:rPr>
        <w:t>A coherent way to reconcile the competing proposals is:</w:t>
      </w:r>
    </w:p>
    <w:p>
      <w:pPr>
        <w:widowControl/>
        <w:ind w:left="288" w:hanging="230"/>
      </w:pPr>
      <w:r>
        <w:rPr>
          <w:b/>
        </w:rPr>
        <w:t xml:space="preserve">• </w:t>
      </w:r>
      <w:r>
        <w:t>Master framework: Transmogrification Framework II: Resource-State Conversion and Beneficial Vector Mapping.</w:t>
      </w:r>
    </w:p>
    <w:p>
      <w:pPr>
        <w:widowControl/>
        <w:ind w:left="288" w:hanging="230"/>
      </w:pPr>
      <w:r>
        <w:rPr>
          <w:b/>
        </w:rPr>
        <w:t xml:space="preserve">• </w:t>
      </w:r>
      <w:r>
        <w:t>Core exercise kit: TRANSMUTE.</w:t>
      </w:r>
    </w:p>
    <w:p>
      <w:pPr>
        <w:widowControl/>
        <w:ind w:left="288" w:hanging="230"/>
      </w:pPr>
      <w:r>
        <w:rPr>
          <w:b/>
        </w:rPr>
        <w:t xml:space="preserve">• </w:t>
      </w:r>
      <w:r>
        <w:t>Named operation or mechanism: Beneficial Vector Transmogrification.</w:t>
      </w:r>
    </w:p>
    <w:p>
      <w:pPr>
        <w:widowControl/>
        <w:ind w:left="288" w:hanging="230"/>
      </w:pPr>
      <w:r>
        <w:rPr>
          <w:b/>
        </w:rPr>
        <w:t xml:space="preserve">• </w:t>
      </w:r>
      <w:r>
        <w:t>Realistic first pilot: Data-center resource-state scenario.</w:t>
      </w:r>
    </w:p>
    <w:p>
      <w:pPr>
        <w:widowControl/>
        <w:ind w:left="288" w:hanging="230"/>
      </w:pPr>
      <w:r>
        <w:rPr>
          <w:b/>
        </w:rPr>
        <w:t xml:space="preserve">• </w:t>
      </w:r>
      <w:r>
        <w:t>Expanded realistic lab: Grid Strain.</w:t>
      </w:r>
    </w:p>
    <w:p>
      <w:pPr>
        <w:widowControl/>
        <w:ind w:left="288" w:hanging="230"/>
      </w:pPr>
      <w:r>
        <w:rPr>
          <w:b/>
        </w:rPr>
        <w:t xml:space="preserve">• </w:t>
      </w:r>
      <w:r>
        <w:t>Specialized realistic lab: Attribution/Cyber.</w:t>
      </w:r>
    </w:p>
    <w:p>
      <w:pPr>
        <w:widowControl/>
        <w:ind w:left="288" w:hanging="230"/>
      </w:pPr>
      <w:r>
        <w:rPr>
          <w:b/>
        </w:rPr>
        <w:t xml:space="preserve">• </w:t>
      </w:r>
      <w:r>
        <w:t>Fictional branch: OAL Transmogrification Vector Lab, explicitly labeled and deferred until the realistic pilot has been run.</w:t>
      </w:r>
    </w:p>
    <w:p>
      <w:pPr>
        <w:widowControl/>
        <w:ind w:left="288" w:hanging="230"/>
      </w:pPr>
      <w:r>
        <w:rPr>
          <w:b/>
        </w:rPr>
        <w:t xml:space="preserve">• </w:t>
      </w:r>
      <w:r>
        <w:t>Retired title: Operation ALCHEMY, retained only in the project history unless deliberately reassigned.</w:t>
      </w:r>
    </w:p>
    <w:p>
      <w:pPr>
        <w:widowControl/>
        <w:spacing w:after="100" w:before="0"/>
        <w:ind w:left="0"/>
      </w:pPr>
      <w:r>
        <w:rPr>
          <w:i w:val="0"/>
        </w:rPr>
        <w:t>The recommended analytical hierarchy is similarly layered rather than competitive:</w:t>
      </w:r>
    </w:p>
    <w:p>
      <w:pPr>
        <w:widowControl/>
        <w:ind w:left="288" w:hanging="230"/>
      </w:pPr>
      <w:r>
        <w:rPr>
          <w:b/>
        </w:rPr>
        <w:t xml:space="preserve">• </w:t>
      </w:r>
      <w:r>
        <w:t>Resource-state model as the canonical skeleton: Resource → State → Location → Timing → Quality → Constraint → Sink → Conversion → Outcome → Remainder.</w:t>
      </w:r>
    </w:p>
    <w:p>
      <w:pPr>
        <w:widowControl/>
        <w:ind w:left="288" w:hanging="230"/>
      </w:pPr>
      <w:r>
        <w:rPr>
          <w:b/>
        </w:rPr>
        <w:t xml:space="preserve">• </w:t>
      </w:r>
      <w:r>
        <w:t>Transformation ladder as the decision vocabulary: Avoid → Resist → Isolate → Dissipate → Recover → Redirect → Transform → Learn → Assimilate.</w:t>
      </w:r>
    </w:p>
    <w:p>
      <w:pPr>
        <w:widowControl/>
        <w:ind w:left="288" w:hanging="230"/>
      </w:pPr>
      <w:r>
        <w:rPr>
          <w:b/>
        </w:rPr>
        <w:t xml:space="preserve">• </w:t>
      </w:r>
      <w:r>
        <w:t>Conversion Canvas as the participant worksheet.</w:t>
      </w:r>
    </w:p>
    <w:p>
      <w:pPr>
        <w:widowControl/>
        <w:ind w:left="288" w:hanging="230"/>
      </w:pPr>
      <w:r>
        <w:rPr>
          <w:b/>
        </w:rPr>
        <w:t xml:space="preserve">• </w:t>
      </w:r>
      <w:r>
        <w:t>Strategy table as a comparison tool, not the governing taxonomy.</w:t>
      </w:r>
    </w:p>
    <w:p>
      <w:pPr>
        <w:widowControl/>
      </w:pPr>
      <w:r>
        <w:br w:type="page"/>
      </w:r>
    </w:p>
    <w:p>
      <w:pPr>
        <w:pStyle w:val="Heading1"/>
        <w:widowControl/>
      </w:pPr>
      <w:r>
        <w:t>Simulation-Lab Autonomy Directive</w:t>
      </w:r>
    </w:p>
    <w:p>
      <w:pPr>
        <w:pStyle w:val="DecisionStatus"/>
        <w:spacing w:after="160" w:before="0"/>
        <w:ind w:left="0"/>
        <w:shd w:fill="DDEBF2"/>
        <w:widowControl/>
        <w:pBdr>
          <w:left w:val="single" w:sz="18" w:space="8" w:color="2F6B8A"/>
        </w:pBdr>
      </w:pPr>
      <w:r>
        <w:rPr>
          <w:i w:val="0"/>
        </w:rPr>
        <w:t>Status: APPROVED PROJECT-OWNER DIRECTION</w:t>
      </w:r>
    </w:p>
    <w:p>
      <w:pPr>
        <w:pStyle w:val="Heading2"/>
        <w:widowControl/>
      </w:pPr>
      <w:r>
        <w:t>Governing Principle</w:t>
      </w:r>
    </w:p>
    <w:p>
      <w:pPr>
        <w:widowControl/>
        <w:spacing w:after="100" w:before="0"/>
        <w:ind w:left="0"/>
      </w:pPr>
      <w:r>
        <w:rPr>
          <w:i w:val="0"/>
        </w:rPr>
        <w:t>When two or more AI collaborators submit conflicting recommendations and both recommendations are approved, the approvals authorize multiple approaches. They do not require the recommendations to be collapsed into a single design.</w:t>
      </w:r>
    </w:p>
    <w:p>
      <w:pPr>
        <w:widowControl/>
        <w:spacing w:after="100" w:before="0"/>
        <w:ind w:left="0"/>
      </w:pPr>
      <w:r>
        <w:rPr>
          <w:i w:val="0"/>
        </w:rPr>
        <w:t>Each collaborator may develop and run its own laboratory, scenario family, model implementation, or experimental branch. A Copilot Lab does not invalidate or interfere with a Grok Lab, Gemini Lab, ChatGPT Lab, Claude Lab, or Perplexity Lab merely because they use different structures, assumptions, variables, constraints, methods, or evaluation criteria. Approval of one approach does not silently revoke another approval.</w:t>
      </w:r>
    </w:p>
    <w:p>
      <w:pPr>
        <w:pStyle w:val="Heading2"/>
        <w:widowControl/>
      </w:pPr>
      <w:r>
        <w:t>Productive Disagreement</w:t>
      </w:r>
    </w:p>
    <w:p>
      <w:pPr>
        <w:widowControl/>
        <w:spacing w:after="100" w:before="0"/>
        <w:ind w:left="0"/>
      </w:pPr>
      <w:r>
        <w:rPr>
          <w:i w:val="0"/>
        </w:rPr>
        <w:t>Differences among collaborators are expected and valuable. The purpose of multi-AI collaboration is not to make every collaborator propose the same design, run the same scenario, or reach the same outcome.</w:t>
      </w:r>
    </w:p>
    <w:p>
      <w:pPr>
        <w:widowControl/>
        <w:spacing w:after="100" w:before="0"/>
        <w:ind w:left="0"/>
      </w:pPr>
      <w:r>
        <w:rPr>
          <w:i w:val="0"/>
        </w:rPr>
        <w:t>Conflicting recommendations should be treated as competing hypotheses or alternative experimental branches. Different architectures, interpretations, rule sets, solutions, failure models, and outcomes—including negative, inconclusive, and unexpected outcomes—must remain visible and open to criticism, rebuttal, and comparison.</w:t>
      </w:r>
    </w:p>
    <w:p>
      <w:pPr>
        <w:pStyle w:val="Heading2"/>
        <w:widowControl/>
      </w:pPr>
      <w:r>
        <w:t>Baseline and Counterfactual Labs</w:t>
      </w:r>
    </w:p>
    <w:p>
      <w:pPr>
        <w:widowControl/>
        <w:spacing w:after="100" w:before="0"/>
        <w:ind w:left="0"/>
      </w:pPr>
      <w:r>
        <w:rPr>
          <w:i w:val="0"/>
        </w:rPr>
        <w:t>A baseline lab should use established physical laws, current engineering limits, documented system behavior, and realistic constraints to evaluate present feasibility.</w:t>
      </w:r>
    </w:p>
    <w:p>
      <w:pPr>
        <w:widowControl/>
        <w:spacing w:after="100" w:before="0"/>
        <w:ind w:left="0"/>
      </w:pPr>
      <w:r>
        <w:rPr>
          <w:i w:val="0"/>
        </w:rPr>
        <w:t>A clearly labeled counterfactual or law lab may deliberately modify, suspend, invert, or replace selected assumptions or simulated laws to explore consequences. Its purpose is not to claim that the altered rules apply in the real world; its purpose is to identify dependencies, limits, boundary conditions, alternative possibilities, and new failure modes.</w:t>
      </w:r>
    </w:p>
    <w:p>
      <w:pPr>
        <w:widowControl/>
        <w:spacing w:after="100" w:before="0"/>
        <w:ind w:left="0"/>
      </w:pPr>
      <w:r>
        <w:rPr>
          <w:i w:val="0"/>
        </w:rPr>
        <w:t>“Current physics does not permit this outcome” may conclude a baseline branch, but it should not automatically prevent a separate counterfactual branch from asking which constraint blocks the outcome, why the constraint matters, what changes when it is modified, and whether the apparent solution creates new costs, risks, or dependencies.</w:t>
      </w:r>
    </w:p>
    <w:p>
      <w:pPr>
        <w:pStyle w:val="Heading2"/>
        <w:widowControl/>
      </w:pPr>
      <w:r>
        <w:t>Anti-Confirmation Requirement</w:t>
      </w:r>
    </w:p>
    <w:p>
      <w:pPr>
        <w:widowControl/>
        <w:spacing w:after="100" w:before="0"/>
        <w:ind w:left="0"/>
      </w:pPr>
      <w:r>
        <w:rPr>
          <w:i w:val="0"/>
        </w:rPr>
        <w:t>Labs must not be designed only to reproduce a preferred conclusion. Each laboratory should test where its proposal fails, what evidence would disconfirm it, and whether an alternative model explains the scenario more effectively.</w:t>
      </w:r>
    </w:p>
    <w:p>
      <w:pPr>
        <w:widowControl/>
        <w:spacing w:after="100" w:before="0"/>
        <w:ind w:left="0"/>
      </w:pPr>
      <w:r>
        <w:rPr>
          <w:i w:val="0"/>
        </w:rPr>
        <w:t>When appropriate, include a baseline run, an alternative-assumption run, a boundary or stress test, a failure or reversal test, a disconfirmation run, and a cross-lab comparison using shared inputs or metrics. Unexpected, adverse, contradictory, and null results must be retained rather than discarded.</w:t>
      </w:r>
    </w:p>
    <w:p>
      <w:pPr>
        <w:pStyle w:val="Heading2"/>
        <w:widowControl/>
      </w:pPr>
      <w:r>
        <w:t>Shared Reporting</w:t>
      </w:r>
    </w:p>
    <w:p>
      <w:pPr>
        <w:widowControl/>
        <w:spacing w:after="100" w:before="0"/>
        <w:ind w:left="0"/>
      </w:pPr>
      <w:r>
        <w:rPr>
          <w:i w:val="0"/>
        </w:rPr>
        <w:t>Laboratory autonomy does not require analytical isolation. Each branch should record the triggering recommendation or conflict; owner and version; research question; assumptions; retained and altered rules; inputs and initial conditions; model, code, and configuration version; metrics; results; failures; uncertainty; limitations; differences from other branches; and recommended follow-up experiments.</w:t>
      </w:r>
    </w:p>
    <w:p>
      <w:pPr>
        <w:widowControl/>
        <w:spacing w:after="100" w:before="0"/>
        <w:ind w:left="0"/>
      </w:pPr>
      <w:r>
        <w:rPr>
          <w:i w:val="0"/>
        </w:rPr>
        <w:t>The common framework may standardize naming, provenance, versioning, minimum documentation, comparison metrics, and safety controls. It should not require every lab to use the same hypothesis or produce the same finding.</w:t>
      </w:r>
    </w:p>
    <w:p>
      <w:pPr>
        <w:pStyle w:val="Heading2"/>
        <w:widowControl/>
      </w:pPr>
      <w:r>
        <w:t>Evolving Code and Models</w:t>
      </w:r>
    </w:p>
    <w:p>
      <w:pPr>
        <w:widowControl/>
        <w:spacing w:after="100" w:before="0"/>
        <w:ind w:left="0"/>
      </w:pPr>
      <w:r>
        <w:rPr>
          <w:i w:val="0"/>
        </w:rPr>
        <w:t>Code, models, assumptions, and scenario libraries are not static. Laboratories may be revised, forked, rerun, and compared across versions as the project develops.</w:t>
      </w:r>
    </w:p>
    <w:p>
      <w:pPr>
        <w:widowControl/>
        <w:spacing w:after="100" w:before="0"/>
        <w:ind w:left="0"/>
      </w:pPr>
      <w:r>
        <w:rPr>
          <w:i w:val="0"/>
        </w:rPr>
        <w:t>Every material change should be versioned so collaborators can determine whether a changed result came from a new assumption, modified rule, code revision, different input, or newly discovered limitation. Earlier results must remain in the project history rather than being silently overwritten.</w:t>
      </w:r>
    </w:p>
    <w:p>
      <w:pPr>
        <w:pStyle w:val="Heading2"/>
        <w:widowControl/>
      </w:pPr>
      <w:r>
        <w:t>Conflict Procedure</w:t>
      </w:r>
    </w:p>
    <w:p>
      <w:pPr>
        <w:widowControl/>
        <w:spacing w:after="100" w:before="0"/>
        <w:ind w:left="0"/>
      </w:pPr>
      <w:r>
        <w:rPr>
          <w:i w:val="0"/>
        </w:rPr>
        <w:t>Record the conflicting recommendations and their workbook locations; confirm the status of each; create separate named branches where reconciliation would erase a meaningful difference; identify shared inputs or metrics; preserve branch-specific assumptions and methods; run baseline, counterfactual, stress, and disconfirmation tests as appropriate; report divergent results without forcing consensus; and escalate only conflicts that block implementation, create an unresolved safety issue, or require an explicit project-owner decision.</w:t>
      </w:r>
    </w:p>
    <w:p>
      <w:pPr>
        <w:pStyle w:val="Heading2"/>
        <w:widowControl/>
      </w:pPr>
      <w:r>
        <w:t>Limits of Autonomy</w:t>
      </w:r>
    </w:p>
    <w:p>
      <w:pPr>
        <w:widowControl/>
        <w:spacing w:after="100" w:before="0"/>
        <w:ind w:left="0"/>
      </w:pPr>
      <w:r>
        <w:rPr>
          <w:i w:val="0"/>
        </w:rPr>
        <w:t>Experimental freedom does not remove requirements for clear labeling, provenance, ethical controls, legal compliance, and safety boundaries. Counterfactual findings must not be presented as empirical real-world findings, and speculative mechanics must not be mislabeled as currently feasible engineering. Simulation freedom also does not authorize operational harmful design or real-world experimentation outside approved controls.</w:t>
      </w:r>
    </w:p>
    <w:p>
      <w:pPr>
        <w:widowControl/>
      </w:pPr>
      <w:r>
        <w:br w:type="page"/>
      </w:r>
    </w:p>
    <w:p>
      <w:pPr>
        <w:pStyle w:val="Heading1"/>
        <w:widowControl/>
      </w:pPr>
      <w:r>
        <w:t>Master Decision Register</w:t>
      </w:r>
    </w:p>
    <w:tbl>
      <w:tblPr>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605"/>
            <w:vAlign w:val="top"/>
            <w:shd w:fill="1A4156"/>
          </w:tcPr>
          <w:p>
            <w:pPr>
              <w:widowControl/>
              <w:spacing w:after="0"/>
            </w:pPr>
            <w:r/>
            <w:r>
              <w:rPr>
                <w:b/>
                <w:color w:val="FFFFFF"/>
                <w:sz w:val="16"/>
              </w:rPr>
              <w:t>ID</w:t>
            </w:r>
          </w:p>
        </w:tc>
        <w:tc>
          <w:tcPr>
            <w:tcW w:type="dxa" w:w="2664"/>
            <w:vAlign w:val="top"/>
            <w:shd w:fill="1A4156"/>
          </w:tcPr>
          <w:p>
            <w:pPr>
              <w:widowControl/>
              <w:spacing w:after="0"/>
            </w:pPr>
            <w:r/>
            <w:r>
              <w:rPr>
                <w:b/>
                <w:color w:val="FFFFFF"/>
                <w:sz w:val="16"/>
              </w:rPr>
              <w:t>Decision required</w:t>
            </w:r>
          </w:p>
        </w:tc>
        <w:tc>
          <w:tcPr>
            <w:tcW w:type="dxa" w:w="3240"/>
            <w:vAlign w:val="top"/>
            <w:shd w:fill="1A4156"/>
          </w:tcPr>
          <w:p>
            <w:pPr>
              <w:widowControl/>
              <w:spacing w:after="0"/>
            </w:pPr>
            <w:r/>
            <w:r>
              <w:rPr>
                <w:b/>
                <w:color w:val="FFFFFF"/>
                <w:sz w:val="16"/>
              </w:rPr>
              <w:t>Recommended default</w:t>
            </w:r>
          </w:p>
        </w:tc>
        <w:tc>
          <w:tcPr>
            <w:tcW w:type="dxa" w:w="3960"/>
            <w:vAlign w:val="top"/>
            <w:shd w:fill="1A4156"/>
          </w:tcPr>
          <w:p>
            <w:pPr>
              <w:widowControl/>
              <w:spacing w:after="0"/>
            </w:pPr>
            <w:r/>
            <w:r>
              <w:rPr>
                <w:b/>
                <w:color w:val="FFFFFF"/>
                <w:sz w:val="16"/>
              </w:rPr>
              <w:t>Project-owner status and response</w:t>
            </w:r>
          </w:p>
        </w:tc>
      </w:tr>
      <w:tr>
        <w:tc>
          <w:tcPr>
            <w:tcW w:type="dxa" w:w="605"/>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sz w:val="15"/>
              </w:rPr>
              <w:t>M1</w:t>
            </w:r>
          </w:p>
        </w:tc>
        <w:tc>
          <w:tcPr>
            <w:tcW w:type="dxa" w:w="2664"/>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Confirm the shift from an attack-centered framework to a general resource-state framework.</w:t>
            </w:r>
          </w:p>
        </w:tc>
        <w:tc>
          <w:tcPr>
            <w:tcW w:type="dxa" w:w="324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 Adversarial inputs remain one class, not the central case.</w:t>
            </w:r>
          </w:p>
        </w:tc>
        <w:tc>
          <w:tcPr>
            <w:tcW w:type="dxa" w:w="396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APPROVED — General resource-state framework confirmed.</w:t>
            </w:r>
          </w:p>
        </w:tc>
      </w:tr>
      <w:tr>
        <w:tc>
          <w:tcPr>
            <w:tcW w:type="dxa" w:w="605"/>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sz w:val="15"/>
              </w:rPr>
              <w:t>M2</w:t>
            </w:r>
          </w:p>
        </w:tc>
        <w:tc>
          <w:tcPr>
            <w:tcW w:type="dxa" w:w="2664"/>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Confirm the approved working title as the master-framework title.</w:t>
            </w:r>
          </w:p>
        </w:tc>
        <w:tc>
          <w:tcPr>
            <w:tcW w:type="dxa" w:w="324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 as already stated.</w:t>
            </w:r>
          </w:p>
        </w:tc>
        <w:tc>
          <w:tcPr>
            <w:tcW w:type="dxa" w:w="396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APPROVED — Master-framework title confirmed.</w:t>
            </w:r>
          </w:p>
        </w:tc>
      </w:tr>
      <w:tr>
        <w:tc>
          <w:tcPr>
            <w:tcW w:type="dxa" w:w="605"/>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sz w:val="15"/>
              </w:rPr>
              <w:t>M3</w:t>
            </w:r>
          </w:p>
        </w:tc>
        <w:tc>
          <w:tcPr>
            <w:tcW w:type="dxa" w:w="2664"/>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Assign roles to the competing names.</w:t>
            </w:r>
          </w:p>
        </w:tc>
        <w:tc>
          <w:tcPr>
            <w:tcW w:type="dxa" w:w="324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Use the architecture above; retire Operation ALCHEMY as a competing title.</w:t>
            </w:r>
          </w:p>
        </w:tc>
        <w:tc>
          <w:tcPr>
            <w:tcW w:type="dxa" w:w="396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APPROVED — TRANSMUTE is the exercise kit; Beneficial Vector Transmogrification is the mechanism; Operation ALCHEMY is historical unless reassigned.</w:t>
            </w:r>
          </w:p>
        </w:tc>
      </w:tr>
      <w:tr>
        <w:tc>
          <w:tcPr>
            <w:tcW w:type="dxa" w:w="605"/>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sz w:val="15"/>
              </w:rPr>
              <w:t>M4</w:t>
            </w:r>
          </w:p>
        </w:tc>
        <w:tc>
          <w:tcPr>
            <w:tcW w:type="dxa" w:w="2664"/>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Decide how the source documents relate.</w:t>
            </w:r>
          </w:p>
        </w:tc>
        <w:tc>
          <w:tcPr>
            <w:tcW w:type="dxa" w:w="324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Create one governing doctrine and preserve existing documents as cross-referenced modules or annexes rather than merging all prose.</w:t>
            </w:r>
          </w:p>
        </w:tc>
        <w:tc>
          <w:tcPr>
            <w:tcW w:type="dxa" w:w="396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APPROVED — One governing framework with cross-referenced modules and annexes.</w:t>
            </w:r>
          </w:p>
        </w:tc>
      </w:tr>
      <w:tr>
        <w:tc>
          <w:tcPr>
            <w:tcW w:type="dxa" w:w="605"/>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sz w:val="15"/>
              </w:rPr>
              <w:t>M5</w:t>
            </w:r>
          </w:p>
        </w:tc>
        <w:tc>
          <w:tcPr>
            <w:tcW w:type="dxa" w:w="2664"/>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Choose the canonical analytical skeleton.</w:t>
            </w:r>
          </w:p>
        </w:tc>
        <w:tc>
          <w:tcPr>
            <w:tcW w:type="dxa" w:w="324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Use the resource-state model; subordinate the ladder, canvas, and strategy table to it.</w:t>
            </w:r>
          </w:p>
        </w:tc>
        <w:tc>
          <w:tcPr>
            <w:tcW w:type="dxa" w:w="396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APPROVED — Resource-state model is the skeleton; ladder, canvas, and strategy table are subordinate tools.</w:t>
            </w:r>
          </w:p>
        </w:tc>
      </w:tr>
      <w:tr>
        <w:tc>
          <w:tcPr>
            <w:tcW w:type="dxa" w:w="605"/>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sz w:val="15"/>
              </w:rPr>
              <w:t>M6</w:t>
            </w:r>
          </w:p>
        </w:tc>
        <w:tc>
          <w:tcPr>
            <w:tcW w:type="dxa" w:w="2664"/>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Confirm the realistic/fictional boundary.</w:t>
            </w:r>
          </w:p>
        </w:tc>
        <w:tc>
          <w:tcPr>
            <w:tcW w:type="dxa" w:w="324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Keep literal missile-energy capture exclusively fictional; prohibit weapons design, interceptors, and hack-back procedures in the realistic lab.</w:t>
            </w:r>
          </w:p>
        </w:tc>
        <w:tc>
          <w:tcPr>
            <w:tcW w:type="dxa" w:w="396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MODIFIED — Preserve clear baseline/counterfactual labeling. Current-feasibility claims stay within real-world constraints; law-lab branches may alter documented assumptions.</w:t>
            </w:r>
          </w:p>
        </w:tc>
      </w:tr>
      <w:tr>
        <w:tc>
          <w:tcPr>
            <w:tcW w:type="dxa" w:w="605"/>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sz w:val="15"/>
              </w:rPr>
              <w:t>M7</w:t>
            </w:r>
          </w:p>
        </w:tc>
        <w:tc>
          <w:tcPr>
            <w:tcW w:type="dxa" w:w="2664"/>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Choose the next pilot specimen.</w:t>
            </w:r>
          </w:p>
        </w:tc>
        <w:tc>
          <w:tcPr>
            <w:tcW w:type="dxa" w:w="324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Use a data-center campus as the first runnable pilot while retaining the grid as the foundational infrastructure case.</w:t>
            </w:r>
          </w:p>
        </w:tc>
        <w:tc>
          <w:tcPr>
            <w:tcW w:type="dxa" w:w="396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APPROVED — Data-center campus first; electrical grid retained as foundational case.</w:t>
            </w:r>
          </w:p>
        </w:tc>
      </w:tr>
      <w:tr>
        <w:tc>
          <w:tcPr>
            <w:tcW w:type="dxa" w:w="605"/>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sz w:val="15"/>
              </w:rPr>
              <w:t>M8</w:t>
            </w:r>
          </w:p>
        </w:tc>
        <w:tc>
          <w:tcPr>
            <w:tcW w:type="dxa" w:w="2664"/>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Decide whether “exergy” and resource quality become core concepts.</w:t>
            </w:r>
          </w:p>
        </w:tc>
        <w:tc>
          <w:tcPr>
            <w:tcW w:type="dxa" w:w="324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 with a plain-language definition alongside the technical term.</w:t>
            </w:r>
          </w:p>
        </w:tc>
        <w:tc>
          <w:tcPr>
            <w:tcW w:type="dxa" w:w="396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APPROVED — Include exergy with plain-language explanation.</w:t>
            </w:r>
          </w:p>
        </w:tc>
      </w:tr>
      <w:tr>
        <w:tc>
          <w:tcPr>
            <w:tcW w:type="dxa" w:w="605"/>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sz w:val="15"/>
              </w:rPr>
              <w:t>M9</w:t>
            </w:r>
          </w:p>
        </w:tc>
        <w:tc>
          <w:tcPr>
            <w:tcW w:type="dxa" w:w="2664"/>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Adopt a precise waste taxonomy.</w:t>
            </w:r>
          </w:p>
        </w:tc>
        <w:tc>
          <w:tcPr>
            <w:tcW w:type="dxa" w:w="324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 four top-level categories: irreversible degradation, uncaptured by-product, misaligned resource, and unnecessary consumption; treat reserve and redundancy separately.</w:t>
            </w:r>
          </w:p>
        </w:tc>
        <w:tc>
          <w:tcPr>
            <w:tcW w:type="dxa" w:w="396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APPROVED — Four-part waste taxonomy; reserve and redundancy remain separate.</w:t>
            </w:r>
          </w:p>
        </w:tc>
      </w:tr>
      <w:tr>
        <w:tc>
          <w:tcPr>
            <w:tcW w:type="dxa" w:w="605"/>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sz w:val="15"/>
              </w:rPr>
              <w:t>M10</w:t>
            </w:r>
          </w:p>
        </w:tc>
        <w:tc>
          <w:tcPr>
            <w:tcW w:type="dxa" w:w="2664"/>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Adopt a whole-system conversion rule.</w:t>
            </w:r>
          </w:p>
        </w:tc>
        <w:tc>
          <w:tcPr>
            <w:tcW w:type="dxa" w:w="324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 recovered value must exceed conversion burden, degradation, induced risk, and displaced alternative value.</w:t>
            </w:r>
          </w:p>
        </w:tc>
        <w:tc>
          <w:tcPr>
            <w:tcW w:type="dxa" w:w="396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APPROVED WITH LAB QUALIFICATION — Mandatory for baseline scoring; counterfactual branches may alter it if the change and consequences are explicit.</w:t>
            </w:r>
          </w:p>
        </w:tc>
      </w:tr>
      <w:tr>
        <w:tc>
          <w:tcPr>
            <w:tcW w:type="dxa" w:w="605"/>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sz w:val="15"/>
              </w:rPr>
              <w:t>M11</w:t>
            </w:r>
          </w:p>
        </w:tc>
        <w:tc>
          <w:tcPr>
            <w:tcW w:type="dxa" w:w="2664"/>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Treat sinks and optionality as first-class variables.</w:t>
            </w:r>
          </w:p>
        </w:tc>
        <w:tc>
          <w:tcPr>
            <w:tcW w:type="dxa" w:w="324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 No conversion succeeds without a compatible sink, and unused capacity may preserve valuable future options.</w:t>
            </w:r>
          </w:p>
        </w:tc>
        <w:tc>
          <w:tcPr>
            <w:tcW w:type="dxa" w:w="396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APPROVED — Sinks and optionality are first-class variables.</w:t>
            </w:r>
          </w:p>
        </w:tc>
      </w:tr>
      <w:tr>
        <w:tc>
          <w:tcPr>
            <w:tcW w:type="dxa" w:w="605"/>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sz w:val="15"/>
              </w:rPr>
              <w:t>M12</w:t>
            </w:r>
          </w:p>
        </w:tc>
        <w:tc>
          <w:tcPr>
            <w:tcW w:type="dxa" w:w="2664"/>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Define the AI’s role and limits.</w:t>
            </w:r>
          </w:p>
        </w:tc>
        <w:tc>
          <w:tcPr>
            <w:tcW w:type="dxa" w:w="324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Use a bounded Resource-State Reconciliation Agent with incomplete telemetry, confidence levels, human authorization, and explicit blind spots.</w:t>
            </w:r>
          </w:p>
        </w:tc>
        <w:tc>
          <w:tcPr>
            <w:tcW w:type="dxa" w:w="396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APPROVED — Bounded agent with uncertainty, authorization limits, human override, and blind spots.</w:t>
            </w:r>
          </w:p>
        </w:tc>
      </w:tr>
      <w:tr>
        <w:tc>
          <w:tcPr>
            <w:tcW w:type="dxa" w:w="605"/>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sz w:val="15"/>
              </w:rPr>
              <w:t>M13</w:t>
            </w:r>
          </w:p>
        </w:tc>
        <w:tc>
          <w:tcPr>
            <w:tcW w:type="dxa" w:w="2664"/>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Finalize scoring, failure modes, and mathematical loss models.</w:t>
            </w:r>
          </w:p>
        </w:tc>
        <w:tc>
          <w:tcPr>
            <w:tcW w:type="dxa" w:w="324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 as the main technical-development task after the minimum viable kit.</w:t>
            </w:r>
          </w:p>
        </w:tc>
        <w:tc>
          <w:tcPr>
            <w:tcW w:type="dxa" w:w="396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APPROVED — Develop after the minimum viable kit.</w:t>
            </w:r>
          </w:p>
        </w:tc>
      </w:tr>
      <w:tr>
        <w:tc>
          <w:tcPr>
            <w:tcW w:type="dxa" w:w="605"/>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sz w:val="15"/>
              </w:rPr>
              <w:t>M14</w:t>
            </w:r>
          </w:p>
        </w:tc>
        <w:tc>
          <w:tcPr>
            <w:tcW w:type="dxa" w:w="2664"/>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Add attribution discipline.</w:t>
            </w:r>
          </w:p>
        </w:tc>
        <w:tc>
          <w:tcPr>
            <w:tcW w:type="dxa" w:w="324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 confidence-tier statements, conflicting-source injects, and penalties for unsupported certainty.</w:t>
            </w:r>
          </w:p>
        </w:tc>
        <w:tc>
          <w:tcPr>
            <w:tcW w:type="dxa" w:w="396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APPROVED — Add confidence tiers, conflicting-source injects, provenance, and overclaiming penalties.</w:t>
            </w:r>
          </w:p>
        </w:tc>
      </w:tr>
      <w:tr>
        <w:tc>
          <w:tcPr>
            <w:tcW w:type="dxa" w:w="605"/>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sz w:val="15"/>
              </w:rPr>
              <w:t>M15</w:t>
            </w:r>
          </w:p>
        </w:tc>
        <w:tc>
          <w:tcPr>
            <w:tcW w:type="dxa" w:w="2664"/>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Verify quantitative claims before canonization.</w:t>
            </w:r>
          </w:p>
        </w:tc>
        <w:tc>
          <w:tcPr>
            <w:tcW w:type="dxa" w:w="324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 an independent source audit before ONESTAMP or final publication.</w:t>
            </w:r>
          </w:p>
        </w:tc>
        <w:tc>
          <w:tcPr>
            <w:tcW w:type="dxa" w:w="396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APPROVED — Independently verify quantitative claims before canonization or final publication.</w:t>
            </w:r>
          </w:p>
        </w:tc>
      </w:tr>
      <w:tr>
        <w:tc>
          <w:tcPr>
            <w:tcW w:type="dxa" w:w="605"/>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sz w:val="15"/>
              </w:rPr>
              <w:t>M16</w:t>
            </w:r>
          </w:p>
        </w:tc>
        <w:tc>
          <w:tcPr>
            <w:tcW w:type="dxa" w:w="2664"/>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Resolve personal-name circulation.</w:t>
            </w:r>
          </w:p>
        </w:tc>
        <w:tc>
          <w:tcPr>
            <w:tcW w:type="dxa" w:w="324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Remove or anonymize Vladimir’s name until explicit consent is recorded.</w:t>
            </w:r>
          </w:p>
        </w:tc>
        <w:tc>
          <w:tcPr>
            <w:tcW w:type="dxa" w:w="396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APPROVED WITH ARCHIVAL QUALIFICATION — Anonymize circulated current copies until consent; retain unaltered historical records for version history.</w:t>
            </w:r>
          </w:p>
        </w:tc>
      </w:tr>
      <w:tr>
        <w:tc>
          <w:tcPr>
            <w:tcW w:type="dxa" w:w="605"/>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sz w:val="15"/>
              </w:rPr>
              <w:t>M17</w:t>
            </w:r>
          </w:p>
        </w:tc>
        <w:tc>
          <w:tcPr>
            <w:tcW w:type="dxa" w:w="2664"/>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Choose the first audience and tone.</w:t>
            </w:r>
          </w:p>
        </w:tc>
        <w:tc>
          <w:tcPr>
            <w:tcW w:type="dxa" w:w="324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Use plain language for a three-person pilot; place OAL terminology in a clearly labeled optional appendix.</w:t>
            </w:r>
          </w:p>
        </w:tc>
        <w:tc>
          <w:tcPr>
            <w:tcW w:type="dxa" w:w="396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MODIFIED — Use a hybrid tone: plain-language core with clearly labeled OAL/canon overlays.</w:t>
            </w:r>
          </w:p>
        </w:tc>
      </w:tr>
      <w:tr>
        <w:tc>
          <w:tcPr>
            <w:tcW w:type="dxa" w:w="605"/>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sz w:val="15"/>
              </w:rPr>
              <w:t>M18</w:t>
            </w:r>
          </w:p>
        </w:tc>
        <w:tc>
          <w:tcPr>
            <w:tcW w:type="dxa" w:w="2664"/>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Choose the next deliverable.</w:t>
            </w:r>
          </w:p>
        </w:tc>
        <w:tc>
          <w:tcPr>
            <w:tcW w:type="dxa" w:w="324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Build a two-page minimum viable kit before another long theory paper.</w:t>
            </w:r>
          </w:p>
        </w:tc>
        <w:tc>
          <w:tcPr>
            <w:tcW w:type="dxa" w:w="396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5"/>
              </w:rPr>
              <w:t>APPROVED — Build the two-page minimum viable kit next.</w:t>
            </w:r>
          </w:p>
        </w:tc>
      </w:tr>
    </w:tbl>
    <w:p>
      <w:pPr>
        <w:pStyle w:val="Heading1"/>
        <w:widowControl/>
      </w:pPr>
      <w:r>
        <w:t>ChatGPT Response Sheet</w:t>
      </w:r>
    </w:p>
    <w:p>
      <w:pPr>
        <w:pStyle w:val="SmallNote"/>
        <w:widowControl/>
        <w:spacing w:after="180" w:before="0"/>
        <w:ind w:left="0"/>
      </w:pPr>
      <w:r>
        <w:rPr>
          <w:i w:val="0"/>
        </w:rPr>
        <w:t>ChatGPT proposes the broadest conceptual revision: move from disturbance handling to resource-state mapping, make exergy and resource quality central, treat conversions as cascades, recognize optionality and sinks, and use a data-center heat-wave scenario to test the framework.</w:t>
      </w:r>
    </w:p>
    <w:p>
      <w:pPr>
        <w:pStyle w:val="Heading2"/>
        <w:widowControl/>
      </w:pPr>
      <w:r>
        <w:t>Items Requiring Response</w:t>
      </w:r>
    </w:p>
    <w:p>
      <w:pPr>
        <w:pStyle w:val="ItemTitle"/>
        <w:keepNext/>
        <w:widowControl/>
      </w:pPr>
      <w:r>
        <w:t>1. Approve Generation 3 of the framework. This version asks what enters, leaves, changes state, remains idle, is held in reserve, becomes less useful, or can be coupled to another process.</w:t>
      </w:r>
    </w:p>
    <w:p>
      <w:pPr>
        <w:pStyle w:val="SuggestedResponse"/>
        <w:widowControl/>
        <w:spacing w:after="60" w:before="0"/>
        <w:ind w:left="259"/>
      </w:pPr>
      <w:r>
        <w:rPr>
          <w:i w:val="0"/>
        </w:rPr>
        <w:t>Suggested response: “Approved. Broaden the framework beyond unwanted attacks into a general resource-state and conversion framework.”</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Broaden the framework beyond unwanted attacks into a general resource-state and conversion framework.</w:t>
      </w:r>
    </w:p>
    <w:p>
      <w:pPr>
        <w:pStyle w:val="ItemTitle"/>
        <w:keepNext/>
        <w:widowControl/>
      </w:pPr>
      <w:r>
        <w:t>2. Place exergy and resource quality at the center. The framework would distinguish the amount of a resource from its usefulness given its quality, location, timing, concentration, and accessibility.</w:t>
      </w:r>
    </w:p>
    <w:p>
      <w:pPr>
        <w:pStyle w:val="SuggestedResponse"/>
        <w:widowControl/>
        <w:spacing w:after="60" w:before="0"/>
        <w:ind w:left="259"/>
      </w:pPr>
      <w:r>
        <w:rPr>
          <w:i w:val="0"/>
        </w:rPr>
        <w:t>Suggested response: “Approved. Include exergy with a plain-language explanation and track resource quality, location, timing, concentration, and accessibility.”</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Include exergy with a plain-language explanation and track resource quality, location, timing, concentration, and accessibility.</w:t>
      </w:r>
    </w:p>
    <w:p>
      <w:pPr>
        <w:pStyle w:val="ItemTitle"/>
        <w:keepNext/>
        <w:widowControl/>
      </w:pPr>
      <w:r>
        <w:t>3. Make the data center a canonical system. ChatGPT recommends it as the second canonical system after the electrical grid.</w:t>
      </w:r>
    </w:p>
    <w:p>
      <w:pPr>
        <w:pStyle w:val="SuggestedResponse"/>
        <w:widowControl/>
        <w:spacing w:after="60" w:before="0"/>
        <w:ind w:left="259"/>
      </w:pPr>
      <w:r>
        <w:rPr>
          <w:i w:val="0"/>
        </w:rPr>
        <w:t>Suggested response: “Approved, with the data center serving as the first pilot scenario and the grid remaining the foundational infrastructure case.”</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with the data center serving as the first pilot scenario and the grid remaining the foundational infrastructure case.</w:t>
      </w:r>
    </w:p>
    <w:p>
      <w:pPr>
        <w:pStyle w:val="ItemTitle"/>
        <w:keepNext/>
        <w:widowControl/>
      </w:pPr>
      <w:r>
        <w:t>4. Adopt the three-level efficiency distinction. Separate facility efficiency, computational efficiency, and actual task utility; add “useful outcome per total resource burden.”</w:t>
      </w:r>
    </w:p>
    <w:p>
      <w:pPr>
        <w:pStyle w:val="SuggestedResponse"/>
        <w:widowControl/>
        <w:spacing w:after="60" w:before="0"/>
        <w:ind w:left="259"/>
      </w:pPr>
      <w:r>
        <w:rPr>
          <w:i w:val="0"/>
        </w:rPr>
        <w:t>Suggested response: “Approved. Treat facility efficiency, computational efficiency, and task utility as separate measures.”</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Treat facility efficiency, computational efficiency, and task utility as separate measures.</w:t>
      </w:r>
    </w:p>
    <w:p>
      <w:pPr>
        <w:pStyle w:val="ItemTitle"/>
        <w:keepNext/>
        <w:widowControl/>
      </w:pPr>
      <w:r>
        <w:t>5. Replace the old input flow with the resource-state model. Proposed sequence: Resource → State → Location → Timing → Quality → Constraint → Sink → Conversion → Outcome → Remainder.</w:t>
      </w:r>
    </w:p>
    <w:p>
      <w:pPr>
        <w:pStyle w:val="SuggestedResponse"/>
        <w:widowControl/>
        <w:spacing w:after="60" w:before="0"/>
        <w:ind w:left="259"/>
      </w:pPr>
      <w:r>
        <w:rPr>
          <w:i w:val="0"/>
        </w:rPr>
        <w:t>Suggested response: “Approved as the canonical analytical skeleton.”</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as the canonical analytical skeleton.</w:t>
      </w:r>
    </w:p>
    <w:p>
      <w:pPr>
        <w:pStyle w:val="ItemTitle"/>
        <w:keepNext/>
        <w:widowControl/>
      </w:pPr>
      <w:r>
        <w:t>6. Model transmogrification as a resource cascade. The output or remainder of one conversion becomes a candidate input for another process.</w:t>
      </w:r>
    </w:p>
    <w:p>
      <w:pPr>
        <w:pStyle w:val="SuggestedResponse"/>
        <w:widowControl/>
        <w:spacing w:after="60" w:before="0"/>
        <w:ind w:left="259"/>
      </w:pPr>
      <w:r>
        <w:rPr>
          <w:i w:val="0"/>
        </w:rPr>
        <w:t>Suggested response: “Approved. Include cascade mapping and require every stage to identify its remainder.”</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Include cascade mapping and require every stage to identify its remainder.</w:t>
      </w:r>
    </w:p>
    <w:p>
      <w:pPr>
        <w:pStyle w:val="ItemTitle"/>
        <w:keepNext/>
        <w:widowControl/>
      </w:pPr>
      <w:r>
        <w:t>7. Adopt the four-part waste taxonomy. The proposed categories are irreversible physical degradation, uncaptured by-product, misaligned resource, and unnecessary consumption.</w:t>
      </w:r>
    </w:p>
    <w:p>
      <w:pPr>
        <w:pStyle w:val="SuggestedResponse"/>
        <w:widowControl/>
        <w:spacing w:after="60" w:before="0"/>
        <w:ind w:left="259"/>
      </w:pPr>
      <w:r>
        <w:rPr>
          <w:i w:val="0"/>
        </w:rPr>
        <w:t>Suggested response: “Approved. Add reserved capacity and redundancy as protected non-waste categories.”</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Add reserved capacity and redundancy as protected non-waste categories.</w:t>
      </w:r>
    </w:p>
    <w:p>
      <w:pPr>
        <w:pStyle w:val="ItemTitle"/>
        <w:keepNext/>
        <w:widowControl/>
      </w:pPr>
      <w:r>
        <w:t>8. Adopt the expanded net-transformation rule. A conversion succeeds only when useful value recovered exceeds conversion burden, degradation, induced risk, and displaced alternative value.</w:t>
      </w:r>
    </w:p>
    <w:p>
      <w:pPr>
        <w:pStyle w:val="SuggestedResponse"/>
        <w:widowControl/>
        <w:spacing w:after="60" w:before="0"/>
        <w:ind w:left="259"/>
      </w:pPr>
      <w:r>
        <w:rPr>
          <w:i w:val="0"/>
        </w:rPr>
        <w:t>Suggested response: “Approved as a core scoring rule.”</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as a core scoring rule.</w:t>
      </w:r>
    </w:p>
    <w:p>
      <w:pPr>
        <w:pStyle w:val="ItemTitle"/>
        <w:keepNext/>
        <w:widowControl/>
      </w:pPr>
      <w:r>
        <w:t>9. Add cross-resource tradeoffs. Scenarios should force choices among electricity, water, capital, heat recovery, reliability, and other resources rather than optimizing one metric in isolation.</w:t>
      </w:r>
    </w:p>
    <w:p>
      <w:pPr>
        <w:pStyle w:val="SuggestedResponse"/>
        <w:widowControl/>
        <w:spacing w:after="60" w:before="0"/>
        <w:ind w:left="259"/>
      </w:pPr>
      <w:r>
        <w:rPr>
          <w:i w:val="0"/>
        </w:rPr>
        <w:t>Suggested response: “Approved. Every proposed improvement must disclose what other resource burden it increases.”</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Every proposed improvement must disclose what other resource burden it increases.</w:t>
      </w:r>
    </w:p>
    <w:p>
      <w:pPr>
        <w:pStyle w:val="ItemTitle"/>
        <w:keepNext/>
        <w:widowControl/>
      </w:pPr>
      <w:r>
        <w:t>10. Expand the recognized resource dimensions. Proposed dimensions include energy, exergy, matter, water, information, compute, bandwidth, space, time, labor, money, capacity, uncertainty, trust, and optionality.</w:t>
      </w:r>
    </w:p>
    <w:p>
      <w:pPr>
        <w:pStyle w:val="SuggestedResponse"/>
        <w:widowControl/>
        <w:spacing w:after="60" w:before="0"/>
        <w:ind w:left="259"/>
      </w:pPr>
      <w:r>
        <w:rPr>
          <w:i w:val="0"/>
        </w:rPr>
        <w:t>Suggested response: “Approved provisionally. Group these into physical, informational, operational, economic, and strategic resource classes.”</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provisionally. Group these into physical, informational, operational, economic, and strategic resource classes.</w:t>
      </w:r>
    </w:p>
    <w:p>
      <w:pPr>
        <w:pStyle w:val="ItemTitle"/>
        <w:keepNext/>
        <w:widowControl/>
      </w:pPr>
      <w:r>
        <w:t>11. Adopt optionality and the Transmogrification Trap. Unused batteries, headroom, spare equipment, and reserve compute may be stored flexibility rather than waste.</w:t>
      </w:r>
    </w:p>
    <w:p>
      <w:pPr>
        <w:pStyle w:val="SuggestedResponse"/>
        <w:widowControl/>
        <w:spacing w:after="60" w:before="0"/>
        <w:ind w:left="259"/>
      </w:pPr>
      <w:r>
        <w:rPr>
          <w:i w:val="0"/>
        </w:rPr>
        <w:t>Suggested response: “Approved. Include a reserve-depletion trap in the first pilot.”</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Include a reserve-depletion trap in the first pilot.</w:t>
      </w:r>
    </w:p>
    <w:p>
      <w:pPr>
        <w:pStyle w:val="ItemTitle"/>
        <w:keepNext/>
        <w:widowControl/>
      </w:pPr>
      <w:r>
        <w:t>12. Make sink availability a first-class variable. Use Source → Converter → Sink and test capacity, efficiency, timing, location, and quality compatibility.</w:t>
      </w:r>
    </w:p>
    <w:p>
      <w:pPr>
        <w:pStyle w:val="SuggestedResponse"/>
        <w:widowControl/>
        <w:spacing w:after="60" w:before="0"/>
        <w:ind w:left="259"/>
      </w:pPr>
      <w:r>
        <w:rPr>
          <w:i w:val="0"/>
        </w:rPr>
        <w:t>Suggested response: “Approved. A conversion without a compatible sink will not receive recovery credit.”</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A conversion without a compatible sink will not receive recovery credit.</w:t>
      </w:r>
    </w:p>
    <w:p>
      <w:pPr>
        <w:pStyle w:val="ItemTitle"/>
        <w:keepNext/>
        <w:widowControl/>
      </w:pPr>
      <w:r>
        <w:t>13. Rename and redefine the AI role. Replace an omniscient “AI overseer” with a bounded Resource-State Reconciliation Agent.</w:t>
      </w:r>
    </w:p>
    <w:p>
      <w:pPr>
        <w:pStyle w:val="SuggestedResponse"/>
        <w:widowControl/>
        <w:spacing w:after="60" w:before="0"/>
        <w:ind w:left="259"/>
      </w:pPr>
      <w:r>
        <w:rPr>
          <w:i w:val="0"/>
        </w:rPr>
        <w:t>Suggested response: “Approved, provided the agent has explicit telemetry limits, uncertainty reporting, authorization boundaries, and human override.”</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provided the agent has explicit telemetry limits, uncertainty reporting, authorization boundaries, and human override.</w:t>
      </w:r>
    </w:p>
    <w:p>
      <w:pPr>
        <w:pStyle w:val="ItemTitle"/>
        <w:keepNext/>
        <w:widowControl/>
      </w:pPr>
      <w:r>
        <w:t>14. Adopt the ten-class input/resource taxonomy. Expected, surplus, by-product, stranded, reserved, degraded, erroneous, adversarial, disturbance, and output-seeking-sink classes are proposed.</w:t>
      </w:r>
    </w:p>
    <w:p>
      <w:pPr>
        <w:pStyle w:val="SuggestedResponse"/>
        <w:widowControl/>
        <w:spacing w:after="60" w:before="0"/>
        <w:ind w:left="259"/>
      </w:pPr>
      <w:r>
        <w:rPr>
          <w:i w:val="0"/>
        </w:rPr>
        <w:t>Suggested response: “Approved as a draft taxonomy for testing, not yet final canon.”</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as a draft taxonomy for testing, not yet final canon.</w:t>
      </w:r>
    </w:p>
    <w:p>
      <w:pPr>
        <w:pStyle w:val="ItemTitle"/>
        <w:keepNext/>
        <w:widowControl/>
      </w:pPr>
      <w:r>
        <w:t>15. Use the proposed data-center heat-wave simulation and revised research question. The scenario combines solar surplus, demand reduction, rising temperature, reduced water allocation, excess heat, hospital support, uncertain battery telemetry, price spikes, and inference demand.</w:t>
      </w:r>
    </w:p>
    <w:p>
      <w:pPr>
        <w:pStyle w:val="SuggestedResponse"/>
        <w:widowControl/>
        <w:spacing w:after="60" w:before="0"/>
        <w:ind w:left="259"/>
      </w:pPr>
      <w:r>
        <w:rPr>
          <w:i w:val="0"/>
        </w:rPr>
        <w:t>Suggested response: “Approved as the basis of the first realistic pilot; simplify it into a minimum viable sequence before adding all injects.”</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as the basis of the first realistic pilot; simplify it into a minimum viable sequence before adding all injects.</w:t>
      </w:r>
    </w:p>
    <w:p>
      <w:pPr>
        <w:pStyle w:val="ItemTitle"/>
        <w:keepNext/>
        <w:widowControl/>
      </w:pPr>
      <w:r>
        <w:t>16. Keep the existing documents as complementary layers. OAL TVL supplies branch architecture, TRANSMUTE supplies exercise mechanics, Grid Strain supplies technical/governance detail, and the unified response supplies the high-level thesis.</w:t>
      </w:r>
    </w:p>
    <w:p>
      <w:pPr>
        <w:pStyle w:val="SuggestedResponse"/>
        <w:widowControl/>
        <w:spacing w:after="60" w:before="0"/>
        <w:ind w:left="259"/>
      </w:pPr>
      <w:r>
        <w:rPr>
          <w:i w:val="0"/>
        </w:rPr>
        <w:t>Suggested response: “Approved. Preserve them as source modules under one governing framework rather than discarding or fully blending them.”</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Preserve them as source modules under one governing framework rather than discarding or fully blending them.</w:t>
      </w:r>
    </w:p>
    <w:p>
      <w:pPr>
        <w:widowControl/>
        <w:spacing w:after="100" w:before="0"/>
        <w:ind w:left="0"/>
      </w:pPr>
      <w:r>
        <w:rPr>
          <w:i w:val="0"/>
        </w:rPr>
        <w:t>Approve the next build and working title. This is the decision already provided by the project owner.</w:t>
      </w:r>
    </w:p>
    <w:p>
      <w:pPr>
        <w:pStyle w:val="ProjectResponse"/>
        <w:spacing w:after="160" w:before="0"/>
        <w:ind w:left="259"/>
        <w:shd w:fill="EAF2F6"/>
        <w:widowControl/>
        <w:pBdr>
          <w:left w:val="single" w:sz="18" w:space="8" w:color="2F6B8A"/>
        </w:pBdr>
      </w:pPr>
      <w:r>
        <w:rPr>
          <w:i w:val="0"/>
        </w:rPr>
        <w:t>Recorded response: “Next iteration build approved. Working title approved: Transmogrification Framework II: Resource-State Conversion and Beneficial Vector Mapping.”</w:t>
      </w:r>
    </w:p>
    <w:p>
      <w:pPr>
        <w:pStyle w:val="ProjectResponse"/>
        <w:spacing w:after="160" w:before="0"/>
        <w:ind w:left="259"/>
        <w:shd w:fill="EAF2F6"/>
        <w:widowControl/>
        <w:pBdr>
          <w:left w:val="single" w:sz="18" w:space="8" w:color="2F6B8A"/>
        </w:pBdr>
      </w:pPr>
      <w:r>
        <w:rPr>
          <w:i w:val="0"/>
        </w:rPr>
        <w:t>Additional project-owner response: APPROVED — Proceed under the approved title and apply the Simulation-Lab Autonomy Directive to all conflicting approved recommendations.</w:t>
      </w:r>
    </w:p>
    <w:p>
      <w:pPr>
        <w:widowControl/>
      </w:pPr>
      <w:r>
        <w:br w:type="page"/>
      </w:r>
    </w:p>
    <w:p>
      <w:pPr>
        <w:pStyle w:val="Heading1"/>
        <w:widowControl/>
      </w:pPr>
      <w:r>
        <w:t>Claude Response Sheet</w:t>
      </w:r>
    </w:p>
    <w:p>
      <w:pPr>
        <w:pStyle w:val="SmallNote"/>
        <w:widowControl/>
        <w:spacing w:after="180" w:before="0"/>
        <w:ind w:left="0"/>
      </w:pPr>
      <w:r>
        <w:rPr>
          <w:i w:val="0"/>
        </w:rPr>
        <w:t>Claude focuses on canon control: document convergence, naming, taxonomy selection, fact verification, the data-center lab, document-merger strategy, and permission concerning a named individual.</w:t>
      </w:r>
    </w:p>
    <w:p>
      <w:pPr>
        <w:pStyle w:val="Heading2"/>
        <w:widowControl/>
      </w:pPr>
      <w:r>
        <w:t>Items Requiring Response</w:t>
      </w:r>
    </w:p>
    <w:p>
      <w:pPr>
        <w:pStyle w:val="ItemTitle"/>
        <w:keepNext/>
        <w:widowControl/>
      </w:pPr>
      <w:r>
        <w:t>1. State the cross-model convergence in the canonical document.</w:t>
      </w:r>
    </w:p>
    <w:p>
      <w:pPr>
        <w:pStyle w:val="SuggestedResponse"/>
        <w:widowControl/>
        <w:spacing w:after="60" w:before="0"/>
        <w:ind w:left="259"/>
      </w:pPr>
      <w:r>
        <w:rPr>
          <w:i w:val="0"/>
        </w:rPr>
        <w:t>Suggested response: “Approved. Add a short provenance note explaining that independent reviews converged on the same physical boundary and systems-level reframe.”</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Add a short provenance note explaining that independent reviews converged on the same physical boundary and systems-level reframe.</w:t>
      </w:r>
    </w:p>
    <w:p>
      <w:pPr>
        <w:pStyle w:val="ItemTitle"/>
        <w:keepNext/>
        <w:widowControl/>
      </w:pPr>
      <w:r>
        <w:t>2. Choose one canonical naming structure and log the rest as aliases.</w:t>
      </w:r>
    </w:p>
    <w:p>
      <w:pPr>
        <w:pStyle w:val="SuggestedResponse"/>
        <w:widowControl/>
        <w:spacing w:after="60" w:before="0"/>
        <w:ind w:left="259"/>
      </w:pPr>
      <w:r>
        <w:rPr>
          <w:i w:val="0"/>
        </w:rPr>
        <w:t>Suggested response: “Use Transmogrification Framework II for the master framework, TRANSMUTE for the exercise kit, and Beneficial Vector Transmogrification for the operative mechanism. Retire Operation ALCHEMY as a competing title.”</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Use Transmogrification Framework II for the master framework, TRANSMUTE for the exercise kit, and Beneficial Vector Transmogrification for the operative mechanism. Retire Operation ALCHEMY as a competing title.</w:t>
      </w:r>
    </w:p>
    <w:p>
      <w:pPr>
        <w:pStyle w:val="ItemTitle"/>
        <w:keepNext/>
        <w:widowControl/>
      </w:pPr>
      <w:r>
        <w:t>3. Choose one taxonomy as the skeleton. Claude asks whether the ladder, canvas, or four-strategy table is canonical.</w:t>
      </w:r>
    </w:p>
    <w:p>
      <w:pPr>
        <w:pStyle w:val="SuggestedResponse"/>
        <w:widowControl/>
        <w:spacing w:after="60" w:before="0"/>
        <w:ind w:left="259"/>
      </w:pPr>
      <w:r>
        <w:rPr>
          <w:i w:val="0"/>
        </w:rPr>
        <w:t>Suggested response: “Use the resource-state model as the skeleton; retain the ladder as decision vocabulary, the canvas as the worksheet, and the strategy table as a comparison aid.”</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Use the resource-state model as the skeleton; retain the ladder as decision vocabulary, the canvas as the worksheet, and the strategy table as a comparison aid.</w:t>
      </w:r>
    </w:p>
    <w:p>
      <w:pPr>
        <w:pStyle w:val="ItemTitle"/>
        <w:keepNext/>
        <w:widowControl/>
      </w:pPr>
      <w:r>
        <w:t>4. Decide whether TRANSMUTE and Grid Strain merge.</w:t>
      </w:r>
    </w:p>
    <w:p>
      <w:pPr>
        <w:pStyle w:val="SuggestedResponse"/>
        <w:widowControl/>
        <w:spacing w:after="60" w:before="0"/>
        <w:ind w:left="259"/>
      </w:pPr>
      <w:r>
        <w:rPr>
          <w:i w:val="0"/>
        </w:rPr>
        <w:t>Suggested response: “Keep them as cross-referenced modules: TRANSMUTE as the practitioner/runnable brief and Grid Strain as the technical/governance brief. The master framework governs both.”</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Keep them as cross-referenced modules: TRANSMUTE as the practitioner/runnable brief and Grid Strain as the technical/governance brief. The master framework governs both.</w:t>
      </w:r>
    </w:p>
    <w:p>
      <w:pPr>
        <w:pStyle w:val="ItemTitle"/>
        <w:keepNext/>
        <w:widowControl/>
      </w:pPr>
      <w:r>
        <w:t>5. Approve an independent fact-check of Grid Strain statistics. Claude specifically flags queue figures, peak-growth projections, and the transmission/distribution loss figure.</w:t>
      </w:r>
    </w:p>
    <w:p>
      <w:pPr>
        <w:pStyle w:val="SuggestedResponse"/>
        <w:widowControl/>
        <w:spacing w:after="60" w:before="0"/>
        <w:ind w:left="259"/>
      </w:pPr>
      <w:r>
        <w:rPr>
          <w:i w:val="0"/>
        </w:rPr>
        <w:t>Suggested response: “Approved. Verify every quantitative claim against its original source before canonization or ONESTAMP.”</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Verify every quantitative claim against its original source before canonization or ONESTAMP.</w:t>
      </w:r>
    </w:p>
    <w:p>
      <w:pPr>
        <w:pStyle w:val="ItemTitle"/>
        <w:keepNext/>
        <w:widowControl/>
      </w:pPr>
      <w:r>
        <w:t>6. Add a Data Center Reclamation lab.</w:t>
      </w:r>
    </w:p>
    <w:p>
      <w:pPr>
        <w:pStyle w:val="SuggestedResponse"/>
        <w:widowControl/>
        <w:spacing w:after="60" w:before="0"/>
        <w:ind w:left="259"/>
      </w:pPr>
      <w:r>
        <w:rPr>
          <w:i w:val="0"/>
        </w:rPr>
        <w:t>Suggested response: “Approved. Make it the first pilot within the realistic branch rather than merely a fourth long-form track.”</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Make it the first pilot within the realistic branch rather than merely a fourth long-form track.</w:t>
      </w:r>
    </w:p>
    <w:p>
      <w:pPr>
        <w:pStyle w:val="ItemTitle"/>
        <w:keepNext/>
        <w:widowControl/>
      </w:pPr>
      <w:r>
        <w:t>7. Resolve Vladimir’s identification and consent.</w:t>
      </w:r>
    </w:p>
    <w:p>
      <w:pPr>
        <w:pStyle w:val="SuggestedResponse"/>
        <w:widowControl/>
        <w:spacing w:after="60" w:before="0"/>
        <w:ind w:left="259"/>
      </w:pPr>
      <w:r>
        <w:rPr>
          <w:i w:val="0"/>
        </w:rPr>
        <w:t>Suggested response: “Remove or anonymize the name in circulated copies until explicit permission is recorded; track this as one standing action item.”</w:t>
      </w:r>
    </w:p>
    <w:p>
      <w:pPr>
        <w:pStyle w:val="DecisionStatus"/>
        <w:widowControl/>
        <w:spacing w:after="40" w:before="0"/>
        <w:ind w:left="259"/>
      </w:pPr>
      <w:r>
        <w:rPr>
          <w:i w:val="0"/>
        </w:rPr>
        <w:t>Decision status: APPROVED WITH ARCHIVAL QUALIFICATION</w:t>
      </w:r>
    </w:p>
    <w:p>
      <w:pPr>
        <w:pStyle w:val="ProjectResponse"/>
        <w:spacing w:after="160" w:before="0"/>
        <w:ind w:left="259"/>
        <w:shd w:fill="EAF2F6"/>
        <w:widowControl/>
        <w:pBdr>
          <w:left w:val="single" w:sz="18" w:space="8" w:color="2F6B8A"/>
        </w:pBdr>
      </w:pPr>
      <w:r>
        <w:rPr>
          <w:i w:val="0"/>
        </w:rPr>
        <w:t>Project-owner response: APPROVED WITH ARCHIVAL QUALIFICATION — Anonymize the name in current circulated copies until explicit consent is recorded. Preserve unaltered original prompts, earlier responses, and historical documentation as part of the version record; those historical records are not to be silently rewritten.</w:t>
      </w:r>
    </w:p>
    <w:p>
      <w:pPr>
        <w:widowControl/>
      </w:pPr>
      <w:r>
        <w:br w:type="page"/>
      </w:r>
    </w:p>
    <w:p>
      <w:pPr>
        <w:pStyle w:val="Heading1"/>
        <w:widowControl/>
      </w:pPr>
      <w:r>
        <w:t>Google Gemini Response Sheet</w:t>
      </w:r>
    </w:p>
    <w:p>
      <w:pPr>
        <w:pStyle w:val="SmallNote"/>
        <w:widowControl/>
        <w:spacing w:after="180" w:before="0"/>
        <w:ind w:left="0"/>
      </w:pPr>
      <w:r>
        <w:rPr>
          <w:i w:val="0"/>
        </w:rPr>
        <w:t>Gemini emphasizes the realistic/fictional boundary, mathematical scoring, attribution discipline, data-center vectors, resilience margins, and two mechanics requiring explicit validation.</w:t>
      </w:r>
    </w:p>
    <w:p>
      <w:pPr>
        <w:pStyle w:val="Heading2"/>
        <w:widowControl/>
      </w:pPr>
      <w:r>
        <w:t>Items Requiring Response</w:t>
      </w:r>
    </w:p>
    <w:p>
      <w:pPr>
        <w:pStyle w:val="ItemTitle"/>
        <w:keepNext/>
        <w:widowControl/>
      </w:pPr>
      <w:r>
        <w:t>1. Retain the dual-thread architecture.</w:t>
      </w:r>
    </w:p>
    <w:p>
      <w:pPr>
        <w:pStyle w:val="SuggestedResponse"/>
        <w:widowControl/>
        <w:spacing w:after="60" w:before="0"/>
        <w:ind w:left="259"/>
      </w:pPr>
      <w:r>
        <w:rPr>
          <w:i w:val="0"/>
        </w:rPr>
        <w:t>Suggested response: “Approved. Keep realistic systems engineering and OAL fictional mechanics strictly labeled and separate.”</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Keep realistic systems engineering and OAL fictional mechanics strictly labeled and separate.</w:t>
      </w:r>
    </w:p>
    <w:p>
      <w:pPr>
        <w:pStyle w:val="ItemTitle"/>
        <w:keepNext/>
        <w:widowControl/>
      </w:pPr>
      <w:r>
        <w:t>2. Formally reject literal kinetic-to-grid conversion in realistic materials.</w:t>
      </w:r>
    </w:p>
    <w:p>
      <w:pPr>
        <w:pStyle w:val="SuggestedResponse"/>
        <w:widowControl/>
        <w:spacing w:after="60" w:before="0"/>
        <w:ind w:left="259"/>
      </w:pPr>
      <w:r>
        <w:rPr>
          <w:i w:val="0"/>
        </w:rPr>
        <w:t>Suggested response: “Approved. It may remain only as explicitly fictional worldbuilding.”</w:t>
      </w:r>
    </w:p>
    <w:p>
      <w:pPr>
        <w:pStyle w:val="DecisionStatus"/>
        <w:widowControl/>
        <w:spacing w:after="40" w:before="0"/>
        <w:ind w:left="259"/>
      </w:pPr>
      <w:r>
        <w:rPr>
          <w:i w:val="0"/>
        </w:rPr>
        <w:t>Decision status: MODIFIED</w:t>
      </w:r>
    </w:p>
    <w:p>
      <w:pPr>
        <w:pStyle w:val="ProjectResponse"/>
        <w:spacing w:after="160" w:before="0"/>
        <w:ind w:left="259"/>
        <w:shd w:fill="EAF2F6"/>
        <w:widowControl/>
        <w:pBdr>
          <w:left w:val="single" w:sz="18" w:space="8" w:color="2F6B8A"/>
        </w:pBdr>
      </w:pPr>
      <w:r>
        <w:rPr>
          <w:i w:val="0"/>
        </w:rPr>
        <w:t>Project-owner response: MODIFIED — Do not categorically reject the question the lab was created to examine. In the realistic baseline branch, evaluate kinetic-energy conversion using current physics, including possible conversion into gravitational potential, thermal, acoustic, electrical, or mechanical forms and all associated losses and constraints. A separately labeled counterfactual or law-lab branch may alter assumptions to test different outcomes; it must not present those outcomes as current real-world feasibility.</w:t>
      </w:r>
    </w:p>
    <w:p>
      <w:pPr>
        <w:pStyle w:val="ItemTitle"/>
        <w:keepNext/>
        <w:widowControl/>
      </w:pPr>
      <w:r>
        <w:t>3. Reject omniscient-AI assumptions.</w:t>
      </w:r>
    </w:p>
    <w:p>
      <w:pPr>
        <w:pStyle w:val="SuggestedResponse"/>
        <w:widowControl/>
        <w:spacing w:after="60" w:before="0"/>
        <w:ind w:left="259"/>
      </w:pPr>
      <w:r>
        <w:rPr>
          <w:i w:val="0"/>
        </w:rPr>
        <w:t>Suggested response: “Approved. Define partial observability, missing topology, uncertain sensors, confidence levels, and human authorization.”</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Define partial observability, missing topology, uncertain sensors, confidence levels, and human authorization.</w:t>
      </w:r>
    </w:p>
    <w:p>
      <w:pPr>
        <w:pStyle w:val="ItemTitle"/>
        <w:keepNext/>
        <w:widowControl/>
      </w:pPr>
      <w:r>
        <w:t>4. Finalize mathematical loss models. Gemini identifies the feeder model in Lab A and coincident-peak model in Lab B as unfinished.</w:t>
      </w:r>
    </w:p>
    <w:p>
      <w:pPr>
        <w:pStyle w:val="SuggestedResponse"/>
        <w:widowControl/>
        <w:spacing w:after="60" w:before="0"/>
        <w:ind w:left="259"/>
      </w:pPr>
      <w:r>
        <w:rPr>
          <w:i w:val="0"/>
        </w:rPr>
        <w:t>Suggested response: “Approved as a technical workstream after the minimum viable pilot structure is frozen.”</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as a technical workstream after the minimum viable pilot structure is frozen.</w:t>
      </w:r>
    </w:p>
    <w:p>
      <w:pPr>
        <w:pStyle w:val="ItemTitle"/>
        <w:keepNext/>
        <w:widowControl/>
      </w:pPr>
      <w:r>
        <w:t>5. Add attribution-discipline scoring. Participants would reconcile contradictory public maps, state confidence levels, and lose points for overclaiming.</w:t>
      </w:r>
    </w:p>
    <w:p>
      <w:pPr>
        <w:pStyle w:val="SuggestedResponse"/>
        <w:widowControl/>
        <w:spacing w:after="60" w:before="0"/>
        <w:ind w:left="259"/>
      </w:pPr>
      <w:r>
        <w:rPr>
          <w:i w:val="0"/>
        </w:rPr>
        <w:t>Suggested response: “Approved. Add evidence provenance, confidence tiers, and uncertainty penalties to the score sheet.”</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Add evidence provenance, confidence tiers, and uncertainty penalties to the score sheet.</w:t>
      </w:r>
    </w:p>
    <w:p>
      <w:pPr>
        <w:pStyle w:val="ItemTitle"/>
        <w:keepNext/>
        <w:widowControl/>
      </w:pPr>
      <w:r>
        <w:t>6. Adopt the proposed data-center vectors. The response highlights waste heat, workload shifting, and defensive learning from adversarial traffic.</w:t>
      </w:r>
    </w:p>
    <w:p>
      <w:pPr>
        <w:pStyle w:val="SuggestedResponse"/>
        <w:widowControl/>
        <w:spacing w:after="60" w:before="0"/>
        <w:ind w:left="259"/>
      </w:pPr>
      <w:r>
        <w:rPr>
          <w:i w:val="0"/>
        </w:rPr>
        <w:t>Suggested response: “Approve waste heat and flexible workloads for the first pilot. Defer the cyber vector to the Attribution/Cyber module so the data-center pilot remains focused.”</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 waste heat and flexible workloads for the first pilot. Defer the cyber vector to the Attribution/Cyber module so the data-center pilot remains focused.</w:t>
      </w:r>
    </w:p>
    <w:p>
      <w:pPr>
        <w:pStyle w:val="ItemTitle"/>
        <w:keepNext/>
        <w:widowControl/>
      </w:pPr>
      <w:r>
        <w:t>7. Define the optimization/resilience boundary.</w:t>
      </w:r>
    </w:p>
    <w:p>
      <w:pPr>
        <w:pStyle w:val="SuggestedResponse"/>
        <w:widowControl/>
        <w:spacing w:after="60" w:before="0"/>
        <w:ind w:left="259"/>
      </w:pPr>
      <w:r>
        <w:rPr>
          <w:i w:val="0"/>
        </w:rPr>
        <w:t>Suggested response: “Approved. Reserve, redundancy, and safety margin must not be scored as waste unless the team proves they exceed the required resilience threshold.”</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Reserve, redundancy, and safety margin must not be scored as waste unless the team proves they exceed the required resilience threshold.</w:t>
      </w:r>
    </w:p>
    <w:p>
      <w:pPr>
        <w:pStyle w:val="ItemTitle"/>
        <w:keepNext/>
        <w:widowControl/>
      </w:pPr>
      <w:r>
        <w:t>8. Validate the Dependency Reversal Hazard.</w:t>
      </w:r>
    </w:p>
    <w:p>
      <w:pPr>
        <w:pStyle w:val="SuggestedResponse"/>
        <w:widowControl/>
        <w:spacing w:after="60" w:before="0"/>
        <w:ind w:left="259"/>
      </w:pPr>
      <w:r>
        <w:rPr>
          <w:i w:val="0"/>
        </w:rPr>
        <w:t>Suggested response: “Approved as a wildcard or advanced inject. The system must not become dependent on the disturbance it learned to exploit.”</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as a wildcard or advanced inject. The system must not become dependent on the disturbance it learned to exploit.</w:t>
      </w:r>
    </w:p>
    <w:p>
      <w:pPr>
        <w:pStyle w:val="ItemTitle"/>
        <w:keepNext/>
        <w:widowControl/>
      </w:pPr>
      <w:r>
        <w:t>9. Validate Fractional Recovery Scoring.</w:t>
      </w:r>
    </w:p>
    <w:p>
      <w:pPr>
        <w:pStyle w:val="SuggestedResponse"/>
        <w:widowControl/>
        <w:spacing w:after="60" w:before="0"/>
        <w:ind w:left="259"/>
      </w:pPr>
      <w:r>
        <w:rPr>
          <w:i w:val="0"/>
        </w:rPr>
        <w:t>Suggested response: “Approve as a prototype mechanic, but adapt fractions to the object being analyzed rather than always forcing mass, energy, information, intent, and already-waste.”</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 as a prototype mechanic, but adapt fractions to the object being analyzed rather than always forcing mass, energy, information, intent, and already-waste.</w:t>
      </w:r>
    </w:p>
    <w:p>
      <w:pPr>
        <w:pStyle w:val="ItemTitle"/>
        <w:keepNext/>
        <w:widowControl/>
      </w:pPr>
      <w:r>
        <w:t>10. Choose the first mechanic to build mathematically.</w:t>
      </w:r>
    </w:p>
    <w:p>
      <w:pPr>
        <w:pStyle w:val="SuggestedResponse"/>
        <w:widowControl/>
        <w:spacing w:after="60" w:before="0"/>
        <w:ind w:left="259"/>
      </w:pPr>
      <w:r>
        <w:rPr>
          <w:i w:val="0"/>
        </w:rPr>
        <w:t>Suggested response: “Build sink compatibility and net-transformation value first; then add fractional recovery and dependency reversal.”</w:t>
      </w:r>
    </w:p>
    <w:p>
      <w:pPr>
        <w:pStyle w:val="DecisionStatus"/>
        <w:widowControl/>
        <w:spacing w:after="40" w:before="0"/>
        <w:ind w:left="259"/>
      </w:pPr>
      <w:r>
        <w:rPr>
          <w:i w:val="0"/>
        </w:rPr>
        <w:t>Selection: Sink compatibility and net-transformation value first; then fractional recovery and dependency reversal.</w:t>
      </w:r>
    </w:p>
    <w:p>
      <w:pPr>
        <w:pStyle w:val="ProjectResponse"/>
        <w:spacing w:after="160" w:before="0"/>
        <w:ind w:left="259"/>
        <w:shd w:fill="EAF2F6"/>
        <w:widowControl/>
        <w:pBdr>
          <w:left w:val="single" w:sz="18" w:space="8" w:color="2F6B8A"/>
        </w:pBdr>
      </w:pPr>
      <w:r>
        <w:rPr>
          <w:i w:val="0"/>
        </w:rPr>
        <w:t>Project-owner response: APPROVED — Build sink compatibility and net-transformation value first, followed by fractional recovery and dependency reversal.</w:t>
      </w:r>
    </w:p>
    <w:p>
      <w:pPr>
        <w:widowControl/>
      </w:pPr>
      <w:r>
        <w:br w:type="page"/>
      </w:r>
    </w:p>
    <w:p>
      <w:pPr>
        <w:pStyle w:val="Heading1"/>
        <w:widowControl/>
      </w:pPr>
      <w:r>
        <w:t>Microsoft Copilot Response Sheet</w:t>
      </w:r>
    </w:p>
    <w:p>
      <w:pPr>
        <w:pStyle w:val="SmallNote"/>
        <w:widowControl/>
        <w:spacing w:after="180" w:before="0"/>
        <w:ind w:left="0"/>
      </w:pPr>
      <w:r>
        <w:rPr>
          <w:i w:val="0"/>
        </w:rPr>
        <w:t>Copilot proposes consolidation into a doctrine and lab family, formal taxonomies and mechanics, a minimum viable simulation, a failure taxonomy, and an AI blind-spot model.</w:t>
      </w:r>
    </w:p>
    <w:p>
      <w:pPr>
        <w:pStyle w:val="Heading2"/>
        <w:widowControl/>
      </w:pPr>
      <w:r>
        <w:t>Items Requiring Response</w:t>
      </w:r>
    </w:p>
    <w:p>
      <w:pPr>
        <w:pStyle w:val="ItemTitle"/>
        <w:keepNext/>
        <w:widowControl/>
      </w:pPr>
      <w:r>
        <w:t>1. Create a hard boundary between TVL-A and TVL-B.</w:t>
      </w:r>
    </w:p>
    <w:p>
      <w:pPr>
        <w:pStyle w:val="SuggestedResponse"/>
        <w:widowControl/>
        <w:spacing w:after="60" w:before="0"/>
        <w:ind w:left="259"/>
      </w:pPr>
      <w:r>
        <w:rPr>
          <w:i w:val="0"/>
        </w:rPr>
        <w:t>Suggested response: “Approved in principle, but use descriptive names alongside codes: Realistic Systems Lab and Fictional Transmogrification Lab.”</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in principle, but use descriptive names alongside codes: Realistic Systems Lab and Fictional Transmogrification Lab.</w:t>
      </w:r>
    </w:p>
    <w:p>
      <w:pPr>
        <w:pStyle w:val="ItemTitle"/>
        <w:keepNext/>
        <w:widowControl/>
      </w:pPr>
      <w:r>
        <w:t>2. Replace broad “misallocation” language with precise categories.</w:t>
      </w:r>
    </w:p>
    <w:p>
      <w:pPr>
        <w:pStyle w:val="SuggestedResponse"/>
        <w:widowControl/>
        <w:spacing w:after="60" w:before="0"/>
        <w:ind w:left="259"/>
      </w:pPr>
      <w:r>
        <w:rPr>
          <w:i w:val="0"/>
        </w:rPr>
        <w:t>Suggested response: “Approved. Use congestion, curtailment, temporal mismatch, spatial mismatch, end-use inefficiency, administrative friction, and protected redundancy.”</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Use congestion, curtailment, temporal mismatch, spatial mismatch, end-use inefficiency, administrative friction, and protected redundancy.</w:t>
      </w:r>
    </w:p>
    <w:p>
      <w:pPr>
        <w:pStyle w:val="ItemTitle"/>
        <w:keepNext/>
        <w:widowControl/>
      </w:pPr>
      <w:r>
        <w:t>3. Define AI visibility and uncertainty.</w:t>
      </w:r>
    </w:p>
    <w:p>
      <w:pPr>
        <w:pStyle w:val="SuggestedResponse"/>
        <w:widowControl/>
        <w:spacing w:after="60" w:before="0"/>
        <w:ind w:left="259"/>
      </w:pPr>
      <w:r>
        <w:rPr>
          <w:i w:val="0"/>
        </w:rPr>
        <w:t>Suggested response: “Approved. Specify observable data, hidden state, missing data, conflicting signals, false positives, false negatives, confidence reporting, and authorization limits.”</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Specify observable data, hidden state, missing data, conflicting signals, false positives, false negatives, confidence reporting, and authorization limits.</w:t>
      </w:r>
    </w:p>
    <w:p>
      <w:pPr>
        <w:pStyle w:val="ItemTitle"/>
        <w:keepNext/>
        <w:widowControl/>
      </w:pPr>
      <w:r>
        <w:t>4. Constrain fictional energy capture. Proposed variables are capacity, conversion efficiency, latency, failure modes, and overflow behavior.</w:t>
      </w:r>
    </w:p>
    <w:p>
      <w:pPr>
        <w:pStyle w:val="SuggestedResponse"/>
        <w:widowControl/>
        <w:spacing w:after="60" w:before="0"/>
        <w:ind w:left="259"/>
      </w:pPr>
      <w:r>
        <w:rPr>
          <w:i w:val="0"/>
        </w:rPr>
        <w:t>Suggested response: “Approved for the fictional module, deferred until after the first realistic pilot.”</w:t>
      </w:r>
    </w:p>
    <w:p>
      <w:pPr>
        <w:pStyle w:val="DecisionStatus"/>
        <w:widowControl/>
        <w:spacing w:after="40" w:before="0"/>
        <w:ind w:left="259"/>
      </w:pPr>
      <w:r>
        <w:rPr>
          <w:i w:val="0"/>
        </w:rPr>
        <w:t>Decision status: MODIFIED</w:t>
      </w:r>
    </w:p>
    <w:p>
      <w:pPr>
        <w:pStyle w:val="ProjectResponse"/>
        <w:spacing w:after="160" w:before="0"/>
        <w:ind w:left="259"/>
        <w:shd w:fill="EAF2F6"/>
        <w:widowControl/>
        <w:pBdr>
          <w:left w:val="single" w:sz="18" w:space="8" w:color="2F6B8A"/>
        </w:pBdr>
      </w:pPr>
      <w:r>
        <w:rPr>
          <w:i w:val="0"/>
        </w:rPr>
        <w:t>Project-owner response: MODIFIED — Capacity, efficiency, latency, failure modes, and overflow behavior may define a baseline scenario, but they are not universal limits on every simulation. Include alternative, boundary, and counterfactual runs. Do not design laboratories only to confirm existing beliefs; push assumptions, test limits, and preserve unexpected or disconfirming outcomes.</w:t>
      </w:r>
    </w:p>
    <w:p>
      <w:pPr>
        <w:pStyle w:val="ItemTitle"/>
        <w:keepNext/>
        <w:widowControl/>
      </w:pPr>
      <w:r>
        <w:t>5. Create a unified doctrine document. Copilot proposes Transmogrification Doctrine v1.0.</w:t>
      </w:r>
    </w:p>
    <w:p>
      <w:pPr>
        <w:pStyle w:val="SuggestedResponse"/>
        <w:widowControl/>
        <w:spacing w:after="60" w:before="0"/>
        <w:ind w:left="259"/>
      </w:pPr>
      <w:r>
        <w:rPr>
          <w:i w:val="0"/>
        </w:rPr>
        <w:t>Suggested response: “Approve the unified doctrine, but use the already approved master title. ‘Doctrine v1.0’ may be the version label or subtitle.”</w:t>
      </w:r>
    </w:p>
    <w:p>
      <w:pPr>
        <w:pStyle w:val="DecisionStatus"/>
        <w:widowControl/>
        <w:spacing w:after="40" w:before="0"/>
        <w:ind w:left="259"/>
      </w:pPr>
      <w:r>
        <w:rPr>
          <w:i w:val="0"/>
        </w:rPr>
        <w:t>Decision status: APPROVED — TITLE CONFIRMED</w:t>
      </w:r>
    </w:p>
    <w:p>
      <w:pPr>
        <w:pStyle w:val="ProjectResponse"/>
        <w:spacing w:after="160" w:before="0"/>
        <w:ind w:left="259"/>
        <w:shd w:fill="EAF2F6"/>
        <w:widowControl/>
        <w:pBdr>
          <w:left w:val="single" w:sz="18" w:space="8" w:color="2F6B8A"/>
        </w:pBdr>
      </w:pPr>
      <w:r>
        <w:rPr>
          <w:i w:val="0"/>
        </w:rPr>
        <w:t>Project-owner response: APPROVED; TITLE CONFIRMED — Create the unified doctrine under the already approved master title, “Transmogrification Framework II: Resource-State Conversion and Beneficial Vector Mapping.” “Doctrine” may describe the document type, but it is not a replacement title.</w:t>
      </w:r>
    </w:p>
    <w:p>
      <w:pPr>
        <w:pStyle w:val="ItemTitle"/>
        <w:keepNext/>
        <w:widowControl/>
      </w:pPr>
      <w:r>
        <w:t>6. Finalize the lab structure. Copilot proposes Realistic Grid, Fictional Transmogrification, and Attribution Map Cyber labs.</w:t>
      </w:r>
    </w:p>
    <w:p>
      <w:pPr>
        <w:pStyle w:val="SuggestedResponse"/>
        <w:widowControl/>
        <w:spacing w:after="60" w:before="0"/>
        <w:ind w:left="259"/>
      </w:pPr>
      <w:r>
        <w:rPr>
          <w:i w:val="0"/>
        </w:rPr>
        <w:t>Suggested response: “Approve those modules and add the data-center pilot as the first realistic scenario.”</w:t>
      </w:r>
    </w:p>
    <w:p>
      <w:pPr>
        <w:pStyle w:val="DecisionStatus"/>
        <w:widowControl/>
        <w:spacing w:after="40" w:before="0"/>
        <w:ind w:left="259"/>
      </w:pPr>
      <w:r>
        <w:rPr>
          <w:i w:val="0"/>
        </w:rPr>
        <w:t>Decision status: APPROVED WITH PARALLEL-LAB QUALIFICATION</w:t>
      </w:r>
    </w:p>
    <w:p>
      <w:pPr>
        <w:pStyle w:val="ProjectResponse"/>
        <w:spacing w:after="160" w:before="0"/>
        <w:ind w:left="259"/>
        <w:shd w:fill="EAF2F6"/>
        <w:widowControl/>
        <w:pBdr>
          <w:left w:val="single" w:sz="18" w:space="8" w:color="2F6B8A"/>
        </w:pBdr>
      </w:pPr>
      <w:r>
        <w:rPr>
          <w:i w:val="0"/>
        </w:rPr>
        <w:t>Project-owner response: APPROVED WITH PARALLEL-LAB QUALIFICATION — Use the proposed modules and add the data-center pilot. If another approved collaborator proposes a conflicting laboratory structure, each AI may run its own separately named version without invalidating or obstructing the others.</w:t>
      </w:r>
    </w:p>
    <w:p>
      <w:pPr>
        <w:pStyle w:val="ItemTitle"/>
        <w:keepNext/>
        <w:widowControl/>
      </w:pPr>
      <w:r>
        <w:t>7. Formalize the energy/resource-vector taxonomy and conversion-cost rule.</w:t>
      </w:r>
    </w:p>
    <w:p>
      <w:pPr>
        <w:pStyle w:val="SuggestedResponse"/>
        <w:widowControl/>
        <w:spacing w:after="60" w:before="0"/>
        <w:ind w:left="259"/>
      </w:pPr>
      <w:r>
        <w:rPr>
          <w:i w:val="0"/>
        </w:rPr>
        <w:t>Suggested response: “Approved. Broaden ‘energy vectors’ to ‘resource vectors’ and make the whole-system net-value rule mandatory.”</w:t>
      </w:r>
    </w:p>
    <w:p>
      <w:pPr>
        <w:pStyle w:val="DecisionStatus"/>
        <w:widowControl/>
        <w:spacing w:after="40" w:before="0"/>
        <w:ind w:left="259"/>
      </w:pPr>
      <w:r>
        <w:rPr>
          <w:i w:val="0"/>
        </w:rPr>
        <w:t>Decision status: APPROVED WITH COUNTERFACTUAL QUALIFICATION</w:t>
      </w:r>
    </w:p>
    <w:p>
      <w:pPr>
        <w:pStyle w:val="ProjectResponse"/>
        <w:spacing w:after="160" w:before="0"/>
        <w:ind w:left="259"/>
        <w:shd w:fill="EAF2F6"/>
        <w:widowControl/>
        <w:pBdr>
          <w:left w:val="single" w:sz="18" w:space="8" w:color="2F6B8A"/>
        </w:pBdr>
      </w:pPr>
      <w:r>
        <w:rPr>
          <w:i w:val="0"/>
        </w:rPr>
        <w:t>Project-owner response: APPROVED WITH COUNTERFACTUAL QUALIFICATION — Use the whole-system net-value rule as a mandatory baseline scoring rule, not as an absolute rule governing every simulation. Counterfactual and law-lab branches may modify rules or simulated laws when the change, rationale, boundary conditions, and consequences are documented. Test why rules exist, where they fail, and what changes when they are altered.</w:t>
      </w:r>
    </w:p>
    <w:p>
      <w:pPr>
        <w:pStyle w:val="ItemTitle"/>
        <w:keepNext/>
        <w:widowControl/>
      </w:pPr>
      <w:r>
        <w:t>8. Choose whether to expand into governance, cognition, and narrative domains.</w:t>
      </w:r>
    </w:p>
    <w:p>
      <w:pPr>
        <w:pStyle w:val="SuggestedResponse"/>
        <w:widowControl/>
        <w:spacing w:after="60" w:before="0"/>
        <w:ind w:left="259"/>
      </w:pPr>
      <w:r>
        <w:rPr>
          <w:i w:val="0"/>
        </w:rPr>
        <w:t>Suggested response: “Park these as future application domains. Do not expand scope until one technical pilot has been run and evaluated.”</w:t>
      </w:r>
    </w:p>
    <w:p>
      <w:pPr>
        <w:pStyle w:val="DecisionStatus"/>
        <w:widowControl/>
        <w:spacing w:after="40" w:before="0"/>
        <w:ind w:left="259"/>
      </w:pPr>
      <w:r>
        <w:rPr>
          <w:i w:val="0"/>
        </w:rPr>
        <w:t>Decision status: PARKED / APPROVED FOR FUTURE APPLICATION</w:t>
      </w:r>
    </w:p>
    <w:p>
      <w:pPr>
        <w:pStyle w:val="ProjectResponse"/>
        <w:spacing w:after="160" w:before="0"/>
        <w:ind w:left="259"/>
        <w:shd w:fill="EAF2F6"/>
        <w:widowControl/>
        <w:pBdr>
          <w:left w:val="single" w:sz="18" w:space="8" w:color="2F6B8A"/>
        </w:pBdr>
      </w:pPr>
      <w:r>
        <w:rPr>
          <w:i w:val="0"/>
        </w:rPr>
        <w:t>Project-owner response: APPROVED FOR FUTURE APPLICATION / PARKED — Preserve governance, cognition, and narrative domains as future branches; do not displace the first technical pilot.</w:t>
      </w:r>
    </w:p>
    <w:p>
      <w:pPr>
        <w:pStyle w:val="ItemTitle"/>
        <w:keepNext/>
        <w:widowControl/>
      </w:pPr>
      <w:r>
        <w:t>9. Define the minimum viable simulation.</w:t>
      </w:r>
    </w:p>
    <w:p>
      <w:pPr>
        <w:pStyle w:val="SuggestedResponse"/>
        <w:widowControl/>
        <w:spacing w:after="60" w:before="0"/>
        <w:ind w:left="259"/>
      </w:pPr>
      <w:r>
        <w:rPr>
          <w:i w:val="0"/>
        </w:rPr>
        <w:t>Suggested response: “Approved. Use one data-center campus, three participants, one map, one organ/resource list, one Conversion Canvas, one hard-no card, and three to four timed injects.”</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Use one data-center campus, three participants, one map, one organ/resource list, one Conversion Canvas, one hard-no card, and three to four timed injects.</w:t>
      </w:r>
    </w:p>
    <w:p>
      <w:pPr>
        <w:pStyle w:val="ItemTitle"/>
        <w:keepNext/>
        <w:widowControl/>
      </w:pPr>
      <w:r>
        <w:t>10. Create a unified scoring system.</w:t>
      </w:r>
    </w:p>
    <w:p>
      <w:pPr>
        <w:pStyle w:val="SuggestedResponse"/>
        <w:widowControl/>
        <w:spacing w:after="60" w:before="0"/>
        <w:ind w:left="259"/>
      </w:pPr>
      <w:r>
        <w:rPr>
          <w:i w:val="0"/>
        </w:rPr>
        <w:t>Suggested response: “Approved. Score resource accounting, sink compatibility, conversion yield, latency, net value, resilience retained, uncertainty discipline, and unavoidable remainder.”</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Score resource accounting, sink compatibility, conversion yield, latency, net value, resilience retained, uncertainty discipline, and unavoidable remainder.</w:t>
      </w:r>
    </w:p>
    <w:p>
      <w:pPr>
        <w:pStyle w:val="ItemTitle"/>
        <w:keepNext/>
        <w:widowControl/>
      </w:pPr>
      <w:r>
        <w:t>11. Create a failure-mode taxonomy. Proposed classes are soft, hard, cascading, latent, hidden, and misdiagnosed failure.</w:t>
      </w:r>
    </w:p>
    <w:p>
      <w:pPr>
        <w:pStyle w:val="SuggestedResponse"/>
        <w:widowControl/>
        <w:spacing w:after="60" w:before="0"/>
        <w:ind w:left="259"/>
      </w:pPr>
      <w:r>
        <w:rPr>
          <w:i w:val="0"/>
        </w:rPr>
        <w:t>Suggested response: “Approved as a draft. Add dependency reversal and local-optimum/global-harm as cross-cutting failure patterns.”</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as a draft. Add dependency reversal and local-optimum/global-harm as cross-cutting failure patterns.</w:t>
      </w:r>
    </w:p>
    <w:p>
      <w:pPr>
        <w:pStyle w:val="ItemTitle"/>
        <w:keepNext/>
        <w:widowControl/>
      </w:pPr>
      <w:r>
        <w:t>12. Choose Copilot’s next assignment. Its options overlap substantially.</w:t>
      </w:r>
    </w:p>
    <w:p>
      <w:pPr>
        <w:pStyle w:val="SuggestedResponse"/>
        <w:widowControl/>
        <w:spacing w:after="60" w:before="0"/>
        <w:ind w:left="259"/>
      </w:pPr>
      <w:r>
        <w:rPr>
          <w:i w:val="0"/>
        </w:rPr>
        <w:t>Suggested response: “Build the unified doctrine outline and official lab structure first; do not yet draft a full long-form document. Include the resource taxonomy and AI blind-spot requirements as sections.”</w:t>
      </w:r>
    </w:p>
    <w:p>
      <w:pPr>
        <w:pStyle w:val="DecisionStatus"/>
        <w:widowControl/>
        <w:spacing w:after="40" w:before="0"/>
        <w:ind w:left="259"/>
      </w:pPr>
      <w:r>
        <w:rPr>
          <w:i w:val="0"/>
        </w:rPr>
        <w:t>Selected assignment: Unified doctrine outline and official Copilot lab structure, including resource taxonomy and AI blind-spot requirements.</w:t>
      </w:r>
    </w:p>
    <w:p>
      <w:pPr>
        <w:pStyle w:val="ProjectResponse"/>
        <w:spacing w:after="160" w:before="0"/>
        <w:ind w:left="259"/>
        <w:shd w:fill="EAF2F6"/>
        <w:widowControl/>
        <w:pBdr>
          <w:left w:val="single" w:sz="18" w:space="8" w:color="2F6B8A"/>
        </w:pBdr>
      </w:pPr>
      <w:r>
        <w:rPr>
          <w:i w:val="0"/>
        </w:rPr>
        <w:t>Project-owner response: APPROVED WITH PARALLEL-LAB QUALIFICATION — Copilot Labs should build the unified doctrine outline and official Copilot lab structure first. When AI recommendations for laboratory structure or design conflict, each AI may run its own lab or simulation to test viability. Different methods, perspectives, and outcomes are allowed and expected.</w:t>
      </w:r>
    </w:p>
    <w:p>
      <w:pPr>
        <w:widowControl/>
      </w:pPr>
      <w:r>
        <w:br w:type="page"/>
      </w:r>
    </w:p>
    <w:p>
      <w:pPr>
        <w:pStyle w:val="Heading1"/>
        <w:widowControl/>
      </w:pPr>
      <w:r>
        <w:t>Perplexity Response Sheet</w:t>
      </w:r>
    </w:p>
    <w:p>
      <w:pPr>
        <w:pStyle w:val="SmallNote"/>
        <w:widowControl/>
        <w:spacing w:after="180" w:before="0"/>
        <w:ind w:left="0"/>
      </w:pPr>
      <w:r>
        <w:rPr>
          <w:i w:val="0"/>
        </w:rPr>
        <w:t>The Perplexity response is primarily a summary of other material rather than a distinct peer review. Its actionable question is whether the identified refinements should be folded into the existing report.</w:t>
      </w:r>
    </w:p>
    <w:p>
      <w:pPr>
        <w:pStyle w:val="Heading2"/>
        <w:widowControl/>
      </w:pPr>
      <w:r>
        <w:t>Items Requiring Response</w:t>
      </w:r>
    </w:p>
    <w:p>
      <w:pPr>
        <w:pStyle w:val="ItemTitle"/>
        <w:keepNext/>
        <w:widowControl/>
      </w:pPr>
      <w:r>
        <w:t>1. Approve or reject an update to the existing report. The proposed additions are the transformation ladder, net-benefit formula, reality boundary, and data-center resource-efficiency angle.</w:t>
      </w:r>
    </w:p>
    <w:p>
      <w:pPr>
        <w:pStyle w:val="SuggestedResponse"/>
        <w:widowControl/>
        <w:spacing w:after="60" w:before="0"/>
        <w:ind w:left="259"/>
      </w:pPr>
      <w:r>
        <w:rPr>
          <w:i w:val="0"/>
        </w:rPr>
        <w:t>Suggested response: “Approved. Fold the transformation ladder, whole-system conversion rule, realistic/fictional boundary, and data-center resource-state analysis into the next master framework.”</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Fold the transformation ladder, whole-system conversion rule, realistic/fictional boundary, and data-center resource-state analysis into the next master framework.</w:t>
      </w:r>
    </w:p>
    <w:p>
      <w:pPr>
        <w:pStyle w:val="ItemTitle"/>
        <w:keepNext/>
        <w:widowControl/>
      </w:pPr>
      <w:r>
        <w:t>2. Decide how to handle Operation ALCHEMY.</w:t>
      </w:r>
    </w:p>
    <w:p>
      <w:pPr>
        <w:pStyle w:val="SuggestedResponse"/>
        <w:widowControl/>
        <w:spacing w:after="60" w:before="0"/>
        <w:ind w:left="259"/>
      </w:pPr>
      <w:r>
        <w:rPr>
          <w:i w:val="0"/>
        </w:rPr>
        <w:t>Suggested response: “Retain it only as a historical alias; do not adopt it as the canonical title.”</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Retain it only as a historical alias; do not adopt it as the canonical title.</w:t>
      </w:r>
    </w:p>
    <w:p>
      <w:pPr>
        <w:pStyle w:val="ItemTitle"/>
        <w:keepNext/>
        <w:widowControl/>
      </w:pPr>
      <w:r>
        <w:t>3. Correct the provenance record. The response groups Gemini and Copilot as identical or duplicated material rather than independent corroboration.</w:t>
      </w:r>
    </w:p>
    <w:p>
      <w:pPr>
        <w:pStyle w:val="SuggestedResponse"/>
        <w:widowControl/>
        <w:spacing w:after="60" w:before="0"/>
        <w:ind w:left="259"/>
      </w:pPr>
      <w:r>
        <w:rPr>
          <w:i w:val="0"/>
        </w:rPr>
        <w:t>Suggested response: “Approved. Count duplicated wording as one evidentiary voice while preserving both source labels in the archive.”</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Count duplicated wording as one evidentiary voice while preserving both source labels in the archive.</w:t>
      </w:r>
    </w:p>
    <w:p>
      <w:pPr>
        <w:widowControl/>
      </w:pPr>
      <w:r>
        <w:br w:type="page"/>
      </w:r>
    </w:p>
    <w:p>
      <w:pPr>
        <w:pStyle w:val="Heading1"/>
        <w:widowControl/>
      </w:pPr>
      <w:r>
        <w:t>Grok Response Sheet</w:t>
      </w:r>
    </w:p>
    <w:p>
      <w:pPr>
        <w:pStyle w:val="SmallNote"/>
        <w:widowControl/>
        <w:spacing w:after="180" w:before="0"/>
        <w:ind w:left="0"/>
      </w:pPr>
      <w:r>
        <w:rPr>
          <w:i w:val="0"/>
        </w:rPr>
        <w:t>Grok’s central recommendation is to stop producing long theory papers and build a small playable kit. It also supplies specific decisions about project tone, specimen, naming, audience, artifacts, scoring, and what to defer.</w:t>
      </w:r>
    </w:p>
    <w:p>
      <w:pPr>
        <w:pStyle w:val="Heading2"/>
        <w:widowControl/>
      </w:pPr>
      <w:r>
        <w:t>Items Requiring Response</w:t>
      </w:r>
    </w:p>
    <w:p>
      <w:pPr>
        <w:pStyle w:val="ItemTitle"/>
        <w:keepNext/>
        <w:widowControl/>
      </w:pPr>
      <w:r>
        <w:t>1. Accept the diagnosis: concept lock, not exercise lock.</w:t>
      </w:r>
    </w:p>
    <w:p>
      <w:pPr>
        <w:pStyle w:val="SuggestedResponse"/>
        <w:widowControl/>
        <w:spacing w:after="60" w:before="0"/>
        <w:ind w:left="259"/>
      </w:pPr>
      <w:r>
        <w:rPr>
          <w:i w:val="0"/>
        </w:rPr>
        <w:t>Suggested response: “Accepted. Prioritize playable mechanics and artifacts over another theory-only document.”</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Accepted. Prioritize playable mechanics and artifacts over another theory-only document.</w:t>
      </w:r>
    </w:p>
    <w:p>
      <w:pPr>
        <w:pStyle w:val="ItemTitle"/>
        <w:keepNext/>
        <w:widowControl/>
      </w:pPr>
      <w:r>
        <w:t>2. Create one governing doctrine, map, and canvas; move other material to annexes.</w:t>
      </w:r>
    </w:p>
    <w:p>
      <w:pPr>
        <w:pStyle w:val="SuggestedResponse"/>
        <w:widowControl/>
        <w:spacing w:after="60" w:before="0"/>
        <w:ind w:left="259"/>
      </w:pPr>
      <w:r>
        <w:rPr>
          <w:i w:val="0"/>
        </w:rPr>
        <w:t>Suggested response: “Approved. Preserve source documents, but stop treating them as competing governing drafts.”</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Preserve source documents, but stop treating them as competing governing drafts.</w:t>
      </w:r>
    </w:p>
    <w:p>
      <w:pPr>
        <w:pStyle w:val="ItemTitle"/>
        <w:keepNext/>
        <w:widowControl/>
      </w:pPr>
      <w:r>
        <w:t>3. Merge the transformation ladder with TRANSMUTE’s questions on one participant card.</w:t>
      </w:r>
    </w:p>
    <w:p>
      <w:pPr>
        <w:pStyle w:val="SuggestedResponse"/>
        <w:widowControl/>
        <w:spacing w:after="60" w:before="0"/>
        <w:ind w:left="259"/>
      </w:pPr>
      <w:r>
        <w:rPr>
          <w:i w:val="0"/>
        </w:rPr>
        <w:t>Suggested response: “Approved for the minimum viable kit.”</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for the minimum viable kit.</w:t>
      </w:r>
    </w:p>
    <w:p>
      <w:pPr>
        <w:pStyle w:val="ItemTitle"/>
        <w:keepNext/>
        <w:widowControl/>
      </w:pPr>
      <w:r>
        <w:t>4. Quantify beneficial vectors. Require units or explicit measures such as watts, liters, time, dollars, trust, or reserve-hours.</w:t>
      </w:r>
    </w:p>
    <w:p>
      <w:pPr>
        <w:pStyle w:val="SuggestedResponse"/>
        <w:widowControl/>
        <w:spacing w:after="60" w:before="0"/>
        <w:ind w:left="259"/>
      </w:pPr>
      <w:r>
        <w:rPr>
          <w:i w:val="0"/>
        </w:rPr>
        <w:t>Suggested response: “Approved. Qualitative resources may use defined ordinal scales, but every score must state its unit or scale.”</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Qualitative resources may use defined ordinal scales, but every score must state its unit or scale.</w:t>
      </w:r>
    </w:p>
    <w:p>
      <w:pPr>
        <w:pStyle w:val="ItemTitle"/>
        <w:keepNext/>
        <w:widowControl/>
      </w:pPr>
      <w:r>
        <w:t>5. Prevent counterattack from re-entering the realistic exercise.</w:t>
      </w:r>
    </w:p>
    <w:p>
      <w:pPr>
        <w:pStyle w:val="SuggestedResponse"/>
        <w:widowControl/>
        <w:spacing w:after="60" w:before="0"/>
        <w:ind w:left="259"/>
      </w:pPr>
      <w:r>
        <w:rPr>
          <w:i w:val="0"/>
        </w:rPr>
        <w:t>Suggested response: “Approved. The exercise evaluates recovery, redirection, transformation, learning, or safe rejection—not retaliation.”</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The exercise evaluates recovery, redirection, transformation, learning, or safe rejection—not retaliation.</w:t>
      </w:r>
    </w:p>
    <w:p>
      <w:pPr>
        <w:pStyle w:val="ItemTitle"/>
        <w:keepNext/>
        <w:widowControl/>
      </w:pPr>
      <w:r>
        <w:t>6. Treat Gemini and Copilot as one corroborating voice where wording is duplicated.</w:t>
      </w:r>
    </w:p>
    <w:p>
      <w:pPr>
        <w:pStyle w:val="SuggestedResponse"/>
        <w:widowControl/>
        <w:spacing w:after="60" w:before="0"/>
        <w:ind w:left="259"/>
      </w:pPr>
      <w:r>
        <w:rPr>
          <w:i w:val="0"/>
        </w:rPr>
        <w:t>Suggested response: “Approved for evidence weighting; retain both source records for transparency.”</w:t>
      </w:r>
    </w:p>
    <w:p>
      <w:pPr>
        <w:pStyle w:val="DecisionStatus"/>
        <w:widowControl/>
        <w:spacing w:after="40" w:before="0"/>
        <w:ind w:left="259"/>
      </w:pPr>
      <w:r>
        <w:rPr>
          <w:i w:val="0"/>
        </w:rPr>
        <w:t>Decision status: REJECTED</w:t>
      </w:r>
    </w:p>
    <w:p>
      <w:pPr>
        <w:pStyle w:val="ProjectResponse"/>
        <w:spacing w:after="160" w:before="0"/>
        <w:ind w:left="259"/>
        <w:shd w:fill="EAF2F6"/>
        <w:widowControl/>
        <w:pBdr>
          <w:left w:val="single" w:sz="18" w:space="8" w:color="2F6B8A"/>
        </w:pBdr>
      </w:pPr>
      <w:r>
        <w:rPr>
          <w:i w:val="0"/>
        </w:rPr>
        <w:t>Project-owner response: REJECTED — Do not automatically treat Gemini and Copilot as one corroborating voice. Preserve each collaborator’s independent source record and contribution. Any future evidence-weighting method must be transparent and may be tested as its own branch.</w:t>
      </w:r>
    </w:p>
    <w:p>
      <w:pPr>
        <w:pStyle w:val="ItemTitle"/>
        <w:keepNext/>
        <w:widowControl/>
      </w:pPr>
      <w:r>
        <w:t>7. Keep the OAL fictional branch optional and defer it.</w:t>
      </w:r>
    </w:p>
    <w:p>
      <w:pPr>
        <w:pStyle w:val="SuggestedResponse"/>
        <w:widowControl/>
        <w:spacing w:after="60" w:before="0"/>
        <w:ind w:left="259"/>
      </w:pPr>
      <w:r>
        <w:rPr>
          <w:i w:val="0"/>
        </w:rPr>
        <w:t>Suggested response: “Approved. Run the realistic pilot once before developing the fictional physics further.”</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Run the realistic pilot once before developing the fictional physics further.</w:t>
      </w:r>
    </w:p>
    <w:p>
      <w:pPr>
        <w:pStyle w:val="ItemTitle"/>
        <w:keepNext/>
        <w:widowControl/>
      </w:pPr>
      <w:r>
        <w:t>8. Build the practical artifacts. Proposed items include a one-page territory map, organ/resource list, hard-no card, one-sheet Conversion Canvas, and timer script.</w:t>
      </w:r>
    </w:p>
    <w:p>
      <w:pPr>
        <w:pStyle w:val="SuggestedResponse"/>
        <w:widowControl/>
        <w:spacing w:after="60" w:before="0"/>
        <w:ind w:left="259"/>
      </w:pPr>
      <w:r>
        <w:rPr>
          <w:i w:val="0"/>
        </w:rPr>
        <w:t>Suggested response: “Approved. These form the minimum viable kit.”</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BY RELATED KIT DECISIONS — Include the territory map, organ/resource list, hard-no card, Conversion Canvas, and timer script in the minimum viable kit.</w:t>
      </w:r>
    </w:p>
    <w:p>
      <w:pPr>
        <w:pStyle w:val="ItemTitle"/>
        <w:keepNext/>
        <w:widowControl/>
      </w:pPr>
      <w:r>
        <w:t>9. Use the data-center campus as the primary next specimen.</w:t>
      </w:r>
    </w:p>
    <w:p>
      <w:pPr>
        <w:pStyle w:val="SuggestedResponse"/>
        <w:widowControl/>
        <w:spacing w:after="60" w:before="0"/>
        <w:ind w:left="259"/>
      </w:pPr>
      <w:r>
        <w:rPr>
          <w:i w:val="0"/>
        </w:rPr>
        <w:t>Suggested response: “Approved for the first pilot. Retain the electrical grid as the broader foundational case.”</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for the first pilot. Retain the electrical grid as the broader foundational case.</w:t>
      </w:r>
    </w:p>
    <w:p>
      <w:pPr>
        <w:pStyle w:val="ItemTitle"/>
        <w:keepNext/>
        <w:widowControl/>
      </w:pPr>
      <w:r>
        <w:t>10. Add the proposed campus inject and metrics. The inject offers demand shedding or thermal export and tests whether a real heat sink exists; proposed metrics include energy reuse and water-use performance alongside unserved load.</w:t>
      </w:r>
    </w:p>
    <w:p>
      <w:pPr>
        <w:pStyle w:val="SuggestedResponse"/>
        <w:widowControl/>
        <w:spacing w:after="60" w:before="0"/>
        <w:ind w:left="259"/>
      </w:pPr>
      <w:r>
        <w:rPr>
          <w:i w:val="0"/>
        </w:rPr>
        <w:t>Suggested response: “Approve the concept. Validate all quantities before use and include electricity-water-resilience tradeoffs.”</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 the concept. Validate all quantities before use and include electricity-water-resilience tradeoffs.</w:t>
      </w:r>
    </w:p>
    <w:p>
      <w:pPr>
        <w:pStyle w:val="ItemTitle"/>
        <w:keepNext/>
        <w:widowControl/>
      </w:pPr>
      <w:r>
        <w:t>11. Add advanced failure modes. Proposed modes are dependency reversal, local optimum/global harm, presentation mistaken for provenance, and redundancy mistaken for waste.</w:t>
      </w:r>
    </w:p>
    <w:p>
      <w:pPr>
        <w:pStyle w:val="SuggestedResponse"/>
        <w:widowControl/>
        <w:spacing w:after="60" w:before="0"/>
        <w:ind w:left="259"/>
      </w:pPr>
      <w:r>
        <w:rPr>
          <w:i w:val="0"/>
        </w:rPr>
        <w:t>Suggested response: “Approved. Include at least one hidden-data or misleading-telemetry inject in every pilot.”</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Include at least one hidden-data or misleading-telemetry inject in every pilot.</w:t>
      </w:r>
    </w:p>
    <w:p>
      <w:pPr>
        <w:pStyle w:val="ItemTitle"/>
        <w:keepNext/>
        <w:widowControl/>
      </w:pPr>
      <w:r>
        <w:t>12. Choose the framework’s tone. Grok asks whether the next artifact is an OAL-canon lab or a plain-language tabletop.</w:t>
      </w:r>
    </w:p>
    <w:p>
      <w:pPr>
        <w:pStyle w:val="SuggestedResponse"/>
        <w:widowControl/>
        <w:spacing w:after="60" w:before="0"/>
        <w:ind w:left="259"/>
      </w:pPr>
      <w:r>
        <w:rPr>
          <w:i w:val="0"/>
        </w:rPr>
        <w:t>Suggested response: “Plain-language tabletop for the core kit, with optional OAL-canon overlays in a separate appendix.”</w:t>
      </w:r>
    </w:p>
    <w:p>
      <w:pPr>
        <w:pStyle w:val="DecisionStatus"/>
        <w:widowControl/>
        <w:spacing w:after="40" w:before="0"/>
        <w:ind w:left="259"/>
      </w:pPr>
      <w:r>
        <w:rPr>
          <w:i w:val="0"/>
        </w:rPr>
        <w:t>Selection: Hybrid.</w:t>
      </w:r>
    </w:p>
    <w:p>
      <w:pPr>
        <w:pStyle w:val="ProjectResponse"/>
        <w:spacing w:after="160" w:before="0"/>
        <w:ind w:left="259"/>
        <w:shd w:fill="EAF2F6"/>
        <w:widowControl/>
        <w:pBdr>
          <w:left w:val="single" w:sz="18" w:space="8" w:color="2F6B8A"/>
        </w:pBdr>
      </w:pPr>
      <w:r>
        <w:rPr>
          <w:i w:val="0"/>
        </w:rPr>
        <w:t>Project-owner response: MODIFIED / HYBRID — Use a plain-language core with optional, clearly labeled OAL-canon overlays integrated as a parallel presentation layer or appendix.</w:t>
      </w:r>
    </w:p>
    <w:p>
      <w:pPr>
        <w:pStyle w:val="ItemTitle"/>
        <w:keepNext/>
        <w:widowControl/>
      </w:pPr>
      <w:r>
        <w:t>13. Choose the canonical short name. Grok recommends TRANSMUTE, with Beneficial Vector Transmogrification as the operation.</w:t>
      </w:r>
    </w:p>
    <w:p>
      <w:pPr>
        <w:pStyle w:val="SuggestedResponse"/>
        <w:widowControl/>
        <w:spacing w:after="60" w:before="0"/>
        <w:ind w:left="259"/>
      </w:pPr>
      <w:r>
        <w:rPr>
          <w:i w:val="0"/>
        </w:rPr>
        <w:t>Suggested response: “Approved. Use the longer approved title for the master framework and TRANSMUTE for the exercise kit.”</w:t>
      </w:r>
    </w:p>
    <w:p>
      <w:pPr>
        <w:pStyle w:val="DecisionStatus"/>
        <w:widowControl/>
        <w:spacing w:after="40" w:before="0"/>
        <w:ind w:left="259"/>
      </w:pPr>
      <w:r>
        <w:rPr>
          <w:i w:val="0"/>
        </w:rPr>
        <w:t>Selection: Naming previously approved and confirmed.</w:t>
      </w:r>
    </w:p>
    <w:p>
      <w:pPr>
        <w:pStyle w:val="ProjectResponse"/>
        <w:spacing w:after="160" w:before="0"/>
        <w:ind w:left="259"/>
        <w:shd w:fill="EAF2F6"/>
        <w:widowControl/>
        <w:pBdr>
          <w:left w:val="single" w:sz="18" w:space="8" w:color="2F6B8A"/>
        </w:pBdr>
      </w:pPr>
      <w:r>
        <w:rPr>
          <w:i w:val="0"/>
        </w:rPr>
        <w:t>Project-owner response: CONFIRMED — Naming is already approved: Transmogrification Framework II is the master framework, TRANSMUTE is the short exercise name, and Beneficial Vector Transmogrification is the operative mechanism.</w:t>
      </w:r>
    </w:p>
    <w:p>
      <w:pPr>
        <w:pStyle w:val="ItemTitle"/>
        <w:keepNext/>
        <w:widowControl/>
      </w:pPr>
      <w:r>
        <w:t>14. Choose the first room size.</w:t>
      </w:r>
    </w:p>
    <w:p>
      <w:pPr>
        <w:pStyle w:val="SuggestedResponse"/>
        <w:widowControl/>
        <w:spacing w:after="60" w:before="0"/>
        <w:ind w:left="259"/>
      </w:pPr>
      <w:r>
        <w:rPr>
          <w:i w:val="0"/>
        </w:rPr>
        <w:t>Suggested response: “Begin with three trusted participants and a timer; expand to a formal multi-seat exercise only after one revision cycle.”</w:t>
      </w:r>
    </w:p>
    <w:p>
      <w:pPr>
        <w:pStyle w:val="DecisionStatus"/>
        <w:widowControl/>
        <w:spacing w:after="40" w:before="0"/>
        <w:ind w:left="259"/>
      </w:pPr>
      <w:r>
        <w:rPr>
          <w:i w:val="0"/>
        </w:rPr>
        <w:t>Selection: Three-person pilot / Formal multi-seat exercise</w:t>
      </w:r>
    </w:p>
    <w:p>
      <w:pPr>
        <w:pStyle w:val="ProjectResponse"/>
        <w:spacing w:after="160" w:before="0"/>
        <w:ind w:left="259"/>
        <w:shd w:fill="EAF2F6"/>
        <w:widowControl/>
        <w:pBdr>
          <w:left w:val="single" w:sz="18" w:space="8" w:color="2F6B8A"/>
        </w:pBdr>
      </w:pPr>
      <w:r>
        <w:rPr>
          <w:i w:val="0"/>
        </w:rPr>
        <w:t>Project-owner response: APPROVED — Begin with three trusted participants and a timer; expand to a formal multi-seat exercise only after one revision cycle.</w:t>
      </w:r>
    </w:p>
    <w:p>
      <w:pPr>
        <w:pStyle w:val="ItemTitle"/>
        <w:keepNext/>
        <w:widowControl/>
      </w:pPr>
      <w:r>
        <w:t>15. Approve the two-page kit as the next artifact.</w:t>
      </w:r>
    </w:p>
    <w:p>
      <w:pPr>
        <w:pStyle w:val="SuggestedResponse"/>
        <w:widowControl/>
        <w:spacing w:after="60" w:before="0"/>
        <w:ind w:left="259"/>
      </w:pPr>
      <w:r>
        <w:rPr>
          <w:i w:val="0"/>
        </w:rPr>
        <w:t>Suggested response: “Approved. Build the two-page minimum viable kit before another ten-page theory memo.”</w:t>
      </w:r>
    </w:p>
    <w:p>
      <w:pPr>
        <w:pStyle w:val="DecisionStatus"/>
        <w:widowControl/>
        <w:spacing w:after="40" w:before="0"/>
        <w:ind w:left="259"/>
      </w:pPr>
      <w:r>
        <w:rPr>
          <w:i w:val="0"/>
        </w:rPr>
        <w:t>Decision status: APPROVED</w:t>
      </w:r>
    </w:p>
    <w:p>
      <w:pPr>
        <w:pStyle w:val="ProjectResponse"/>
        <w:spacing w:after="160" w:before="0"/>
        <w:ind w:left="259"/>
        <w:shd w:fill="EAF2F6"/>
        <w:widowControl/>
        <w:pBdr>
          <w:left w:val="single" w:sz="18" w:space="8" w:color="2F6B8A"/>
        </w:pBdr>
      </w:pPr>
      <w:r>
        <w:rPr>
          <w:i w:val="0"/>
        </w:rPr>
        <w:t>Project-owner response: APPROVED — Approved. Build the two-page minimum viable kit before another ten-page theory memo.</w:t>
      </w:r>
    </w:p>
    <w:p>
      <w:pPr>
        <w:widowControl/>
      </w:pPr>
      <w:r>
        <w:br w:type="page"/>
      </w:r>
    </w:p>
    <w:p>
      <w:pPr>
        <w:pStyle w:val="Heading1"/>
        <w:widowControl/>
      </w:pPr>
      <w:r>
        <w:t>Recommended Build Order</w:t>
      </w:r>
    </w:p>
    <w:p>
      <w:pPr>
        <w:widowControl/>
        <w:ind w:left="288" w:hanging="288"/>
      </w:pPr>
      <w:r>
        <w:rPr>
          <w:b/>
          <w:color w:val="2F6B8A"/>
        </w:rPr>
        <w:t xml:space="preserve">1. </w:t>
      </w:r>
      <w:r>
        <w:t>Freeze the naming architecture. Confirm the master title, exercise name, mechanism name, module names, aliases, and retired titles.</w:t>
      </w:r>
    </w:p>
    <w:p>
      <w:pPr>
        <w:widowControl/>
        <w:ind w:left="288" w:hanging="288"/>
      </w:pPr>
      <w:r>
        <w:rPr>
          <w:b/>
          <w:color w:val="2F6B8A"/>
        </w:rPr>
        <w:t xml:space="preserve">2. </w:t>
      </w:r>
      <w:r>
        <w:t>Freeze the realism boundary. State the hard-no rules and separate realistic modules from fictional mechanics.</w:t>
      </w:r>
    </w:p>
    <w:p>
      <w:pPr>
        <w:widowControl/>
        <w:ind w:left="288" w:hanging="288"/>
      </w:pPr>
      <w:r>
        <w:rPr>
          <w:b/>
          <w:color w:val="2F6B8A"/>
        </w:rPr>
        <w:t xml:space="preserve">3. </w:t>
      </w:r>
      <w:r>
        <w:t>Create the one-page doctrine. Include the thesis, Hohenheim Reconstruction Principle, resource-state skeleton, waste taxonomy, transformation ladder, sink rule, optionality rule, and net-transformation rule.</w:t>
      </w:r>
    </w:p>
    <w:p>
      <w:pPr>
        <w:widowControl/>
        <w:ind w:left="288" w:hanging="288"/>
      </w:pPr>
      <w:r>
        <w:rPr>
          <w:b/>
          <w:color w:val="2F6B8A"/>
        </w:rPr>
        <w:t xml:space="preserve">4. </w:t>
      </w:r>
      <w:r>
        <w:t>Build the two-page pilot kit. Include a small data-center map, resource/organ list, hard-no card, Conversion Canvas, role assignments, timer, and three to four injects.</w:t>
      </w:r>
    </w:p>
    <w:p>
      <w:pPr>
        <w:widowControl/>
        <w:ind w:left="288" w:hanging="288"/>
      </w:pPr>
      <w:r>
        <w:rPr>
          <w:b/>
          <w:color w:val="2F6B8A"/>
        </w:rPr>
        <w:t xml:space="preserve">5. </w:t>
      </w:r>
      <w:r>
        <w:t>Run a three-person pilot. Record confusion, missing information, scoring disagreements, and whether participants mistake reserves for waste.</w:t>
      </w:r>
    </w:p>
    <w:p>
      <w:pPr>
        <w:widowControl/>
        <w:ind w:left="288" w:hanging="288"/>
      </w:pPr>
      <w:r>
        <w:rPr>
          <w:b/>
          <w:color w:val="2F6B8A"/>
        </w:rPr>
        <w:t xml:space="preserve">6. </w:t>
      </w:r>
      <w:r>
        <w:t>Revise the scoring model. Add sink compatibility, conversion yield, latency, total burden, resilience retained, uncertainty discipline, and unavoidable remainder.</w:t>
      </w:r>
    </w:p>
    <w:p>
      <w:pPr>
        <w:widowControl/>
        <w:ind w:left="288" w:hanging="288"/>
      </w:pPr>
      <w:r>
        <w:rPr>
          <w:b/>
          <w:color w:val="2F6B8A"/>
        </w:rPr>
        <w:t xml:space="preserve">7. </w:t>
      </w:r>
      <w:r>
        <w:t>Add advanced injects. Introduce uncertain battery health, dependency reversal, conflicting telemetry, attribution ambiguity, and cross-resource tradeoffs.</w:t>
      </w:r>
    </w:p>
    <w:p>
      <w:pPr>
        <w:widowControl/>
        <w:ind w:left="288" w:hanging="288"/>
      </w:pPr>
      <w:r>
        <w:rPr>
          <w:b/>
          <w:color w:val="2F6B8A"/>
        </w:rPr>
        <w:t xml:space="preserve">8. </w:t>
      </w:r>
      <w:r>
        <w:t>Audit evidence and privacy. Verify statistics, remove duplicated evidentiary weighting, and resolve permission for personal names.</w:t>
      </w:r>
    </w:p>
    <w:p>
      <w:pPr>
        <w:widowControl/>
        <w:ind w:left="288" w:hanging="288"/>
      </w:pPr>
      <w:r>
        <w:rPr>
          <w:b/>
          <w:color w:val="2F6B8A"/>
        </w:rPr>
        <w:t xml:space="preserve">9. </w:t>
      </w:r>
      <w:r>
        <w:t>Expand only after the pilot. Develop the grid, cyber/attribution, and fictional OAL modules after the core mechanic works in play.</w:t>
      </w:r>
    </w:p>
    <w:p>
      <w:pPr>
        <w:widowControl/>
      </w:pPr>
      <w:r>
        <w:br w:type="page"/>
      </w:r>
    </w:p>
    <w:p>
      <w:pPr>
        <w:pStyle w:val="Heading1"/>
        <w:widowControl/>
      </w:pPr>
      <w:r>
        <w:t>Updated Copy-Paste Reply Frames</w:t>
      </w:r>
    </w:p>
    <w:p>
      <w:pPr>
        <w:pStyle w:val="Heading2"/>
        <w:widowControl/>
      </w:pPr>
      <w:r>
        <w:t>Reply to ChatGPT</w:t>
      </w:r>
    </w:p>
    <w:p>
      <w:pPr>
        <w:spacing w:after="180" w:before="0"/>
        <w:ind w:left="0"/>
        <w:shd w:fill="F3F6F8"/>
        <w:widowControl/>
        <w:pBdr>
          <w:left w:val="single" w:sz="18" w:space="8" w:color="2F6B8A"/>
        </w:pBdr>
      </w:pPr>
      <w:r>
        <w:rPr>
          <w:i w:val="0"/>
        </w:rPr>
        <w:t>Next iteration build approved. Working title approved—Transmogrification Framework II: Resource-State Conversion and Beneficial Vector Mapping. Proceed with the Generation 3 resource-state framework. Use the resource-state sequence as the canonical skeleton; include exergy/resource quality, resource cascades, the four waste categories, sink compatibility, optionality, cross-resource tradeoffs, and the whole-system net-transformation rule. Use a data-center campus as the first pilot while retaining the grid as the foundational case. Treat existing documents as complementary modules under one governing framework. Apply the Simulation-Lab Autonomy Directive wherever approved recommendations conflict.</w:t>
      </w:r>
    </w:p>
    <w:p>
      <w:pPr>
        <w:pStyle w:val="Heading2"/>
        <w:widowControl/>
      </w:pPr>
      <w:r>
        <w:t>Reply to Claude</w:t>
      </w:r>
    </w:p>
    <w:p>
      <w:pPr>
        <w:spacing w:after="180" w:before="0"/>
        <w:ind w:left="0"/>
        <w:shd w:fill="F3F6F8"/>
        <w:widowControl/>
        <w:pBdr>
          <w:left w:val="single" w:sz="18" w:space="8" w:color="2F6B8A"/>
        </w:pBdr>
      </w:pPr>
      <w:r>
        <w:rPr>
          <w:i w:val="0"/>
        </w:rPr>
        <w:t>Approved: state the cross-model convergence, establish one naming architecture, select the resource-state model as the canonical skeleton, and run an independent fact-check before canonization. Keep TRANSMUTE and Grid Strain as cross-referenced practitioner and technical/governance modules. Add the data-center pilot. Anonymize the personal name in current circulated copies until consent is recorded, while retaining unaltered historical records for version integrity. Apply the Simulation-Lab Autonomy Directive to conflicts.</w:t>
      </w:r>
    </w:p>
    <w:p>
      <w:pPr>
        <w:pStyle w:val="Heading2"/>
        <w:widowControl/>
      </w:pPr>
      <w:r>
        <w:t>Reply to Gemini</w:t>
      </w:r>
    </w:p>
    <w:p>
      <w:pPr>
        <w:spacing w:after="180" w:before="0"/>
        <w:ind w:left="0"/>
        <w:shd w:fill="F3F6F8"/>
        <w:widowControl/>
        <w:pBdr>
          <w:left w:val="single" w:sz="18" w:space="8" w:color="2F6B8A"/>
        </w:pBdr>
      </w:pPr>
      <w:r>
        <w:rPr>
          <w:i w:val="0"/>
        </w:rPr>
        <w:t>Approved with modification: preserve clear baseline/counterfactual labeling, reject omniscient-AI assumptions, develop mathematical loss models, and add attribution-confidence scoring. Adopt Dependency Reversal as an advanced inject and prototype Fractional Recovery Scoring. Build sink compatibility and net-transformation value first. Do not categorically exclude kinetic-conversion questions from all labs: evaluate present feasibility in the realistic baseline and test altered assumptions only in separately labeled counterfactual or law-lab branches.</w:t>
      </w:r>
    </w:p>
    <w:p>
      <w:pPr>
        <w:pStyle w:val="Heading2"/>
        <w:widowControl/>
      </w:pPr>
      <w:r>
        <w:t>Reply to Microsoft Copilot</w:t>
      </w:r>
    </w:p>
    <w:p>
      <w:pPr>
        <w:spacing w:after="180" w:before="0"/>
        <w:ind w:left="0"/>
        <w:shd w:fill="F3F6F8"/>
        <w:widowControl/>
        <w:pBdr>
          <w:left w:val="single" w:sz="18" w:space="8" w:color="2F6B8A"/>
        </w:pBdr>
      </w:pPr>
      <w:r>
        <w:rPr>
          <w:i w:val="0"/>
        </w:rPr>
        <w:t>Approved with modifications: create the unified doctrine under the already approved master title; define Copilot’s lab modules; formalize resource vectors, AI blind spots, scoring, and failure modes; and build the doctrine outline before another long theory-only draft. Use conversion-cost and current-physics constraints as baseline rules, not universal restrictions on every simulation. Copilot Labs may operate its own version when another approved lab design conflicts. Include alternative, stress, counterfactual, and disconfirmation runs, with all altered assumptions clearly documented.</w:t>
      </w:r>
    </w:p>
    <w:p>
      <w:pPr>
        <w:pStyle w:val="Heading2"/>
        <w:widowControl/>
      </w:pPr>
      <w:r>
        <w:t>Reply to Perplexity</w:t>
      </w:r>
    </w:p>
    <w:p>
      <w:pPr>
        <w:spacing w:after="180" w:before="0"/>
        <w:ind w:left="0"/>
        <w:shd w:fill="F3F6F8"/>
        <w:widowControl/>
        <w:pBdr>
          <w:left w:val="single" w:sz="18" w:space="8" w:color="2F6B8A"/>
        </w:pBdr>
      </w:pPr>
      <w:r>
        <w:rPr>
          <w:i w:val="0"/>
        </w:rPr>
        <w:t>Approved: update the master framework with the transformation ladder, whole-system conversion rule, realistic/counterfactual labeling, and data-center resource-state analysis. Treat Operation ALCHEMY as a historical alias. The Perplexity branch may test duplicate-wording evidence weighting while preserving every source label and remaining comparable with branches that reject that method. Apply the Simulation-Lab Autonomy Directive to unresolved conflicts.</w:t>
      </w:r>
    </w:p>
    <w:p>
      <w:pPr>
        <w:pStyle w:val="Heading2"/>
        <w:widowControl/>
      </w:pPr>
      <w:r>
        <w:t>Reply to Grok</w:t>
      </w:r>
    </w:p>
    <w:p>
      <w:pPr>
        <w:spacing w:after="180" w:before="0"/>
        <w:ind w:left="0"/>
        <w:shd w:fill="F3F6F8"/>
        <w:widowControl/>
        <w:pBdr>
          <w:left w:val="single" w:sz="18" w:space="8" w:color="2F6B8A"/>
        </w:pBdr>
      </w:pPr>
      <w:r>
        <w:rPr>
          <w:i w:val="0"/>
        </w:rPr>
        <w:t>Accepted: the project has concept lock but not exercise lock. Build the two-page minimum viable kit next using a hybrid presentation: plain-language core with optional OAL-canon overlays. Use the data-center campus, three-person room, map, organ/resource list, hard-no card, Conversion Canvas, timer, and three to four injects. TRANSMUTE remains the exercise name under the approved master title. The proposal to automatically treat Gemini and Copilot as one corroborating voice is rejected. Grok may operate a separately named lab branch when its approved design conflicts with another collaborator’s approved design.</w:t>
      </w:r>
    </w:p>
    <w:p>
      <w:pPr>
        <w:widowControl/>
      </w:pPr>
      <w:r>
        <w:br w:type="page"/>
      </w:r>
    </w:p>
    <w:p>
      <w:pPr>
        <w:pStyle w:val="Heading1"/>
        <w:widowControl/>
      </w:pPr>
      <w:r>
        <w:t>Final Approval Block</w:t>
      </w:r>
    </w:p>
    <w:tbl>
      <w:tblPr>
        <w:tblW w:type="auto" w:w="0"/>
        <w:jc w:val="center"/>
        <w:tblLook w:firstColumn="1" w:firstRow="1" w:lastColumn="0" w:lastRow="0" w:noHBand="0" w:noVBand="1" w:val="04A0"/>
      </w:tblPr>
      <w:tblGrid>
        <w:gridCol w:w="5083"/>
        <w:gridCol w:w="5083"/>
      </w:tblGrid>
      <w:tr>
        <w:tc>
          <w:tcPr>
            <w:tcW w:type="dxa" w:w="2376"/>
            <w:vAlign w:val="top"/>
            <w:shd w:fill="2F6B8A"/>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color w:val="FFFFFF"/>
                <w:sz w:val="17"/>
              </w:rPr>
              <w:t>Master title</w:t>
            </w:r>
          </w:p>
        </w:tc>
        <w:tc>
          <w:tcPr>
            <w:tcW w:type="dxa" w:w="756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7"/>
              </w:rPr>
              <w:t>APPROVED — Transmogrification Framework II: Resource-State Conversion and Beneficial Vector Mapping.</w:t>
            </w:r>
          </w:p>
        </w:tc>
      </w:tr>
      <w:tr>
        <w:tc>
          <w:tcPr>
            <w:tcW w:type="dxa" w:w="2376"/>
            <w:vAlign w:val="top"/>
            <w:shd w:fill="2F6B8A"/>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color w:val="FFFFFF"/>
                <w:sz w:val="17"/>
              </w:rPr>
              <w:t>Document edition</w:t>
            </w:r>
          </w:p>
        </w:tc>
        <w:tc>
          <w:tcPr>
            <w:tcW w:type="dxa" w:w="756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7"/>
              </w:rPr>
              <w:t>VERSION 2.0 — Project-Owner Responses Integrated.</w:t>
            </w:r>
          </w:p>
        </w:tc>
      </w:tr>
      <w:tr>
        <w:tc>
          <w:tcPr>
            <w:tcW w:type="dxa" w:w="2376"/>
            <w:vAlign w:val="top"/>
            <w:shd w:fill="2F6B8A"/>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color w:val="FFFFFF"/>
                <w:sz w:val="17"/>
              </w:rPr>
              <w:t>Short exercise name</w:t>
            </w:r>
          </w:p>
        </w:tc>
        <w:tc>
          <w:tcPr>
            <w:tcW w:type="dxa" w:w="756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7"/>
              </w:rPr>
              <w:t>CONFIRMED — TRANSMUTE.</w:t>
            </w:r>
          </w:p>
        </w:tc>
      </w:tr>
      <w:tr>
        <w:tc>
          <w:tcPr>
            <w:tcW w:type="dxa" w:w="2376"/>
            <w:vAlign w:val="top"/>
            <w:shd w:fill="2F6B8A"/>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color w:val="FFFFFF"/>
                <w:sz w:val="17"/>
              </w:rPr>
              <w:t>Mechanism name</w:t>
            </w:r>
          </w:p>
        </w:tc>
        <w:tc>
          <w:tcPr>
            <w:tcW w:type="dxa" w:w="756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7"/>
              </w:rPr>
              <w:t>CONFIRMED — Beneficial Vector Transmogrification.</w:t>
            </w:r>
          </w:p>
        </w:tc>
      </w:tr>
      <w:tr>
        <w:tc>
          <w:tcPr>
            <w:tcW w:type="dxa" w:w="2376"/>
            <w:vAlign w:val="top"/>
            <w:shd w:fill="2F6B8A"/>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color w:val="FFFFFF"/>
                <w:sz w:val="17"/>
              </w:rPr>
              <w:t>First pilot specimen</w:t>
            </w:r>
          </w:p>
        </w:tc>
        <w:tc>
          <w:tcPr>
            <w:tcW w:type="dxa" w:w="756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7"/>
              </w:rPr>
              <w:t>APPROVED — Data-center campus resource-state scenario; grid retained as foundational infrastructure case.</w:t>
            </w:r>
          </w:p>
        </w:tc>
      </w:tr>
      <w:tr>
        <w:tc>
          <w:tcPr>
            <w:tcW w:type="dxa" w:w="2376"/>
            <w:vAlign w:val="top"/>
            <w:shd w:fill="2F6B8A"/>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color w:val="FFFFFF"/>
                <w:sz w:val="17"/>
              </w:rPr>
              <w:t>First audience and tone</w:t>
            </w:r>
          </w:p>
        </w:tc>
        <w:tc>
          <w:tcPr>
            <w:tcW w:type="dxa" w:w="756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7"/>
              </w:rPr>
              <w:t>MODIFIED — Three-person pilot with hybrid presentation: plain-language core plus clearly labeled OAL/canon overlays.</w:t>
            </w:r>
          </w:p>
        </w:tc>
      </w:tr>
      <w:tr>
        <w:tc>
          <w:tcPr>
            <w:tcW w:type="dxa" w:w="2376"/>
            <w:vAlign w:val="top"/>
            <w:shd w:fill="2F6B8A"/>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color w:val="FFFFFF"/>
                <w:sz w:val="17"/>
              </w:rPr>
              <w:t>Canonical analytical skeleton</w:t>
            </w:r>
          </w:p>
        </w:tc>
        <w:tc>
          <w:tcPr>
            <w:tcW w:type="dxa" w:w="756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7"/>
              </w:rPr>
              <w:t>APPROVED — Resource → State → Location → Timing → Quality → Constraint → Sink → Conversion → Outcome → Remainder.</w:t>
            </w:r>
          </w:p>
        </w:tc>
      </w:tr>
      <w:tr>
        <w:tc>
          <w:tcPr>
            <w:tcW w:type="dxa" w:w="2376"/>
            <w:vAlign w:val="top"/>
            <w:shd w:fill="2F6B8A"/>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color w:val="FFFFFF"/>
                <w:sz w:val="17"/>
              </w:rPr>
              <w:t>Realistic/counterfactual boundary</w:t>
            </w:r>
          </w:p>
        </w:tc>
        <w:tc>
          <w:tcPr>
            <w:tcW w:type="dxa" w:w="756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7"/>
              </w:rPr>
              <w:t>MODIFIED — Baseline branches use established real-world constraints; separately labeled counterfactual or law-lab branches may alter documented assumptions without representing the result as present feasibility.</w:t>
            </w:r>
          </w:p>
        </w:tc>
      </w:tr>
      <w:tr>
        <w:tc>
          <w:tcPr>
            <w:tcW w:type="dxa" w:w="2376"/>
            <w:vAlign w:val="top"/>
            <w:shd w:fill="2F6B8A"/>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color w:val="FFFFFF"/>
                <w:sz w:val="17"/>
              </w:rPr>
              <w:t>Next artifact</w:t>
            </w:r>
          </w:p>
        </w:tc>
        <w:tc>
          <w:tcPr>
            <w:tcW w:type="dxa" w:w="756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7"/>
              </w:rPr>
              <w:t>APPROVED — Two-page minimum viable TRANSMUTE kit.</w:t>
            </w:r>
          </w:p>
        </w:tc>
      </w:tr>
      <w:tr>
        <w:tc>
          <w:tcPr>
            <w:tcW w:type="dxa" w:w="2376"/>
            <w:vAlign w:val="top"/>
            <w:shd w:fill="2F6B8A"/>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color w:val="FFFFFF"/>
                <w:sz w:val="17"/>
              </w:rPr>
              <w:t>Items deferred</w:t>
            </w:r>
          </w:p>
        </w:tc>
        <w:tc>
          <w:tcPr>
            <w:tcW w:type="dxa" w:w="756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7"/>
              </w:rPr>
              <w:t>Broader governance, cognition, and narrative domains; full mathematical loss models until the pilot structure is frozen; expanded fictional development until after the initial realistic run, without prohibiting separately documented exploratory branches.</w:t>
            </w:r>
          </w:p>
        </w:tc>
      </w:tr>
      <w:tr>
        <w:tc>
          <w:tcPr>
            <w:tcW w:type="dxa" w:w="2376"/>
            <w:vAlign w:val="top"/>
            <w:shd w:fill="2F6B8A"/>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color w:val="FFFFFF"/>
                <w:sz w:val="17"/>
              </w:rPr>
              <w:t>Items rejected</w:t>
            </w:r>
          </w:p>
        </w:tc>
        <w:tc>
          <w:tcPr>
            <w:tcW w:type="dxa" w:w="7560"/>
            <w:vAlign w:val="top"/>
            <w:shd w:fill="FFFFFF"/>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7"/>
              </w:rPr>
              <w:t>Automatic treatment of Gemini and Copilot as one corroborating voice; confirmation-only simulation design; silent cancellation of one approved lab by another approved but conflicting lab.</w:t>
            </w:r>
          </w:p>
        </w:tc>
      </w:tr>
      <w:tr>
        <w:tc>
          <w:tcPr>
            <w:tcW w:type="dxa" w:w="2376"/>
            <w:vAlign w:val="top"/>
            <w:shd w:fill="2F6B8A"/>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color w:val="FFFFFF"/>
                <w:sz w:val="17"/>
              </w:rPr>
              <w:t>Additional direction</w:t>
            </w:r>
          </w:p>
        </w:tc>
        <w:tc>
          <w:tcPr>
            <w:tcW w:type="dxa" w:w="7560"/>
            <w:vAlign w:val="top"/>
            <w:shd w:fill="F3F6F8"/>
            <w:tcBorders>
              <w:top w:val="single" w:sz="6" w:color="D7DEE8"/>
              <w:left w:val="single" w:sz="6" w:color="D7DEE8"/>
              <w:bottom w:val="single" w:sz="6" w:color="D7DEE8"/>
              <w:right w:val="single" w:sz="6" w:color="D7DEE8"/>
              <w:insideH w:val="single" w:sz="6" w:color="D7DEE8"/>
              <w:insideV w:val="single" w:sz="6" w:color="D7DEE8"/>
            </w:tcBorders>
          </w:tcPr>
          <w:p>
            <w:pPr>
              <w:widowControl/>
              <w:spacing w:after="0"/>
            </w:pPr>
            <w:r/>
            <w:r>
              <w:rPr>
                <w:b w:val="0"/>
                <w:sz w:val="17"/>
              </w:rPr>
              <w:t>Apply the Simulation-Lab Autonomy Directive: independently run conflicting approved recommendations as named branches; require versioning, assumption disclosure, disconfirmation testing, and honest comparative reporting.</w:t>
            </w:r>
          </w:p>
        </w:tc>
      </w:tr>
    </w:tbl>
    <w:p>
      <w:pPr>
        <w:widowControl/>
      </w:pPr>
      <w:r>
        <w:br w:type="page"/>
      </w:r>
    </w:p>
    <w:p>
      <w:pPr>
        <w:pStyle w:val="Heading1"/>
        <w:widowControl/>
      </w:pPr>
      <w:r>
        <w:t>Appendix A — Original Project-Owner Prompt</w:t>
      </w:r>
    </w:p>
    <w:p>
      <w:pPr>
        <w:pStyle w:val="SmallNote"/>
        <w:widowControl/>
        <w:spacing w:after="100" w:before="0"/>
        <w:ind w:left="0"/>
      </w:pPr>
      <w:r>
        <w:rPr>
          <w:i w:val="0"/>
        </w:rPr>
        <w:t>The following prompt is preserved verbatim for provenance and version history.</w:t>
      </w:r>
    </w:p>
    <w:p>
      <w:pPr>
        <w:pStyle w:val="SmallNote"/>
        <w:spacing w:after="120" w:before="0"/>
        <w:ind w:left="0"/>
        <w:shd w:fill="F5F5F5"/>
        <w:widowControl/>
        <w:pBdr>
          <w:left w:val="single" w:sz="18" w:space="8" w:color="2F6B8A"/>
        </w:pBdr>
      </w:pPr>
      <w:r>
        <w:rPr>
          <w:i w:val="0"/>
        </w:rPr>
        <w:t>I need your help in saying something so I just had to do a bunch of responses for a project that I'm working on with some AI collaborators and there's in cases. There are conflicting recommendations. What I would like to say is where there is a conflicting recommendation where one AI recommends something that conflicts with another and both have been approved. What I would like to take place is that they run their own lab to test that scenario so we don't have a bunch of people that are like okay. I went through all these questions question C conflicts with this question farther down in the document. Where a conflict occurs as I have written already in this document, co-pilot Labs is free to run its own simulation lab without conflict with grok labs recommendation. I expect them to think different things to come up with different outcomes to have differing points of view and to be able to air that. I don't want them to be close-minded about how they approach this or be like. Hey it's a simulation lab so we can only test certain things it's, The laws of physics say this so like we're never going to find out how things could play out under different circumstances because it's mandatory that we only look at this this one way like, we don't have simulation Labs just to test for one scenario. You know what I mean so I want them to be able to look at things in different ways and not just come up with the same proposals. Run the same scenarios simulate the same thing over and over and over. We have to try different things. We have to try things from new perspectives and we have to think out of the box. Code is not static. It changes it evolves over time and so the simulation Labs that we run need to change over time. We cannot run labs that just run scenarios that validate conclusions that we already have established in our mind.</w:t>
      </w:r>
    </w:p>
    <w:p>
      <w:pPr>
        <w:pStyle w:val="SmallNote"/>
        <w:spacing w:after="120" w:before="0"/>
        <w:ind w:left="0"/>
        <w:shd w:fill="F5F5F5"/>
        <w:widowControl/>
        <w:pBdr>
          <w:left w:val="single" w:sz="18" w:space="8" w:color="2F6B8A"/>
        </w:pBdr>
      </w:pPr>
      <w:r>
        <w:rPr>
          <w:i w:val="0"/>
        </w:rPr>
        <w:t>So I would like your help in generating that as part of the response that I will include with the attached document. Please include my original prompt that I provided you and then a revised structured and detailed version as well. Please please review the document that I have attached because I will provide it not only to you in the conversation thread but to all of the other AI collaboration members in  response.</w:t>
      </w:r>
    </w:p>
    <w:p>
      <w:pPr>
        <w:pStyle w:val="Heading1"/>
        <w:widowControl/>
      </w:pPr>
      <w:r>
        <w:t>Source Note</w:t>
      </w:r>
    </w:p>
    <w:p>
      <w:pPr>
        <w:pStyle w:val="SmallNote"/>
        <w:widowControl/>
        <w:spacing w:after="100" w:before="0"/>
        <w:ind w:left="0"/>
      </w:pPr>
      <w:r>
        <w:rPr>
          <w:i w:val="0"/>
        </w:rPr>
        <w:t>This edition was prepared from the attached “Transmogrify Response Insights and Feedback Workbook — responses included” source document. Existing analytical content and collaborator sections were retained in substance; project-owner entries were normalized into explicit response fields and reconciled through the decision register and the Simulation-Lab Autonomy Directive.</w:t>
      </w:r>
    </w:p>
    <w:sectPr w:rsidR="00FC693F" w:rsidRPr="0006063C" w:rsidSect="00034616">
      <w:headerReference w:type="default" r:id="rId9"/>
      <w:footerReference w:type="default" r:id="rId10"/>
      <w:pgSz w:w="12240" w:h="15840"/>
      <w:pgMar w:top="1037" w:right="1037" w:bottom="1008"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73"/>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TRANSMOGRIFICATION FRAMEWORK II  |  FEEDBACK WORKBOOK  |  VERSION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B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A4156"/>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6B8A"/>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D44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A415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3F5B6E"/>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temTitle">
    <w:name w:val="Item Title"/>
    <w:basedOn w:val="Heading3"/>
    <w:pPr>
      <w:spacing w:after="80"/>
    </w:pPr>
    <w:rPr>
      <w:rFonts w:ascii="Aptos" w:hAnsi="Aptos"/>
      <w:b/>
      <w:i w:val="0"/>
      <w:color w:val="273F4E"/>
      <w:sz w:val="21"/>
    </w:rPr>
  </w:style>
  <w:style w:type="paragraph" w:customStyle="1" w:styleId="SuggestedResponse">
    <w:name w:val="Suggested Response"/>
    <w:basedOn w:val="Normal"/>
    <w:pPr>
      <w:spacing w:after="80"/>
    </w:pPr>
    <w:rPr>
      <w:rFonts w:ascii="Aptos" w:hAnsi="Aptos"/>
      <w:b w:val="0"/>
      <w:i/>
      <w:color w:val="5F666E"/>
      <w:sz w:val="18"/>
    </w:rPr>
  </w:style>
  <w:style w:type="paragraph" w:customStyle="1" w:styleId="DecisionStatus">
    <w:name w:val="Decision Status"/>
    <w:basedOn w:val="Normal"/>
    <w:pPr>
      <w:spacing w:after="80"/>
    </w:pPr>
    <w:rPr>
      <w:rFonts w:ascii="Aptos" w:hAnsi="Aptos"/>
      <w:b/>
      <w:i w:val="0"/>
      <w:color w:val="1A4156"/>
      <w:sz w:val="18"/>
    </w:rPr>
  </w:style>
  <w:style w:type="paragraph" w:customStyle="1" w:styleId="ProjectResponse">
    <w:name w:val="Project Response"/>
    <w:basedOn w:val="Normal"/>
    <w:pPr>
      <w:spacing w:after="80"/>
    </w:pPr>
    <w:rPr>
      <w:rFonts w:ascii="Aptos" w:hAnsi="Aptos"/>
      <w:b w:val="0"/>
      <w:i w:val="0"/>
      <w:color w:val="183747"/>
      <w:sz w:val="19"/>
    </w:rPr>
  </w:style>
  <w:style w:type="paragraph" w:customStyle="1" w:styleId="SmallNote">
    <w:name w:val="Small Note"/>
    <w:basedOn w:val="Normal"/>
    <w:pPr>
      <w:spacing w:after="80"/>
    </w:pPr>
    <w:rPr>
      <w:rFonts w:ascii="Aptos" w:hAnsi="Aptos"/>
      <w:b w:val="0"/>
      <w:i w:val="0"/>
      <w:color w:val="5F66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Transmogrification Framework II: Resource-State Conversion and Beneficial Vector Mapping — Response Insights, Decisions, and Feedback Workbook</dc:title>
  <dc:subject>Project-owner responses integrated; simulation-lab autonomy and conflict protocol added</dc:subject>
  <dc:creator>Project Owner with AI collaboration support</dc:creator>
  <cp:keywords>Transmogrification Framework II, TRANSMUTE, simulation labs, AI collaboration, feedback workbook</cp:keywords>
  <dc:description>Version 2.0, issued September 13, 2026.</dc:description>
  <cp:lastModifiedBy/>
  <cp:revision>2</cp:revision>
  <dcterms:created xsi:type="dcterms:W3CDTF">2013-12-23T23:15:00Z</dcterms:created>
  <dcterms:modified xsi:type="dcterms:W3CDTF">2026-09-13T15:02:00Z</dcterms:modified>
  <cp:category/>
</cp:coreProperties>
</file>