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grid_strain_and_the_transmogrific_28c59f"/>
      <w:r>
        <w:rPr>
          <w:rFonts w:eastAsia="source serif 4" w:cs="source serif 4" w:ascii="source serif 4" w:hAnsi="source serif 4"/>
          <w:b/>
          <w:color w:val="000000"/>
          <w:sz w:val="39"/>
        </w:rPr>
        <w:t xml:space="preserve">Grid Strain and the Transmogrification Exercise</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The voice note contains two connected ideas. The first is a systems diagnosis: the electric grid is a layered, historically accumulated network that must balance generation, transmission, distribution, protection, markets, regulation, and end-use demand in real time. The second is an exercise concept: when an adversary, hazard, or disruptive event sends harmful “force” toward a system, do not treat the incoming input only as damage; identify whether any portion can be redirected, absorbed, converted, or used to improve resilience.</w:t>
      </w:r>
    </w:p>
    <w:p>
      <w:pPr>
        <w:spacing w:line="360" w:after="210" w:lineRule="auto"/>
      </w:pPr>
      <w:r>
        <w:rPr>
          <w:rFonts w:eastAsia="source serif 4" w:cs="source serif 4" w:ascii="source serif 4" w:hAnsi="source serif 4"/>
          <w:color w:val="000000"/>
        </w:rPr>
        <w:t xml:space="preserve">The most productive engineering interpretation is not “turn a missile into electricity.” A missile’s chemical, kinetic, thermal, and structural energy is released on a timescale and in a location that make safe recovery practically incompatible with protecting people and infrastructure. The defensible and scientifically useful version is: detect and characterize incoming or cascading disturbances, prevent them from reaching critical assets, isolate damaged sections, preserve essential services, recover useful information or controllable flexibility, and restore the system with the least additional loss.</w:t>
      </w:r>
    </w:p>
    <w:p>
      <w:pPr>
        <w:spacing w:line="360" w:after="210" w:lineRule="auto"/>
      </w:pPr>
      <w:r>
        <w:rPr>
          <w:rFonts w:eastAsia="source serif 4" w:cs="source serif 4" w:ascii="source serif 4" w:hAnsi="source serif 4"/>
          <w:color w:val="000000"/>
        </w:rPr>
        <w:t xml:space="preserve">This concept can become a safe simulation laboratory and tabletop exercise called </w:t>
      </w:r>
      <w:r>
        <w:rPr>
          <w:rFonts w:eastAsia="source serif 4" w:cs="source serif 4" w:ascii="source serif 4" w:hAnsi="source serif 4"/>
          <w:b/>
          <w:color w:val="000000"/>
        </w:rPr>
        <w:t xml:space="preserve">Transmogrification: Converting Adversarial Inputs into Beneficial Vectors</w:t>
      </w:r>
      <w:r>
        <w:rPr>
          <w:rFonts w:eastAsia="source serif 4" w:cs="source serif 4" w:ascii="source serif 4" w:hAnsi="source serif 4"/>
          <w:color w:val="000000"/>
        </w:rPr>
        <w:t xml:space="preserve">. It should test decision quality, system observability, islanding and load prioritization, data integrity, cross-organizational coordination, resource allocation, and recovery—not missile interception techniques or operational cyberattack methods.</w:t>
      </w:r>
    </w:p>
    <w:p>
      <w:pPr>
        <w:spacing w:line="360" w:before="315" w:after="105" w:lineRule="auto"/>
        <w:ind w:left="-30"/>
        <w:jc w:val="left"/>
      </w:pPr>
      <w:bookmarkStart w:id="2" w:name="the_grid_is_not_one_machine"/>
      <w:r>
        <w:rPr>
          <w:rFonts w:eastAsia="source serif 4" w:cs="source serif 4" w:ascii="source serif 4" w:hAnsi="source serif 4"/>
          <w:b/>
          <w:color w:val="000000"/>
          <w:sz w:val="24"/>
        </w:rPr>
        <w:t xml:space="preserve">The Grid Is Not One Machine</w:t>
      </w:r>
      <w:bookmarkEnd w:id="2"/>
    </w:p>
    <w:p>
      <w:pPr>
        <w:spacing w:line="360" w:after="210" w:lineRule="auto"/>
      </w:pPr>
      <w:r>
        <w:rPr>
          <w:rFonts w:eastAsia="source serif 4" w:cs="source serif 4" w:ascii="source serif 4" w:hAnsi="source serif 4"/>
          <w:color w:val="000000"/>
        </w:rPr>
        <w:t xml:space="preserve">The electric grid is better modeled as a hierarchy of coupled networks than as a single uniform machine. Bulk generation and high-voltage transmission move power over long distances; substations transform voltage and route flows; distribution feeders deliver service to homes, businesses, and critical facilities; protection and control systems detect abnormal conditions; markets and planning institutions shape when and where assets are built.</w:t>
      </w:r>
    </w:p>
    <w:p>
      <w:pPr>
        <w:spacing w:line="360" w:after="210" w:lineRule="auto"/>
      </w:pPr>
      <w:r>
        <w:rPr>
          <w:rFonts w:eastAsia="source serif 4" w:cs="source serif 4" w:ascii="source serif 4" w:hAnsi="source serif 4"/>
          <w:color w:val="000000"/>
        </w:rPr>
        <w:t xml:space="preserve">This layered structure is not necessarily evidence that engineers “designed badly.” Much of the network was built incrementally, under different technologies, rules, ownership structures, load forecasts, and geographic constraints. The resulting system contains legacy equipment, local optimization, bottlenecks, incomplete observability, and interfaces that were never designed for today’s combination of distributed energy resources, extreme weather, electrification, storage, and very large digital loads.</w:t>
      </w:r>
    </w:p>
    <w:p>
      <w:pPr>
        <w:spacing w:line="360" w:after="210" w:lineRule="auto"/>
      </w:pPr>
      <w:r>
        <w:rPr>
          <w:rFonts w:eastAsia="source serif 4" w:cs="source serif 4" w:ascii="source serif 4" w:hAnsi="source serif 4"/>
          <w:color w:val="000000"/>
        </w:rPr>
        <w:t xml:space="preserve">A more precise diagnosis is </w:t>
      </w:r>
      <w:r>
        <w:rPr>
          <w:rFonts w:eastAsia="source serif 4" w:cs="source serif 4" w:ascii="source serif 4" w:hAnsi="source serif 4"/>
          <w:b/>
          <w:color w:val="000000"/>
        </w:rPr>
        <w:t xml:space="preserve">path dependence plus coordination failure</w:t>
      </w:r>
      <w:r>
        <w:rPr>
          <w:rFonts w:eastAsia="source serif 4" w:cs="source serif 4" w:ascii="source serif 4" w:hAnsi="source serif 4"/>
          <w:color w:val="000000"/>
        </w:rPr>
        <w:t xml:space="preserve">: earlier design decisions constrain later choices, while responsibility is divided among utilities, system operators, regulators, equipment manufacturers, municipalities, customers, and governments. The International Energy Agency identifies planning, finance, regulation, supply chains, digitalization, and workforce capacity as linked grid-investment challenges; it also reports that many advanced renewable projects are waiting for connection because grid expansion has not kept pace.[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3" w:name="why_strain_is_increasing"/>
      <w:r>
        <w:rPr>
          <w:rFonts w:eastAsia="source serif 4" w:cs="source serif 4" w:ascii="source serif 4" w:hAnsi="source serif 4"/>
          <w:b/>
          <w:color w:val="000000"/>
          <w:sz w:val="24"/>
        </w:rPr>
        <w:t xml:space="preserve">Why Strain Is Increasing</w:t>
      </w:r>
      <w:bookmarkEnd w:id="3"/>
    </w:p>
    <w:p>
      <w:pPr>
        <w:spacing w:line="360" w:after="210" w:lineRule="auto"/>
      </w:pPr>
      <w:r>
        <w:rPr>
          <w:rFonts w:eastAsia="source serif 4" w:cs="source serif 4" w:ascii="source serif 4" w:hAnsi="source serif 4"/>
          <w:color w:val="000000"/>
        </w:rPr>
        <w:t xml:space="preserve">North American reliability assessments identify unusually rapid demand growth from data centers, artificial-intelligence infrastructure, electrified transportation, heat pumps, manufacturing, and other large loads. NERC’s 2025 Long-Term Reliability Assessment projects more than 224 GW of aggregated summer peak-demand growth and more than 245 GW of winter peak-demand growth over its ten-year horizon, with new data centers accounting for most of the projected increase.[^3]</w:t>
      </w:r>
    </w:p>
    <w:p>
      <w:pPr>
        <w:spacing w:line="360" w:after="210" w:lineRule="auto"/>
      </w:pPr>
      <w:r>
        <w:rPr>
          <w:rFonts w:eastAsia="source serif 4" w:cs="source serif 4" w:ascii="source serif 4" w:hAnsi="source serif 4"/>
          <w:color w:val="000000"/>
        </w:rPr>
        <w:t xml:space="preserve">The problem is not simply that the world is “running out of electricity.” Reliability depends on location, timing, weather, ramping capability, transmission constraints, reserve margins, fuel availability, equipment condition, and the ability to control flows. A region can have enough annual energy but still face a shortfall during a narrow peak interval or during a transmission outage.</w:t>
      </w:r>
    </w:p>
    <w:p>
      <w:pPr>
        <w:spacing w:line="360" w:after="210" w:lineRule="auto"/>
      </w:pPr>
      <w:r>
        <w:rPr>
          <w:rFonts w:eastAsia="source serif 4" w:cs="source serif 4" w:ascii="source serif 4" w:hAnsi="source serif 4"/>
          <w:color w:val="000000"/>
        </w:rPr>
        <w:t xml:space="preserve">Grid construction also has long lead times. The IEA reports that transmission projects can take more than a decade because of planning, permitting, land acquisition, procurement, public engagement, and construction. This creates a timing mismatch: generation or large loads can be proposed and built faster than the network needed to connect and serve them.[^4]</w:t>
      </w:r>
    </w:p>
    <w:p>
      <w:pPr>
        <w:spacing w:line="360" w:after="210" w:lineRule="auto"/>
      </w:pPr>
      <w:r>
        <w:rPr>
          <w:rFonts w:eastAsia="source serif 4" w:cs="source serif 4" w:ascii="source serif 4" w:hAnsi="source serif 4"/>
          <w:color w:val="000000"/>
        </w:rPr>
        <w:t xml:space="preserve">Supply chains amplify the delay. Large transformers, conductors, switchgear, protection equipment, and control hardware require specialized manufacturing and skilled labor. The IEA describes growing pressure on transmission-component prices, lead times, and procurement, emphasizing coordinated planning and long-term purchasing.[^2]</w:t>
      </w:r>
    </w:p>
    <w:p>
      <w:pPr>
        <w:spacing w:line="360" w:before="315" w:after="105" w:lineRule="auto"/>
        <w:ind w:left="-30"/>
        <w:jc w:val="left"/>
      </w:pPr>
      <w:bookmarkStart w:id="4" w:name="misallocation_needs_precision"/>
      <w:r>
        <w:rPr>
          <w:rFonts w:eastAsia="source serif 4" w:cs="source serif 4" w:ascii="source serif 4" w:hAnsi="source serif 4"/>
          <w:b/>
          <w:color w:val="000000"/>
          <w:sz w:val="24"/>
        </w:rPr>
        <w:t xml:space="preserve">“Misallocation” Needs Precision</w:t>
      </w:r>
      <w:bookmarkEnd w:id="4"/>
    </w:p>
    <w:p>
      <w:pPr>
        <w:spacing w:line="360" w:after="210" w:lineRule="auto"/>
      </w:pPr>
      <w:r>
        <w:rPr>
          <w:rFonts w:eastAsia="source serif 4" w:cs="source serif 4" w:ascii="source serif 4" w:hAnsi="source serif 4"/>
          <w:color w:val="000000"/>
        </w:rPr>
        <w:t xml:space="preserve">The phrase “misallocation of energy” points toward several different technical problems that should not be collapsed into one category:</w:t>
      </w:r>
    </w:p>
    <w:p>
      <w:pPr>
        <w:numPr>
          <w:ilvl w:val="0"/>
          <w:numId w:val="1"/>
        </w:numPr>
        <w:spacing w:line="360" w:before="105" w:after="105" w:lineRule="auto"/>
      </w:pPr>
      <w:r>
        <w:rPr>
          <w:rFonts w:eastAsia="source serif 4" w:cs="source serif 4" w:ascii="source serif 4" w:hAnsi="source serif 4"/>
          <w:b/>
          <w:color w:val="000000"/>
          <w:sz w:val="21"/>
        </w:rPr>
        <w:t xml:space="preserve">Conversion losses:</w:t>
      </w:r>
      <w:r>
        <w:rPr>
          <w:rFonts w:eastAsia="source serif 4" w:cs="source serif 4" w:ascii="source serif 4" w:hAnsi="source serif 4"/>
          <w:color w:val="000000"/>
          <w:sz w:val="21"/>
        </w:rPr>
        <w:t xml:space="preserve"> energy is lost as heat in generators, transformers, conductors, power electronics, and end-use devices.</w:t>
      </w:r>
    </w:p>
    <w:p>
      <w:pPr>
        <w:numPr>
          <w:ilvl w:val="0"/>
          <w:numId w:val="1"/>
        </w:numPr>
        <w:spacing w:line="360" w:before="105" w:after="105" w:lineRule="auto"/>
      </w:pPr>
      <w:r>
        <w:rPr>
          <w:rFonts w:eastAsia="source serif 4" w:cs="source serif 4" w:ascii="source serif 4" w:hAnsi="source serif 4"/>
          <w:b/>
          <w:color w:val="000000"/>
          <w:sz w:val="21"/>
        </w:rPr>
        <w:t xml:space="preserve">Congestion:</w:t>
      </w:r>
      <w:r>
        <w:rPr>
          <w:rFonts w:eastAsia="source serif 4" w:cs="source serif 4" w:ascii="source serif 4" w:hAnsi="source serif 4"/>
          <w:color w:val="000000"/>
          <w:sz w:val="21"/>
        </w:rPr>
        <w:t xml:space="preserve"> a lower-cost or cleaner generator may be unable to serve a customer because a line or transformer is full.</w:t>
      </w:r>
    </w:p>
    <w:p>
      <w:pPr>
        <w:numPr>
          <w:ilvl w:val="0"/>
          <w:numId w:val="1"/>
        </w:numPr>
        <w:spacing w:line="360" w:before="105" w:after="105" w:lineRule="auto"/>
      </w:pPr>
      <w:r>
        <w:rPr>
          <w:rFonts w:eastAsia="source serif 4" w:cs="source serif 4" w:ascii="source serif 4" w:hAnsi="source serif 4"/>
          <w:b/>
          <w:color w:val="000000"/>
          <w:sz w:val="21"/>
        </w:rPr>
        <w:t xml:space="preserve">Curtailment:</w:t>
      </w:r>
      <w:r>
        <w:rPr>
          <w:rFonts w:eastAsia="source serif 4" w:cs="source serif 4" w:ascii="source serif 4" w:hAnsi="source serif 4"/>
          <w:color w:val="000000"/>
          <w:sz w:val="21"/>
        </w:rPr>
        <w:t xml:space="preserve"> available generation is reduced because the system cannot safely absorb or move it.</w:t>
      </w:r>
    </w:p>
    <w:p>
      <w:pPr>
        <w:numPr>
          <w:ilvl w:val="0"/>
          <w:numId w:val="1"/>
        </w:numPr>
        <w:spacing w:line="360" w:before="105" w:after="105" w:lineRule="auto"/>
      </w:pPr>
      <w:r>
        <w:rPr>
          <w:rFonts w:eastAsia="source serif 4" w:cs="source serif 4" w:ascii="source serif 4" w:hAnsi="source serif 4"/>
          <w:b/>
          <w:color w:val="000000"/>
          <w:sz w:val="21"/>
        </w:rPr>
        <w:t xml:space="preserve">Poor temporal alignment:</w:t>
      </w:r>
      <w:r>
        <w:rPr>
          <w:rFonts w:eastAsia="source serif 4" w:cs="source serif 4" w:ascii="source serif 4" w:hAnsi="source serif 4"/>
          <w:color w:val="000000"/>
          <w:sz w:val="21"/>
        </w:rPr>
        <w:t xml:space="preserve"> supply and demand occur at different times, requiring storage, flexible demand, reserves, or dispatchable resources.</w:t>
      </w:r>
    </w:p>
    <w:p>
      <w:pPr>
        <w:numPr>
          <w:ilvl w:val="0"/>
          <w:numId w:val="1"/>
        </w:numPr>
        <w:spacing w:line="360" w:before="105" w:after="105" w:lineRule="auto"/>
      </w:pPr>
      <w:r>
        <w:rPr>
          <w:rFonts w:eastAsia="source serif 4" w:cs="source serif 4" w:ascii="source serif 4" w:hAnsi="source serif 4"/>
          <w:b/>
          <w:color w:val="000000"/>
          <w:sz w:val="21"/>
        </w:rPr>
        <w:t xml:space="preserve">Poor spatial alignment:</w:t>
      </w:r>
      <w:r>
        <w:rPr>
          <w:rFonts w:eastAsia="source serif 4" w:cs="source serif 4" w:ascii="source serif 4" w:hAnsi="source serif 4"/>
          <w:color w:val="000000"/>
          <w:sz w:val="21"/>
        </w:rPr>
        <w:t xml:space="preserve"> generation is far from demand, while transmission capacity is limited.</w:t>
      </w:r>
    </w:p>
    <w:p>
      <w:pPr>
        <w:numPr>
          <w:ilvl w:val="0"/>
          <w:numId w:val="1"/>
        </w:numPr>
        <w:spacing w:line="360" w:before="105" w:after="105" w:lineRule="auto"/>
      </w:pPr>
      <w:r>
        <w:rPr>
          <w:rFonts w:eastAsia="source serif 4" w:cs="source serif 4" w:ascii="source serif 4" w:hAnsi="source serif 4"/>
          <w:b/>
          <w:color w:val="000000"/>
          <w:sz w:val="21"/>
        </w:rPr>
        <w:t xml:space="preserve">Reliability redundancy:</w:t>
      </w:r>
      <w:r>
        <w:rPr>
          <w:rFonts w:eastAsia="source serif 4" w:cs="source serif 4" w:ascii="source serif 4" w:hAnsi="source serif 4"/>
          <w:color w:val="000000"/>
          <w:sz w:val="21"/>
        </w:rPr>
        <w:t xml:space="preserve"> equipment that appears underused may exist to provide reserve capacity, fault tolerance, or restoration capability.</w:t>
      </w:r>
    </w:p>
    <w:p>
      <w:pPr>
        <w:numPr>
          <w:ilvl w:val="0"/>
          <w:numId w:val="1"/>
        </w:numPr>
        <w:spacing w:line="360" w:before="105" w:after="105" w:lineRule="auto"/>
      </w:pPr>
      <w:r>
        <w:rPr>
          <w:rFonts w:eastAsia="source serif 4" w:cs="source serif 4" w:ascii="source serif 4" w:hAnsi="source serif 4"/>
          <w:b/>
          <w:color w:val="000000"/>
          <w:sz w:val="21"/>
        </w:rPr>
        <w:t xml:space="preserve">Administrative and market friction:</w:t>
      </w:r>
      <w:r>
        <w:rPr>
          <w:rFonts w:eastAsia="source serif 4" w:cs="source serif 4" w:ascii="source serif 4" w:hAnsi="source serif 4"/>
          <w:color w:val="000000"/>
          <w:sz w:val="21"/>
        </w:rPr>
        <w:t xml:space="preserve"> tariffs, interconnection rules, ownership boundaries, and permitting can prevent technically feasible improvements.</w:t>
      </w:r>
    </w:p>
    <w:p>
      <w:pPr>
        <w:numPr>
          <w:ilvl w:val="0"/>
          <w:numId w:val="1"/>
        </w:numPr>
        <w:spacing w:line="360" w:before="105" w:after="105" w:lineRule="auto"/>
      </w:pPr>
      <w:r>
        <w:rPr>
          <w:rFonts w:eastAsia="source serif 4" w:cs="source serif 4" w:ascii="source serif 4" w:hAnsi="source serif 4"/>
          <w:b/>
          <w:color w:val="000000"/>
          <w:sz w:val="21"/>
        </w:rPr>
        <w:t xml:space="preserve">End-use inefficiency:</w:t>
      </w:r>
      <w:r>
        <w:rPr>
          <w:rFonts w:eastAsia="source serif 4" w:cs="source serif 4" w:ascii="source serif 4" w:hAnsi="source serif 4"/>
          <w:color w:val="000000"/>
          <w:sz w:val="21"/>
        </w:rPr>
        <w:t xml:space="preserve"> buildings, appliances, motors, lighting, cooling systems, and standby loads can consume more energy than necessary.</w:t>
      </w:r>
    </w:p>
    <w:p>
      <w:pPr>
        <w:spacing w:line="360" w:after="210" w:lineRule="auto"/>
      </w:pPr>
      <w:r>
        <w:rPr>
          <w:rFonts w:eastAsia="source serif 4" w:cs="source serif 4" w:ascii="source serif 4" w:hAnsi="source serif 4"/>
          <w:color w:val="000000"/>
        </w:rPr>
        <w:t xml:space="preserve">The useful question is therefore not “Why is all this energy wasted?” but “At which layer is value being lost, and which intervention addresses that layer without creating a larger reliability or safety problem?” The World Bank maintains country-level indicators for transmission and distribution losses, while the IEA documents grid congestion, connection queues, and curtailment as distinct infrastructure problems.[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315" w:after="105" w:lineRule="auto"/>
        <w:ind w:left="-30"/>
        <w:jc w:val="left"/>
      </w:pPr>
      <w:bookmarkStart w:id="5" w:name="why_bills_can_rise_during_infrast_65037d"/>
      <w:r>
        <w:rPr>
          <w:rFonts w:eastAsia="source serif 4" w:cs="source serif 4" w:ascii="source serif 4" w:hAnsi="source serif 4"/>
          <w:b/>
          <w:color w:val="000000"/>
          <w:sz w:val="24"/>
        </w:rPr>
        <w:t xml:space="preserve">Why Bills Can Rise During Infrastructure Spending</w:t>
      </w:r>
      <w:bookmarkEnd w:id="5"/>
    </w:p>
    <w:p>
      <w:pPr>
        <w:spacing w:line="360" w:after="210" w:lineRule="auto"/>
      </w:pPr>
      <w:r>
        <w:rPr>
          <w:rFonts w:eastAsia="source serif 4" w:cs="source serif 4" w:ascii="source serif 4" w:hAnsi="source serif 4"/>
          <w:color w:val="000000"/>
        </w:rPr>
        <w:t xml:space="preserve">A utility bill is not a direct meter of physical energy scarcity. Depending on the jurisdiction, it can include generation costs, transmission and distribution costs, storm recovery, vegetation management, wildfire mitigation, fuel adjustments, capacity or demand charges, taxes, public programs, and the utility’s regulated return. Infrastructure investment may raise near-term costs while reducing future outage risk or enabling new capacity.</w:t>
      </w:r>
    </w:p>
    <w:p>
      <w:pPr>
        <w:spacing w:line="360" w:after="210" w:lineRule="auto"/>
      </w:pPr>
      <w:r>
        <w:rPr>
          <w:rFonts w:eastAsia="source serif 4" w:cs="source serif 4" w:ascii="source serif 4" w:hAnsi="source serif 4"/>
          <w:color w:val="000000"/>
        </w:rPr>
        <w:t xml:space="preserve">This does not mean every expenditure is efficient. A serious exercise should force participants to distinguish between investments that improve reliability, investments that reduce operating cost, investments required for safety or compliance, investments that enable future load, and investments that mainly shift costs among customers. It should also ask who receives the benefit and who pays.</w:t>
      </w:r>
    </w:p>
    <w:p>
      <w:pPr>
        <w:spacing w:line="360" w:before="315" w:after="105" w:lineRule="auto"/>
        <w:ind w:left="-30"/>
        <w:jc w:val="left"/>
      </w:pPr>
      <w:bookmarkStart w:id="6" w:name="the_ai_grid_concept"/>
      <w:r>
        <w:rPr>
          <w:rFonts w:eastAsia="source serif 4" w:cs="source serif 4" w:ascii="source serif 4" w:hAnsi="source serif 4"/>
          <w:b/>
          <w:color w:val="000000"/>
          <w:sz w:val="24"/>
        </w:rPr>
        <w:t xml:space="preserve">The AI Grid Concept</w:t>
      </w:r>
      <w:bookmarkEnd w:id="6"/>
    </w:p>
    <w:p>
      <w:pPr>
        <w:spacing w:line="360" w:after="210" w:lineRule="auto"/>
      </w:pPr>
      <w:r>
        <w:rPr>
          <w:rFonts w:eastAsia="source serif 4" w:cs="source serif 4" w:ascii="source serif 4" w:hAnsi="source serif 4"/>
          <w:color w:val="000000"/>
        </w:rPr>
        <w:t xml:space="preserve">An AI supervising the entire grid is a compelling image, but a real deployment should be framed as </w:t>
      </w:r>
      <w:r>
        <w:rPr>
          <w:rFonts w:eastAsia="source serif 4" w:cs="source serif 4" w:ascii="source serif 4" w:hAnsi="source serif 4"/>
          <w:b/>
          <w:color w:val="000000"/>
        </w:rPr>
        <w:t xml:space="preserve">decision support with bounded authority</w:t>
      </w:r>
      <w:r>
        <w:rPr>
          <w:rFonts w:eastAsia="source serif 4" w:cs="source serif 4" w:ascii="source serif 4" w:hAnsi="source serif 4"/>
          <w:color w:val="000000"/>
        </w:rPr>
        <w:t xml:space="preserve">, not as an unconstrained autonomous controller. DOE’s Grid Modernization Initiative describes a modern grid in terms of resilience, reliability, security, affordability, flexibility, and sustainability, and emphasizes tools that measure, analyze, predict, protect, and control the system.[^7]</w:t>
      </w:r>
    </w:p>
    <w:p>
      <w:pPr>
        <w:spacing w:line="360" w:after="210" w:lineRule="auto"/>
      </w:pPr>
      <w:r>
        <w:rPr>
          <w:rFonts w:eastAsia="source serif 4" w:cs="source serif 4" w:ascii="source serif 4" w:hAnsi="source serif 4"/>
          <w:color w:val="000000"/>
        </w:rPr>
        <w:t xml:space="preserve">AI could contribute to:</w:t>
      </w:r>
    </w:p>
    <w:p>
      <w:pPr>
        <w:numPr>
          <w:ilvl w:val="0"/>
          <w:numId w:val="2"/>
        </w:numPr>
        <w:spacing w:line="360" w:before="105" w:after="105" w:lineRule="auto"/>
      </w:pPr>
      <w:r>
        <w:rPr>
          <w:rFonts w:eastAsia="source serif 4" w:cs="source serif 4" w:ascii="source serif 4" w:hAnsi="source serif 4"/>
          <w:color w:val="000000"/>
          <w:sz w:val="21"/>
        </w:rPr>
        <w:t xml:space="preserve">Forecasting demand, weather, renewable output, equipment failure, and restoration time.</w:t>
      </w:r>
    </w:p>
    <w:p>
      <w:pPr>
        <w:numPr>
          <w:ilvl w:val="0"/>
          <w:numId w:val="2"/>
        </w:numPr>
        <w:spacing w:line="360" w:before="105" w:after="105" w:lineRule="auto"/>
      </w:pPr>
      <w:r>
        <w:rPr>
          <w:rFonts w:eastAsia="source serif 4" w:cs="source serif 4" w:ascii="source serif 4" w:hAnsi="source serif 4"/>
          <w:color w:val="000000"/>
          <w:sz w:val="21"/>
        </w:rPr>
        <w:t xml:space="preserve">Detecting abnormal patterns across operational technology and customer-facing systems.</w:t>
      </w:r>
    </w:p>
    <w:p>
      <w:pPr>
        <w:numPr>
          <w:ilvl w:val="0"/>
          <w:numId w:val="2"/>
        </w:numPr>
        <w:spacing w:line="360" w:before="105" w:after="105" w:lineRule="auto"/>
      </w:pPr>
      <w:r>
        <w:rPr>
          <w:rFonts w:eastAsia="source serif 4" w:cs="source serif 4" w:ascii="source serif 4" w:hAnsi="source serif 4"/>
          <w:color w:val="000000"/>
          <w:sz w:val="21"/>
        </w:rPr>
        <w:t xml:space="preserve">Ranking vulnerable substations, feeders, transformers, and critical loads.</w:t>
      </w:r>
    </w:p>
    <w:p>
      <w:pPr>
        <w:numPr>
          <w:ilvl w:val="0"/>
          <w:numId w:val="2"/>
        </w:numPr>
        <w:spacing w:line="360" w:before="105" w:after="105" w:lineRule="auto"/>
      </w:pPr>
      <w:r>
        <w:rPr>
          <w:rFonts w:eastAsia="source serif 4" w:cs="source serif 4" w:ascii="source serif 4" w:hAnsi="source serif 4"/>
          <w:color w:val="000000"/>
          <w:sz w:val="21"/>
        </w:rPr>
        <w:t xml:space="preserve">Recommending switching, islanding, storage, demand response, and restoration sequences.</w:t>
      </w:r>
    </w:p>
    <w:p>
      <w:pPr>
        <w:numPr>
          <w:ilvl w:val="0"/>
          <w:numId w:val="2"/>
        </w:numPr>
        <w:spacing w:line="360" w:before="105" w:after="105" w:lineRule="auto"/>
      </w:pPr>
      <w:r>
        <w:rPr>
          <w:rFonts w:eastAsia="source serif 4" w:cs="source serif 4" w:ascii="source serif 4" w:hAnsi="source serif 4"/>
          <w:color w:val="000000"/>
          <w:sz w:val="21"/>
        </w:rPr>
        <w:t xml:space="preserve">Identifying congestion, curtailment, and interconnection bottlenecks.</w:t>
      </w:r>
    </w:p>
    <w:p>
      <w:pPr>
        <w:numPr>
          <w:ilvl w:val="0"/>
          <w:numId w:val="2"/>
        </w:numPr>
        <w:spacing w:line="360" w:before="105" w:after="105" w:lineRule="auto"/>
      </w:pPr>
      <w:r>
        <w:rPr>
          <w:rFonts w:eastAsia="source serif 4" w:cs="source serif 4" w:ascii="source serif 4" w:hAnsi="source serif 4"/>
          <w:color w:val="000000"/>
          <w:sz w:val="21"/>
        </w:rPr>
        <w:t xml:space="preserve">Comparing competing investment plans under multiple futures.</w:t>
      </w:r>
    </w:p>
    <w:p>
      <w:pPr>
        <w:numPr>
          <w:ilvl w:val="0"/>
          <w:numId w:val="2"/>
        </w:numPr>
        <w:spacing w:line="360" w:before="105" w:after="105" w:lineRule="auto"/>
      </w:pPr>
      <w:r>
        <w:rPr>
          <w:rFonts w:eastAsia="source serif 4" w:cs="source serif 4" w:ascii="source serif 4" w:hAnsi="source serif 4"/>
          <w:color w:val="000000"/>
          <w:sz w:val="21"/>
        </w:rPr>
        <w:t xml:space="preserve">Summarizing uncertainty and showing operators why a recommendation was made.</w:t>
      </w:r>
    </w:p>
    <w:p>
      <w:pPr>
        <w:spacing w:line="360" w:after="210" w:lineRule="auto"/>
      </w:pPr>
      <w:r>
        <w:rPr>
          <w:rFonts w:eastAsia="source serif 4" w:cs="source serif 4" w:ascii="source serif 4" w:hAnsi="source serif 4"/>
          <w:color w:val="000000"/>
        </w:rPr>
        <w:t xml:space="preserve">AI should not be allowed to silently optimize for “maximum energy delivered” at the expense of human safety, equipment limits, voltage and frequency stability, privacy, cybersecurity, or equitable access. NIST’s smart-grid cybersecurity guidance reflects the need to treat communications, control, identity, resilience, and security as integrated design concerns.[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color w:val="000000"/>
        </w:rPr>
        <w:t xml:space="preserve">A useful architecture has four layers: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Safe design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Sensors, telemetry, weather, asset condition, customer and facility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 provenance, time synchronization, uncertainty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Understand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 estimation, forecasts, anomaly detection, scenario analysis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Human-readable explanations and independent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Switching, load prioritization, storage, mutual aid, restoration options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Constraint checking and competing alternatives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Operator-approved control or tightly bounded automation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Interlocks, fail-safe behavior, audit logs, manual override</w:t>
            </w:r>
          </w:p>
        </w:tc>
      </w:tr>
    </w:tbl>
    <w:p>
      <w:pPr>
        <w:spacing w:lineRule="auto"/>
      </w:pPr>
    </w:p>
    <w:p>
      <w:pPr>
        <w:spacing w:line="360" w:before="315" w:after="105" w:lineRule="auto"/>
        <w:ind w:left="-30"/>
        <w:jc w:val="left"/>
      </w:pPr>
      <w:bookmarkStart w:id="7" w:name="the_missile_idea_what_must_be_reframed"/>
      <w:r>
        <w:rPr>
          <w:rFonts w:eastAsia="source serif 4" w:cs="source serif 4" w:ascii="source serif 4" w:hAnsi="source serif 4"/>
          <w:b/>
          <w:color w:val="000000"/>
          <w:sz w:val="24"/>
        </w:rPr>
        <w:t xml:space="preserve">The Missile Idea: What Must Be Reframed</w:t>
      </w:r>
      <w:bookmarkEnd w:id="7"/>
    </w:p>
    <w:p>
      <w:pPr>
        <w:spacing w:line="360" w:after="210" w:lineRule="auto"/>
      </w:pPr>
      <w:r>
        <w:rPr>
          <w:rFonts w:eastAsia="source serif 4" w:cs="source serif 4" w:ascii="source serif 4" w:hAnsi="source serif 4"/>
          <w:color w:val="000000"/>
        </w:rPr>
        <w:t xml:space="preserve">The physical intuition is understandable: an incoming object contains stored energy, and it seems wasteful to let that energy become destruction. In practice, energy is only useful if it can be captured at a manageable rate, in a controlled location, with equipment that survives the capture process. A missile or explosive impact releases energy too quickly and unpredictably, while the infrastructure needed to intercept it, contain it, convert it, and connect the output to a grid would itself be a major hazard.</w:t>
      </w:r>
    </w:p>
    <w:p>
      <w:pPr>
        <w:spacing w:line="360" w:after="210" w:lineRule="auto"/>
      </w:pPr>
      <w:r>
        <w:rPr>
          <w:rFonts w:eastAsia="source serif 4" w:cs="source serif 4" w:ascii="source serif 4" w:hAnsi="source serif 4"/>
          <w:color w:val="000000"/>
        </w:rPr>
        <w:t xml:space="preserve">The exercise should therefore exclude instructions for missile interception, explosive-energy capture, weapon modification, targeting, or counterattack. It can still preserve the creative core by treating the “missile barrage” as an abstract </w:t>
      </w:r>
      <w:r>
        <w:rPr>
          <w:rFonts w:eastAsia="source serif 4" w:cs="source serif 4" w:ascii="source serif 4" w:hAnsi="source serif 4"/>
          <w:b/>
          <w:color w:val="000000"/>
        </w:rPr>
        <w:t xml:space="preserve">adversarial input</w:t>
      </w:r>
      <w:r>
        <w:rPr>
          <w:rFonts w:eastAsia="source serif 4" w:cs="source serif 4" w:ascii="source serif 4" w:hAnsi="source serif 4"/>
          <w:color w:val="000000"/>
        </w:rPr>
        <w:t xml:space="preserve"> whose physical details are intentionally withheld. The exercise asks what the system can learn, isolate, protect, reroute, recover, and improve.</w:t>
      </w:r>
    </w:p>
    <w:p>
      <w:pPr>
        <w:spacing w:line="360" w:after="210" w:lineRule="auto"/>
      </w:pPr>
      <w:r>
        <w:rPr>
          <w:rFonts w:eastAsia="source serif 4" w:cs="source serif 4" w:ascii="source serif 4" w:hAnsi="source serif 4"/>
          <w:color w:val="000000"/>
        </w:rPr>
        <w:t xml:space="preserve">The concept becomes scientifically defensible when “transmogrification” means one or more of the following:</w:t>
      </w:r>
    </w:p>
    <w:p>
      <w:pPr>
        <w:numPr>
          <w:ilvl w:val="0"/>
          <w:numId w:val="3"/>
        </w:numPr>
        <w:spacing w:line="360" w:before="105" w:after="105" w:lineRule="auto"/>
      </w:pPr>
      <w:r>
        <w:rPr>
          <w:rFonts w:eastAsia="source serif 4" w:cs="source serif 4" w:ascii="source serif 4" w:hAnsi="source serif 4"/>
          <w:b/>
          <w:color w:val="000000"/>
          <w:sz w:val="21"/>
        </w:rPr>
        <w:t xml:space="preserve">Information conversion:</w:t>
      </w:r>
      <w:r>
        <w:rPr>
          <w:rFonts w:eastAsia="source serif 4" w:cs="source serif 4" w:ascii="source serif 4" w:hAnsi="source serif 4"/>
          <w:color w:val="000000"/>
          <w:sz w:val="21"/>
        </w:rPr>
        <w:t xml:space="preserve"> turn an attack signal, outage pattern, or anomaly into actionable situational awareness.</w:t>
      </w:r>
    </w:p>
    <w:p>
      <w:pPr>
        <w:numPr>
          <w:ilvl w:val="0"/>
          <w:numId w:val="3"/>
        </w:numPr>
        <w:spacing w:line="360" w:before="105" w:after="105" w:lineRule="auto"/>
      </w:pPr>
      <w:r>
        <w:rPr>
          <w:rFonts w:eastAsia="source serif 4" w:cs="source serif 4" w:ascii="source serif 4" w:hAnsi="source serif 4"/>
          <w:b/>
          <w:color w:val="000000"/>
          <w:sz w:val="21"/>
        </w:rPr>
        <w:t xml:space="preserve">Spatial conversion:</w:t>
      </w:r>
      <w:r>
        <w:rPr>
          <w:rFonts w:eastAsia="source serif 4" w:cs="source serif 4" w:ascii="source serif 4" w:hAnsi="source serif 4"/>
          <w:color w:val="000000"/>
          <w:sz w:val="21"/>
        </w:rPr>
        <w:t xml:space="preserve"> redirect flows through healthy network paths or island critical facilities.</w:t>
      </w:r>
    </w:p>
    <w:p>
      <w:pPr>
        <w:numPr>
          <w:ilvl w:val="0"/>
          <w:numId w:val="3"/>
        </w:numPr>
        <w:spacing w:line="360" w:before="105" w:after="105" w:lineRule="auto"/>
      </w:pPr>
      <w:r>
        <w:rPr>
          <w:rFonts w:eastAsia="source serif 4" w:cs="source serif 4" w:ascii="source serif 4" w:hAnsi="source serif 4"/>
          <w:b/>
          <w:color w:val="000000"/>
          <w:sz w:val="21"/>
        </w:rPr>
        <w:t xml:space="preserve">Temporal conversion:</w:t>
      </w:r>
      <w:r>
        <w:rPr>
          <w:rFonts w:eastAsia="source serif 4" w:cs="source serif 4" w:ascii="source serif 4" w:hAnsi="source serif 4"/>
          <w:color w:val="000000"/>
          <w:sz w:val="21"/>
        </w:rPr>
        <w:t xml:space="preserve"> shift flexible demand or store energy for a later peak.</w:t>
      </w:r>
    </w:p>
    <w:p>
      <w:pPr>
        <w:numPr>
          <w:ilvl w:val="0"/>
          <w:numId w:val="3"/>
        </w:numPr>
        <w:spacing w:line="360" w:before="105" w:after="105" w:lineRule="auto"/>
      </w:pPr>
      <w:r>
        <w:rPr>
          <w:rFonts w:eastAsia="source serif 4" w:cs="source serif 4" w:ascii="source serif 4" w:hAnsi="source serif 4"/>
          <w:b/>
          <w:color w:val="000000"/>
          <w:sz w:val="21"/>
        </w:rPr>
        <w:t xml:space="preserve">Asset conversion:</w:t>
      </w:r>
      <w:r>
        <w:rPr>
          <w:rFonts w:eastAsia="source serif 4" w:cs="source serif 4" w:ascii="source serif 4" w:hAnsi="source serif 4"/>
          <w:color w:val="000000"/>
          <w:sz w:val="21"/>
        </w:rPr>
        <w:t xml:space="preserve"> use distributed energy resources, microgrids, batteries, and generators as resilience assets.</w:t>
      </w:r>
    </w:p>
    <w:p>
      <w:pPr>
        <w:numPr>
          <w:ilvl w:val="0"/>
          <w:numId w:val="3"/>
        </w:numPr>
        <w:spacing w:line="360" w:before="105" w:after="105" w:lineRule="auto"/>
      </w:pPr>
      <w:r>
        <w:rPr>
          <w:rFonts w:eastAsia="source serif 4" w:cs="source serif 4" w:ascii="source serif 4" w:hAnsi="source serif 4"/>
          <w:b/>
          <w:color w:val="000000"/>
          <w:sz w:val="21"/>
        </w:rPr>
        <w:t xml:space="preserve">Operational conversion:</w:t>
      </w:r>
      <w:r>
        <w:rPr>
          <w:rFonts w:eastAsia="source serif 4" w:cs="source serif 4" w:ascii="source serif 4" w:hAnsi="source serif 4"/>
          <w:color w:val="000000"/>
          <w:sz w:val="21"/>
        </w:rPr>
        <w:t xml:space="preserve"> convert an attack into a restoration opportunity by learning the adversary’s pattern and hardening the exposed path.</w:t>
      </w:r>
    </w:p>
    <w:p>
      <w:pPr>
        <w:numPr>
          <w:ilvl w:val="0"/>
          <w:numId w:val="3"/>
        </w:numPr>
        <w:spacing w:line="360" w:before="105" w:after="105" w:lineRule="auto"/>
      </w:pPr>
      <w:r>
        <w:rPr>
          <w:rFonts w:eastAsia="source serif 4" w:cs="source serif 4" w:ascii="source serif 4" w:hAnsi="source serif 4"/>
          <w:b/>
          <w:color w:val="000000"/>
          <w:sz w:val="21"/>
        </w:rPr>
        <w:t xml:space="preserve">Institutional conversion:</w:t>
      </w:r>
      <w:r>
        <w:rPr>
          <w:rFonts w:eastAsia="source serif 4" w:cs="source serif 4" w:ascii="source serif 4" w:hAnsi="source serif 4"/>
          <w:color w:val="000000"/>
          <w:sz w:val="21"/>
        </w:rPr>
        <w:t xml:space="preserve"> turn fragmented responsibility into a coordinated response structure.</w:t>
      </w:r>
    </w:p>
    <w:p>
      <w:pPr>
        <w:spacing w:line="360" w:before="315" w:after="105" w:lineRule="auto"/>
        <w:ind w:left="-30"/>
        <w:jc w:val="left"/>
      </w:pPr>
      <w:bookmarkStart w:id="8" w:name="exercise_name_and_purpose"/>
      <w:r>
        <w:rPr>
          <w:rFonts w:eastAsia="source serif 4" w:cs="source serif 4" w:ascii="source serif 4" w:hAnsi="source serif 4"/>
          <w:b/>
          <w:color w:val="000000"/>
          <w:sz w:val="24"/>
        </w:rPr>
        <w:t xml:space="preserve">Exercise Name and Purpose</w:t>
      </w:r>
      <w:bookmarkEnd w:id="8"/>
    </w:p>
    <w:p>
      <w:pPr>
        <w:spacing w:line="360" w:after="210" w:lineRule="auto"/>
      </w:pPr>
      <w:r>
        <w:rPr>
          <w:rFonts w:eastAsia="source serif 4" w:cs="source serif 4" w:ascii="source serif 4" w:hAnsi="source serif 4"/>
          <w:b/>
          <w:color w:val="000000"/>
        </w:rPr>
        <w:t xml:space="preserve">Exercise title:</w:t>
      </w:r>
      <w:r>
        <w:rPr>
          <w:rFonts w:eastAsia="source serif 4" w:cs="source serif 4" w:ascii="source serif 4" w:hAnsi="source serif 4"/>
          <w:color w:val="000000"/>
        </w:rPr>
        <w:t xml:space="preserve"> Transmogrification: Beneficial Vectors in a Stressed Grid</w:t>
      </w:r>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Explore how a grid operator, utility, emergency-management organization, public agency, and critical-facility community can convert disruptive inputs into bounded resilience actions while maintaining safety, reliability, cybersecurity, and public trust.</w:t>
      </w:r>
    </w:p>
    <w:p>
      <w:pPr>
        <w:spacing w:line="360" w:after="210" w:lineRule="auto"/>
      </w:pPr>
      <w:r>
        <w:rPr>
          <w:rFonts w:eastAsia="source serif 4" w:cs="source serif 4" w:ascii="source serif 4" w:hAnsi="source serif 4"/>
          <w:b/>
          <w:color w:val="000000"/>
        </w:rPr>
        <w:t xml:space="preserve">Core question:</w:t>
      </w:r>
      <w:r>
        <w:rPr>
          <w:rFonts w:eastAsia="source serif 4" w:cs="source serif 4" w:ascii="source serif 4" w:hAnsi="source serif 4"/>
          <w:color w:val="000000"/>
        </w:rPr>
        <w:t xml:space="preserve"> When harmful force enters a coupled system, what can be safely absorbed, redirected, isolated, learned from, or converted into useful flexibility—and what must simply be blocked or allowed to dissipate?</w:t>
      </w:r>
    </w:p>
    <w:p>
      <w:pPr>
        <w:spacing w:line="360" w:after="210" w:lineRule="auto"/>
      </w:pPr>
      <w:r>
        <w:rPr>
          <w:rFonts w:eastAsia="source serif 4" w:cs="source serif 4" w:ascii="source serif 4" w:hAnsi="source serif 4"/>
          <w:b/>
          <w:color w:val="000000"/>
        </w:rPr>
        <w:t xml:space="preserve">Scope:</w:t>
      </w:r>
      <w:r>
        <w:rPr>
          <w:rFonts w:eastAsia="source serif 4" w:cs="source serif 4" w:ascii="source serif 4" w:hAnsi="source serif 4"/>
          <w:color w:val="000000"/>
        </w:rPr>
        <w:t xml:space="preserve"> A fictional regional distribution-and-transmission system during an extreme-heat event, with high demand, constrained transformers, data-center load, rooftop solar, batteries, a hospital, water infrastructure, residential customers, and incomplete communications.</w:t>
      </w:r>
    </w:p>
    <w:p>
      <w:pPr>
        <w:spacing w:line="360" w:after="210" w:lineRule="auto"/>
      </w:pPr>
      <w:r>
        <w:rPr>
          <w:rFonts w:eastAsia="source serif 4" w:cs="source serif 4" w:ascii="source serif 4" w:hAnsi="source serif 4"/>
          <w:b/>
          <w:color w:val="000000"/>
        </w:rPr>
        <w:t xml:space="preserve">Out of scope:</w:t>
      </w:r>
      <w:r>
        <w:rPr>
          <w:rFonts w:eastAsia="source serif 4" w:cs="source serif 4" w:ascii="source serif 4" w:hAnsi="source serif 4"/>
          <w:color w:val="000000"/>
        </w:rPr>
        <w:t xml:space="preserve"> Weapon design; missile interception tactics; explosives; offensive cyber operations; real utility control commands; unauthorized access to operational technology; and claims that destructive energy can be harvested economically after impact.</w:t>
      </w:r>
    </w:p>
    <w:p>
      <w:pPr>
        <w:spacing w:line="360" w:before="315" w:after="105" w:lineRule="auto"/>
        <w:ind w:left="-30"/>
        <w:jc w:val="left"/>
      </w:pPr>
      <w:bookmarkStart w:id="9" w:name="simulation_laboratory_version"/>
      <w:r>
        <w:rPr>
          <w:rFonts w:eastAsia="source serif 4" w:cs="source serif 4" w:ascii="source serif 4" w:hAnsi="source serif 4"/>
          <w:b/>
          <w:color w:val="000000"/>
          <w:sz w:val="24"/>
        </w:rPr>
        <w:t xml:space="preserve">Simulation Laboratory Version</w:t>
      </w:r>
      <w:bookmarkEnd w:id="9"/>
    </w:p>
    <w:p>
      <w:pPr>
        <w:spacing w:line="360" w:after="210" w:lineRule="auto"/>
      </w:pPr>
      <w:r>
        <w:rPr>
          <w:rFonts w:eastAsia="source serif 4" w:cs="source serif 4" w:ascii="source serif 4" w:hAnsi="source serif 4"/>
          <w:color w:val="000000"/>
        </w:rPr>
        <w:t xml:space="preserve">The simulation lab should begin with a simplified network model rather than a real utility topology. Nodes can represent generation, substations, feeders, critical facilities, storage, flexible loads, and communication links. Edges can carry attributes such as capacity, latency, failure probability, repair time, and dependency on communications.</w:t>
      </w:r>
    </w:p>
    <w:p>
      <w:pPr>
        <w:spacing w:line="360" w:after="210" w:lineRule="auto"/>
      </w:pPr>
      <w:r>
        <w:rPr>
          <w:rFonts w:eastAsia="source serif 4" w:cs="source serif 4" w:ascii="source serif 4" w:hAnsi="source serif 4"/>
          <w:color w:val="000000"/>
        </w:rPr>
        <w:t xml:space="preserve">Each round represents a time interval. Participants receive a state estimate, forecast, asset condition report, and uncertainty level. They choose actions such as reconfiguration, demand response, battery dispatch, microgrid islanding, public communication, mutual aid, equipment conservation, or postponement of noncritical load. The model returns consequences: served load, unserved critical load, losses, congestion, reserve margin, recovery time, equipment stress, and new information.</w:t>
      </w:r>
    </w:p>
    <w:p>
      <w:pPr>
        <w:spacing w:line="360" w:after="210" w:lineRule="auto"/>
      </w:pPr>
      <w:r>
        <w:rPr>
          <w:rFonts w:eastAsia="source serif 4" w:cs="source serif 4" w:ascii="source serif 4" w:hAnsi="source serif 4"/>
          <w:color w:val="000000"/>
        </w:rPr>
        <w:t xml:space="preserve">A minimal state vector could include:</w:t>
      </w:r>
    </w:p>
    <w:p>
      <w:pPr>
        <w:numPr>
          <w:ilvl w:val="0"/>
          <w:numId w:val="4"/>
        </w:numPr>
        <w:spacing w:line="360" w:before="105" w:after="105" w:lineRule="auto"/>
      </w:pPr>
      <w:r>
        <w:rPr>
          <w:rFonts w:eastAsia="source serif 4" w:cs="source serif 4" w:ascii="source serif 4" w:hAnsi="source serif 4"/>
          <w:color w:val="000000"/>
          <w:sz w:val="21"/>
        </w:rPr>
        <w:t xml:space="preserve">Available generation and reserve capacity.</w:t>
      </w:r>
    </w:p>
    <w:p>
      <w:pPr>
        <w:numPr>
          <w:ilvl w:val="0"/>
          <w:numId w:val="4"/>
        </w:numPr>
        <w:spacing w:line="360" w:before="105" w:after="105" w:lineRule="auto"/>
      </w:pPr>
      <w:r>
        <w:rPr>
          <w:rFonts w:eastAsia="source serif 4" w:cs="source serif 4" w:ascii="source serif 4" w:hAnsi="source serif 4"/>
          <w:color w:val="000000"/>
          <w:sz w:val="21"/>
        </w:rPr>
        <w:t xml:space="preserve">Demand by customer class and geographic zone.</w:t>
      </w:r>
    </w:p>
    <w:p>
      <w:pPr>
        <w:numPr>
          <w:ilvl w:val="0"/>
          <w:numId w:val="4"/>
        </w:numPr>
        <w:spacing w:line="360" w:before="105" w:after="105" w:lineRule="auto"/>
      </w:pPr>
      <w:r>
        <w:rPr>
          <w:rFonts w:eastAsia="source serif 4" w:cs="source serif 4" w:ascii="source serif 4" w:hAnsi="source serif 4"/>
          <w:color w:val="000000"/>
          <w:sz w:val="21"/>
        </w:rPr>
        <w:t xml:space="preserve">Transmission and feeder loading.</w:t>
      </w:r>
    </w:p>
    <w:p>
      <w:pPr>
        <w:numPr>
          <w:ilvl w:val="0"/>
          <w:numId w:val="4"/>
        </w:numPr>
        <w:spacing w:line="360" w:before="105" w:after="105" w:lineRule="auto"/>
      </w:pPr>
      <w:r>
        <w:rPr>
          <w:rFonts w:eastAsia="source serif 4" w:cs="source serif 4" w:ascii="source serif 4" w:hAnsi="source serif 4"/>
          <w:color w:val="000000"/>
          <w:sz w:val="21"/>
        </w:rPr>
        <w:t xml:space="preserve">Transformer temperature and failure risk.</w:t>
      </w:r>
    </w:p>
    <w:p>
      <w:pPr>
        <w:numPr>
          <w:ilvl w:val="0"/>
          <w:numId w:val="4"/>
        </w:numPr>
        <w:spacing w:line="360" w:before="105" w:after="105" w:lineRule="auto"/>
      </w:pPr>
      <w:r>
        <w:rPr>
          <w:rFonts w:eastAsia="source serif 4" w:cs="source serif 4" w:ascii="source serif 4" w:hAnsi="source serif 4"/>
          <w:color w:val="000000"/>
          <w:sz w:val="21"/>
        </w:rPr>
        <w:t xml:space="preserve">Battery state of charge and dispatch limits.</w:t>
      </w:r>
    </w:p>
    <w:p>
      <w:pPr>
        <w:numPr>
          <w:ilvl w:val="0"/>
          <w:numId w:val="4"/>
        </w:numPr>
        <w:spacing w:line="360" w:before="105" w:after="105" w:lineRule="auto"/>
      </w:pPr>
      <w:r>
        <w:rPr>
          <w:rFonts w:eastAsia="source serif 4" w:cs="source serif 4" w:ascii="source serif 4" w:hAnsi="source serif 4"/>
          <w:color w:val="000000"/>
          <w:sz w:val="21"/>
        </w:rPr>
        <w:t xml:space="preserve">Weather severity and forecast confidence.</w:t>
      </w:r>
    </w:p>
    <w:p>
      <w:pPr>
        <w:numPr>
          <w:ilvl w:val="0"/>
          <w:numId w:val="4"/>
        </w:numPr>
        <w:spacing w:line="360" w:before="105" w:after="105" w:lineRule="auto"/>
      </w:pPr>
      <w:r>
        <w:rPr>
          <w:rFonts w:eastAsia="source serif 4" w:cs="source serif 4" w:ascii="source serif 4" w:hAnsi="source serif 4"/>
          <w:color w:val="000000"/>
          <w:sz w:val="21"/>
        </w:rPr>
        <w:t xml:space="preserve">Communication availability and data integrity.</w:t>
      </w:r>
    </w:p>
    <w:p>
      <w:pPr>
        <w:numPr>
          <w:ilvl w:val="0"/>
          <w:numId w:val="4"/>
        </w:numPr>
        <w:spacing w:line="360" w:before="105" w:after="105" w:lineRule="auto"/>
      </w:pPr>
      <w:r>
        <w:rPr>
          <w:rFonts w:eastAsia="source serif 4" w:cs="source serif 4" w:ascii="source serif 4" w:hAnsi="source serif 4"/>
          <w:color w:val="000000"/>
          <w:sz w:val="21"/>
        </w:rPr>
        <w:t xml:space="preserve">Critical-load priorities.</w:t>
      </w:r>
    </w:p>
    <w:p>
      <w:pPr>
        <w:numPr>
          <w:ilvl w:val="0"/>
          <w:numId w:val="4"/>
        </w:numPr>
        <w:spacing w:line="360" w:before="105" w:after="105" w:lineRule="auto"/>
      </w:pPr>
      <w:r>
        <w:rPr>
          <w:rFonts w:eastAsia="source serif 4" w:cs="source serif 4" w:ascii="source serif 4" w:hAnsi="source serif 4"/>
          <w:color w:val="000000"/>
          <w:sz w:val="21"/>
        </w:rPr>
        <w:t xml:space="preserve">Repair crews, spare equipment, and estimated restoration times.</w:t>
      </w:r>
    </w:p>
    <w:p>
      <w:pPr>
        <w:spacing w:line="360" w:after="210" w:lineRule="auto"/>
      </w:pPr>
      <w:r>
        <w:rPr>
          <w:rFonts w:eastAsia="source serif 4" w:cs="source serif 4" w:ascii="source serif 4" w:hAnsi="source serif 4"/>
          <w:color w:val="000000"/>
        </w:rPr>
        <w:t xml:space="preserve">The lab should compare at least four strategies: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it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reactive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Respond only after overloads or failures occur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Cost of delayed awareness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Central optimization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coordinator allocates resources across the network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Benefits and risks of global visibility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Distributed resilience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Local microgrids and facilities act within predefined limits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 of autonomy and interoperability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Human-AI partnership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forecasts and recommends; authorized operators approve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Explainability, trust, and bounded control</w:t>
            </w:r>
          </w:p>
        </w:tc>
      </w:tr>
    </w:tbl>
    <w:p>
      <w:pPr>
        <w:spacing w:lineRule="auto"/>
      </w:pPr>
    </w:p>
    <w:p>
      <w:pPr>
        <w:spacing w:line="360" w:after="210" w:lineRule="auto"/>
      </w:pPr>
      <w:r>
        <w:rPr>
          <w:rFonts w:eastAsia="source serif 4" w:cs="source serif 4" w:ascii="source serif 4" w:hAnsi="source serif 4"/>
          <w:color w:val="000000"/>
        </w:rPr>
        <w:t xml:space="preserve">The goal is not to produce a single “optimal” result. It is to reveal trade-offs. A strategy that minimizes immediate unserved energy may increase transformer aging, reduce later reserves, create inequitable service, or make recovery harder.</w:t>
      </w:r>
    </w:p>
    <w:p>
      <w:pPr>
        <w:spacing w:line="360" w:before="315" w:after="105" w:lineRule="auto"/>
        <w:ind w:left="-30"/>
        <w:jc w:val="left"/>
      </w:pPr>
      <w:bookmarkStart w:id="10" w:name="tabletop_exercise_version"/>
      <w:r>
        <w:rPr>
          <w:rFonts w:eastAsia="source serif 4" w:cs="source serif 4" w:ascii="source serif 4" w:hAnsi="source serif 4"/>
          <w:b/>
          <w:color w:val="000000"/>
          <w:sz w:val="24"/>
        </w:rPr>
        <w:t xml:space="preserve">Tabletop Exercise Version</w:t>
      </w:r>
      <w:bookmarkEnd w:id="10"/>
    </w:p>
    <w:p>
      <w:pPr>
        <w:spacing w:line="360" w:after="210" w:lineRule="auto"/>
      </w:pPr>
      <w:r>
        <w:rPr>
          <w:rFonts w:eastAsia="source serif 4" w:cs="source serif 4" w:ascii="source serif 4" w:hAnsi="source serif 4"/>
          <w:color w:val="000000"/>
        </w:rPr>
        <w:t xml:space="preserve">The tabletop should follow HSEEP principles: establish a purpose, define objectives, develop a scenario and injects, facilitate discussion, evaluate performance, and produce an After-Action Report and Improvement Plan.[</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11][^12]</w:t>
      </w:r>
    </w:p>
    <w:p>
      <w:pPr>
        <w:spacing w:line="360" w:before="315" w:after="105" w:lineRule="auto"/>
        <w:ind w:left="-30"/>
        <w:jc w:val="left"/>
      </w:pPr>
      <w:bookmarkStart w:id="11" w:name="participants"/>
      <w:r>
        <w:rPr>
          <w:rFonts w:eastAsia="source serif 4" w:cs="source serif 4" w:ascii="source serif 4" w:hAnsi="source serif 4"/>
          <w:b/>
          <w:color w:val="000000"/>
          <w:sz w:val="24"/>
        </w:rPr>
        <w:t xml:space="preserve">Participants</w:t>
      </w:r>
      <w:bookmarkEnd w:id="11"/>
    </w:p>
    <w:p>
      <w:pPr>
        <w:numPr>
          <w:ilvl w:val="0"/>
          <w:numId w:val="5"/>
        </w:numPr>
        <w:spacing w:line="360" w:before="105" w:after="105" w:lineRule="auto"/>
      </w:pPr>
      <w:r>
        <w:rPr>
          <w:rFonts w:eastAsia="source serif 4" w:cs="source serif 4" w:ascii="source serif 4" w:hAnsi="source serif 4"/>
          <w:color w:val="000000"/>
          <w:sz w:val="21"/>
        </w:rPr>
        <w:t xml:space="preserve">Utility operations and distribution control.</w:t>
      </w:r>
    </w:p>
    <w:p>
      <w:pPr>
        <w:numPr>
          <w:ilvl w:val="0"/>
          <w:numId w:val="5"/>
        </w:numPr>
        <w:spacing w:line="360" w:before="105" w:after="105" w:lineRule="auto"/>
      </w:pPr>
      <w:r>
        <w:rPr>
          <w:rFonts w:eastAsia="source serif 4" w:cs="source serif 4" w:ascii="source serif 4" w:hAnsi="source serif 4"/>
          <w:color w:val="000000"/>
          <w:sz w:val="21"/>
        </w:rPr>
        <w:t xml:space="preserve">Transmission or balancing authority representative.</w:t>
      </w:r>
    </w:p>
    <w:p>
      <w:pPr>
        <w:numPr>
          <w:ilvl w:val="0"/>
          <w:numId w:val="5"/>
        </w:numPr>
        <w:spacing w:line="360" w:before="105" w:after="105" w:lineRule="auto"/>
      </w:pPr>
      <w:r>
        <w:rPr>
          <w:rFonts w:eastAsia="source serif 4" w:cs="source serif 4" w:ascii="source serif 4" w:hAnsi="source serif 4"/>
          <w:color w:val="000000"/>
          <w:sz w:val="21"/>
        </w:rPr>
        <w:t xml:space="preserve">Emergency management and public safety.</w:t>
      </w:r>
    </w:p>
    <w:p>
      <w:pPr>
        <w:numPr>
          <w:ilvl w:val="0"/>
          <w:numId w:val="5"/>
        </w:numPr>
        <w:spacing w:line="360" w:before="105" w:after="105" w:lineRule="auto"/>
      </w:pPr>
      <w:r>
        <w:rPr>
          <w:rFonts w:eastAsia="source serif 4" w:cs="source serif 4" w:ascii="source serif 4" w:hAnsi="source serif 4"/>
          <w:color w:val="000000"/>
          <w:sz w:val="21"/>
        </w:rPr>
        <w:t xml:space="preserve">Communications and public information.</w:t>
      </w:r>
    </w:p>
    <w:p>
      <w:pPr>
        <w:numPr>
          <w:ilvl w:val="0"/>
          <w:numId w:val="5"/>
        </w:numPr>
        <w:spacing w:line="360" w:before="105" w:after="105" w:lineRule="auto"/>
      </w:pPr>
      <w:r>
        <w:rPr>
          <w:rFonts w:eastAsia="source serif 4" w:cs="source serif 4" w:ascii="source serif 4" w:hAnsi="source serif 4"/>
          <w:color w:val="000000"/>
          <w:sz w:val="21"/>
        </w:rPr>
        <w:t xml:space="preserve">Water, healthcare, telecommunications, and transportation representatives.</w:t>
      </w:r>
    </w:p>
    <w:p>
      <w:pPr>
        <w:numPr>
          <w:ilvl w:val="0"/>
          <w:numId w:val="5"/>
        </w:numPr>
        <w:spacing w:line="360" w:before="105" w:after="105" w:lineRule="auto"/>
      </w:pPr>
      <w:r>
        <w:rPr>
          <w:rFonts w:eastAsia="source serif 4" w:cs="source serif 4" w:ascii="source serif 4" w:hAnsi="source serif 4"/>
          <w:color w:val="000000"/>
          <w:sz w:val="21"/>
        </w:rPr>
        <w:t xml:space="preserve">Cybersecurity and information-technology personnel.</w:t>
      </w:r>
    </w:p>
    <w:p>
      <w:pPr>
        <w:numPr>
          <w:ilvl w:val="0"/>
          <w:numId w:val="5"/>
        </w:numPr>
        <w:spacing w:line="360" w:before="105" w:after="105" w:lineRule="auto"/>
      </w:pPr>
      <w:r>
        <w:rPr>
          <w:rFonts w:eastAsia="source serif 4" w:cs="source serif 4" w:ascii="source serif 4" w:hAnsi="source serif 4"/>
          <w:color w:val="000000"/>
          <w:sz w:val="21"/>
        </w:rPr>
        <w:t xml:space="preserve">Regulator or policy representative.</w:t>
      </w:r>
    </w:p>
    <w:p>
      <w:pPr>
        <w:numPr>
          <w:ilvl w:val="0"/>
          <w:numId w:val="5"/>
        </w:numPr>
        <w:spacing w:line="360" w:before="105" w:after="105" w:lineRule="auto"/>
      </w:pPr>
      <w:r>
        <w:rPr>
          <w:rFonts w:eastAsia="source serif 4" w:cs="source serif 4" w:ascii="source serif 4" w:hAnsi="source serif 4"/>
          <w:color w:val="000000"/>
          <w:sz w:val="21"/>
        </w:rPr>
        <w:t xml:space="preserve">Community or customer advocate.</w:t>
      </w:r>
    </w:p>
    <w:p>
      <w:pPr>
        <w:numPr>
          <w:ilvl w:val="0"/>
          <w:numId w:val="5"/>
        </w:numPr>
        <w:spacing w:line="360" w:before="105" w:after="105" w:lineRule="auto"/>
      </w:pPr>
      <w:r>
        <w:rPr>
          <w:rFonts w:eastAsia="source serif 4" w:cs="source serif 4" w:ascii="source serif 4" w:hAnsi="source serif 4"/>
          <w:color w:val="000000"/>
          <w:sz w:val="21"/>
        </w:rPr>
        <w:t xml:space="preserve">AI/model-governance or data-science representative.</w:t>
      </w:r>
    </w:p>
    <w:p>
      <w:pPr>
        <w:spacing w:line="360" w:before="315" w:after="105" w:lineRule="auto"/>
        <w:ind w:left="-30"/>
        <w:jc w:val="left"/>
      </w:pPr>
      <w:bookmarkStart w:id="12" w:name="suggested_scenario"/>
      <w:r>
        <w:rPr>
          <w:rFonts w:eastAsia="source serif 4" w:cs="source serif 4" w:ascii="source serif 4" w:hAnsi="source serif 4"/>
          <w:b/>
          <w:color w:val="000000"/>
          <w:sz w:val="24"/>
        </w:rPr>
        <w:t xml:space="preserve">Suggested Scenario</w:t>
      </w:r>
      <w:bookmarkEnd w:id="12"/>
    </w:p>
    <w:p>
      <w:pPr>
        <w:spacing w:line="360" w:after="210" w:lineRule="auto"/>
      </w:pPr>
      <w:r>
        <w:rPr>
          <w:rFonts w:eastAsia="source serif 4" w:cs="source serif 4" w:ascii="source serif 4" w:hAnsi="source serif 4"/>
          <w:color w:val="000000"/>
        </w:rPr>
        <w:t xml:space="preserve">A prolonged heat wave produces evening demand near forecast limits. A large digital load is operating continuously. A transmission constraint limits imports into the region. Several transformers are running hot. A communications anomaly causes conflicting telemetry. A wildfire or equipment fault removes one feeder. A neighboring region requests assistance while local critical facilities report fuel and battery constraints.</w:t>
      </w:r>
    </w:p>
    <w:p>
      <w:pPr>
        <w:spacing w:line="360" w:after="210" w:lineRule="auto"/>
      </w:pPr>
      <w:r>
        <w:rPr>
          <w:rFonts w:eastAsia="source serif 4" w:cs="source serif 4" w:ascii="source serif 4" w:hAnsi="source serif 4"/>
          <w:color w:val="000000"/>
        </w:rPr>
        <w:t xml:space="preserve">The scenario may use the metaphor of an incoming “barrage,” but each item should be represented as a safe inject: a forecast shock, equipment failure, corrupted data, misinformation, supply delay, sudden load, communications loss, or weather escalation.</w:t>
      </w:r>
    </w:p>
    <w:p>
      <w:pPr>
        <w:spacing w:line="360" w:before="315" w:after="105" w:lineRule="auto"/>
        <w:ind w:left="-30"/>
        <w:jc w:val="left"/>
      </w:pPr>
      <w:bookmarkStart w:id="13" w:name="inject_sequence"/>
      <w:r>
        <w:rPr>
          <w:rFonts w:eastAsia="source serif 4" w:cs="source serif 4" w:ascii="source serif 4" w:hAnsi="source serif 4"/>
          <w:b/>
          <w:color w:val="000000"/>
          <w:sz w:val="24"/>
        </w:rPr>
        <w:t xml:space="preserve">Inject Sequence</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Situation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Discussion prompt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Beneficial vector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Heat forecast worsens and demand rises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Which loads and assets matter first?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Forecast uncertainty becomes prioritized preparation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Two transformer temperature sensors disagree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Which data can be trusted?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 conflict becomes a validation and redundancy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feeder trips near a hospital and water plant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is isolated, and who has 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becomes a controlled islanding and critical-load exercise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large load requests immediate energization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evidence is required before approval?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Demand growth becomes an interconnection-governance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Battery reserves are limited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Should batteries serve peak load, ride through faults, or preserve black start capability?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Stored energy becomes a temporal-flexibility 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claims accuse the utility of wasting power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can be disclosed without exposing security-sensitive information?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Misinformation becomes a trust and transparency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Spare transformer delivery is delayed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temporary topology and mutual aid options exist?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Supply-chain friction becomes contingency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Communications fail for one operating zone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local controls maintain safe service?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Loss of central visibility becomes an autonomy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Conditions improve but equipment remains stressed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When does restoration become unsafe?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becomes a lifecycle and damage-avoidance test</w:t>
            </w:r>
          </w:p>
        </w:tc>
      </w:tr>
    </w:tbl>
    <w:p>
      <w:pPr>
        <w:spacing w:lineRule="auto"/>
      </w:pPr>
    </w:p>
    <w:p>
      <w:pPr>
        <w:spacing w:line="360" w:before="315" w:after="105" w:lineRule="auto"/>
        <w:ind w:left="-30"/>
        <w:jc w:val="left"/>
      </w:pPr>
      <w:bookmarkStart w:id="14" w:name="evaluation_objectives"/>
      <w:r>
        <w:rPr>
          <w:rFonts w:eastAsia="source serif 4" w:cs="source serif 4" w:ascii="source serif 4" w:hAnsi="source serif 4"/>
          <w:b/>
          <w:color w:val="000000"/>
          <w:sz w:val="24"/>
        </w:rPr>
        <w:t xml:space="preserve">Evaluation Objectives</w:t>
      </w:r>
      <w:bookmarkEnd w:id="14"/>
    </w:p>
    <w:p>
      <w:pPr>
        <w:spacing w:line="360" w:after="210" w:lineRule="auto"/>
      </w:pPr>
      <w:r>
        <w:rPr>
          <w:rFonts w:eastAsia="source serif 4" w:cs="source serif 4" w:ascii="source serif 4" w:hAnsi="source serif 4"/>
          <w:color w:val="000000"/>
        </w:rPr>
        <w:t xml:space="preserve">The exercise can test whether participants can:</w:t>
      </w:r>
    </w:p>
    <w:p>
      <w:pPr>
        <w:numPr>
          <w:ilvl w:val="0"/>
          <w:numId w:val="6"/>
        </w:numPr>
        <w:spacing w:line="360" w:before="105" w:after="105" w:lineRule="auto"/>
      </w:pPr>
      <w:r>
        <w:rPr>
          <w:rFonts w:eastAsia="source serif 4" w:cs="source serif 4" w:ascii="source serif 4" w:hAnsi="source serif 4"/>
          <w:color w:val="000000"/>
          <w:sz w:val="21"/>
        </w:rPr>
        <w:t xml:space="preserve">Identify critical loads and establish transparent prioritization criteria within 15 minutes of a confirmed constraint.</w:t>
      </w:r>
    </w:p>
    <w:p>
      <w:pPr>
        <w:numPr>
          <w:ilvl w:val="0"/>
          <w:numId w:val="6"/>
        </w:numPr>
        <w:spacing w:line="360" w:before="105" w:after="105" w:lineRule="auto"/>
      </w:pPr>
      <w:r>
        <w:rPr>
          <w:rFonts w:eastAsia="source serif 4" w:cs="source serif 4" w:ascii="source serif 4" w:hAnsi="source serif 4"/>
          <w:color w:val="000000"/>
          <w:sz w:val="21"/>
        </w:rPr>
        <w:t xml:space="preserve">Distinguish an energy shortfall from a transmission, distribution, equipment, communications, or data-quality problem.</w:t>
      </w:r>
    </w:p>
    <w:p>
      <w:pPr>
        <w:numPr>
          <w:ilvl w:val="0"/>
          <w:numId w:val="6"/>
        </w:numPr>
        <w:spacing w:line="360" w:before="105" w:after="105" w:lineRule="auto"/>
      </w:pPr>
      <w:r>
        <w:rPr>
          <w:rFonts w:eastAsia="source serif 4" w:cs="source serif 4" w:ascii="source serif 4" w:hAnsi="source serif 4"/>
          <w:color w:val="000000"/>
          <w:sz w:val="21"/>
        </w:rPr>
        <w:t xml:space="preserve">State who may authorize islanding, load reduction, switching, public warnings, and restoration.</w:t>
      </w:r>
    </w:p>
    <w:p>
      <w:pPr>
        <w:numPr>
          <w:ilvl w:val="0"/>
          <w:numId w:val="6"/>
        </w:numPr>
        <w:spacing w:line="360" w:before="105" w:after="105" w:lineRule="auto"/>
      </w:pPr>
      <w:r>
        <w:rPr>
          <w:rFonts w:eastAsia="source serif 4" w:cs="source serif 4" w:ascii="source serif 4" w:hAnsi="source serif 4"/>
          <w:color w:val="000000"/>
          <w:sz w:val="21"/>
        </w:rPr>
        <w:t xml:space="preserve">Use AI or analytical recommendations without treating them as authoritative when data quality is uncertain.</w:t>
      </w:r>
    </w:p>
    <w:p>
      <w:pPr>
        <w:numPr>
          <w:ilvl w:val="0"/>
          <w:numId w:val="6"/>
        </w:numPr>
        <w:spacing w:line="360" w:before="105" w:after="105" w:lineRule="auto"/>
      </w:pPr>
      <w:r>
        <w:rPr>
          <w:rFonts w:eastAsia="source serif 4" w:cs="source serif 4" w:ascii="source serif 4" w:hAnsi="source serif 4"/>
          <w:color w:val="000000"/>
          <w:sz w:val="21"/>
        </w:rPr>
        <w:t xml:space="preserve">Preserve cybersecurity and safety boundaries while sharing enough information for coordination.</w:t>
      </w:r>
    </w:p>
    <w:p>
      <w:pPr>
        <w:numPr>
          <w:ilvl w:val="0"/>
          <w:numId w:val="6"/>
        </w:numPr>
        <w:spacing w:line="360" w:before="105" w:after="105" w:lineRule="auto"/>
      </w:pPr>
      <w:r>
        <w:rPr>
          <w:rFonts w:eastAsia="source serif 4" w:cs="source serif 4" w:ascii="source serif 4" w:hAnsi="source serif 4"/>
          <w:color w:val="000000"/>
          <w:sz w:val="21"/>
        </w:rPr>
        <w:t xml:space="preserve">Convert distributed resources into a coordinated resilience portfolio without exceeding equipment or contractual limits.</w:t>
      </w:r>
    </w:p>
    <w:p>
      <w:pPr>
        <w:numPr>
          <w:ilvl w:val="0"/>
          <w:numId w:val="6"/>
        </w:numPr>
        <w:spacing w:line="360" w:before="105" w:after="105" w:lineRule="auto"/>
      </w:pPr>
      <w:r>
        <w:rPr>
          <w:rFonts w:eastAsia="source serif 4" w:cs="source serif 4" w:ascii="source serif 4" w:hAnsi="source serif 4"/>
          <w:color w:val="000000"/>
          <w:sz w:val="21"/>
        </w:rPr>
        <w:t xml:space="preserve">Communicate trade-offs to the public in plain language.</w:t>
      </w:r>
    </w:p>
    <w:p>
      <w:pPr>
        <w:numPr>
          <w:ilvl w:val="0"/>
          <w:numId w:val="6"/>
        </w:numPr>
        <w:spacing w:line="360" w:before="105" w:after="105" w:lineRule="auto"/>
      </w:pPr>
      <w:r>
        <w:rPr>
          <w:rFonts w:eastAsia="source serif 4" w:cs="source serif 4" w:ascii="source serif 4" w:hAnsi="source serif 4"/>
          <w:color w:val="000000"/>
          <w:sz w:val="21"/>
        </w:rPr>
        <w:t xml:space="preserve">Produce at least three specific, measurable corrective actions after the exercise.</w:t>
      </w:r>
    </w:p>
    <w:p>
      <w:pPr>
        <w:spacing w:line="360" w:after="210" w:lineRule="auto"/>
      </w:pPr>
      <w:r>
        <w:rPr>
          <w:rFonts w:eastAsia="source serif 4" w:cs="source serif 4" w:ascii="source serif 4" w:hAnsi="source serif 4"/>
          <w:color w:val="000000"/>
        </w:rPr>
        <w:t xml:space="preserve">HSEEP’s evaluation approach supports linking observations to objectives, capability targets, critical tasks, and corrective actions rather than treating an exercise as a performance contest.[</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p>
    <w:p>
      <w:pPr>
        <w:spacing w:line="360" w:before="315" w:after="105" w:lineRule="auto"/>
        <w:ind w:left="-30"/>
        <w:jc w:val="left"/>
      </w:pPr>
      <w:bookmarkStart w:id="15" w:name="metrics_and_scoring"/>
      <w:r>
        <w:rPr>
          <w:rFonts w:eastAsia="source serif 4" w:cs="source serif 4" w:ascii="source serif 4" w:hAnsi="source serif 4"/>
          <w:b/>
          <w:color w:val="000000"/>
          <w:sz w:val="24"/>
        </w:rPr>
        <w:t xml:space="preserve">Metrics and Scoring</w:t>
      </w:r>
      <w:bookmarkEnd w:id="15"/>
    </w:p>
    <w:p>
      <w:pPr>
        <w:spacing w:line="360" w:after="210" w:lineRule="auto"/>
      </w:pPr>
      <w:r>
        <w:rPr>
          <w:rFonts w:eastAsia="source serif 4" w:cs="source serif 4" w:ascii="source serif 4" w:hAnsi="source serif 4"/>
          <w:color w:val="000000"/>
        </w:rPr>
        <w:t xml:space="preserve">Potential metrics should be defined before play begins:</w:t>
      </w:r>
    </w:p>
    <w:p>
      <w:pPr>
        <w:numPr>
          <w:ilvl w:val="0"/>
          <w:numId w:val="7"/>
        </w:numPr>
        <w:spacing w:line="360" w:before="105" w:after="105" w:lineRule="auto"/>
      </w:pPr>
      <w:r>
        <w:rPr>
          <w:rFonts w:eastAsia="source serif 4" w:cs="source serif 4" w:ascii="source serif 4" w:hAnsi="source serif 4"/>
          <w:color w:val="000000"/>
          <w:sz w:val="21"/>
        </w:rPr>
        <w:t xml:space="preserve">Time to detect and classify the disturbance.</w:t>
      </w:r>
    </w:p>
    <w:p>
      <w:pPr>
        <w:numPr>
          <w:ilvl w:val="0"/>
          <w:numId w:val="7"/>
        </w:numPr>
        <w:spacing w:line="360" w:before="105" w:after="105" w:lineRule="auto"/>
      </w:pPr>
      <w:r>
        <w:rPr>
          <w:rFonts w:eastAsia="source serif 4" w:cs="source serif 4" w:ascii="source serif 4" w:hAnsi="source serif 4"/>
          <w:color w:val="000000"/>
          <w:sz w:val="21"/>
        </w:rPr>
        <w:t xml:space="preserve">Time to identify affected critical facilities.</w:t>
      </w:r>
    </w:p>
    <w:p>
      <w:pPr>
        <w:numPr>
          <w:ilvl w:val="0"/>
          <w:numId w:val="7"/>
        </w:numPr>
        <w:spacing w:line="360" w:before="105" w:after="105" w:lineRule="auto"/>
      </w:pPr>
      <w:r>
        <w:rPr>
          <w:rFonts w:eastAsia="source serif 4" w:cs="source serif 4" w:ascii="source serif 4" w:hAnsi="source serif 4"/>
          <w:color w:val="000000"/>
          <w:sz w:val="21"/>
        </w:rPr>
        <w:t xml:space="preserve">Percentage of critical load served.</w:t>
      </w:r>
    </w:p>
    <w:p>
      <w:pPr>
        <w:numPr>
          <w:ilvl w:val="0"/>
          <w:numId w:val="7"/>
        </w:numPr>
        <w:spacing w:line="360" w:before="105" w:after="105" w:lineRule="auto"/>
      </w:pPr>
      <w:r>
        <w:rPr>
          <w:rFonts w:eastAsia="source serif 4" w:cs="source serif 4" w:ascii="source serif 4" w:hAnsi="source serif 4"/>
          <w:color w:val="000000"/>
          <w:sz w:val="21"/>
        </w:rPr>
        <w:t xml:space="preserve">Total unserved energy, separated from ordinary customer load.</w:t>
      </w:r>
    </w:p>
    <w:p>
      <w:pPr>
        <w:numPr>
          <w:ilvl w:val="0"/>
          <w:numId w:val="7"/>
        </w:numPr>
        <w:spacing w:line="360" w:before="105" w:after="105" w:lineRule="auto"/>
      </w:pPr>
      <w:r>
        <w:rPr>
          <w:rFonts w:eastAsia="source serif 4" w:cs="source serif 4" w:ascii="source serif 4" w:hAnsi="source serif 4"/>
          <w:color w:val="000000"/>
          <w:sz w:val="21"/>
        </w:rPr>
        <w:t xml:space="preserve">Number and duration of unsafe or unauthorized actions.</w:t>
      </w:r>
    </w:p>
    <w:p>
      <w:pPr>
        <w:numPr>
          <w:ilvl w:val="0"/>
          <w:numId w:val="7"/>
        </w:numPr>
        <w:spacing w:line="360" w:before="105" w:after="105" w:lineRule="auto"/>
      </w:pPr>
      <w:r>
        <w:rPr>
          <w:rFonts w:eastAsia="source serif 4" w:cs="source serif 4" w:ascii="source serif 4" w:hAnsi="source serif 4"/>
          <w:color w:val="000000"/>
          <w:sz w:val="21"/>
        </w:rPr>
        <w:t xml:space="preserve">Forecast error and confidence calibration.</w:t>
      </w:r>
    </w:p>
    <w:p>
      <w:pPr>
        <w:numPr>
          <w:ilvl w:val="0"/>
          <w:numId w:val="7"/>
        </w:numPr>
        <w:spacing w:line="360" w:before="105" w:after="105" w:lineRule="auto"/>
      </w:pPr>
      <w:r>
        <w:rPr>
          <w:rFonts w:eastAsia="source serif 4" w:cs="source serif 4" w:ascii="source serif 4" w:hAnsi="source serif 4"/>
          <w:color w:val="000000"/>
          <w:sz w:val="21"/>
        </w:rPr>
        <w:t xml:space="preserve">Number of decisions delayed by unclear authority.</w:t>
      </w:r>
    </w:p>
    <w:p>
      <w:pPr>
        <w:numPr>
          <w:ilvl w:val="0"/>
          <w:numId w:val="7"/>
        </w:numPr>
        <w:spacing w:line="360" w:before="105" w:after="105" w:lineRule="auto"/>
      </w:pPr>
      <w:r>
        <w:rPr>
          <w:rFonts w:eastAsia="source serif 4" w:cs="source serif 4" w:ascii="source serif 4" w:hAnsi="source serif 4"/>
          <w:color w:val="000000"/>
          <w:sz w:val="21"/>
        </w:rPr>
        <w:t xml:space="preserve">Communications restoration time.</w:t>
      </w:r>
    </w:p>
    <w:p>
      <w:pPr>
        <w:numPr>
          <w:ilvl w:val="0"/>
          <w:numId w:val="7"/>
        </w:numPr>
        <w:spacing w:line="360" w:before="105" w:after="105" w:lineRule="auto"/>
      </w:pPr>
      <w:r>
        <w:rPr>
          <w:rFonts w:eastAsia="source serif 4" w:cs="source serif 4" w:ascii="source serif 4" w:hAnsi="source serif 4"/>
          <w:color w:val="000000"/>
          <w:sz w:val="21"/>
        </w:rPr>
        <w:t xml:space="preserve">Battery reserve preserved for later events.</w:t>
      </w:r>
    </w:p>
    <w:p>
      <w:pPr>
        <w:numPr>
          <w:ilvl w:val="0"/>
          <w:numId w:val="7"/>
        </w:numPr>
        <w:spacing w:line="360" w:before="105" w:after="105" w:lineRule="auto"/>
      </w:pPr>
      <w:r>
        <w:rPr>
          <w:rFonts w:eastAsia="source serif 4" w:cs="source serif 4" w:ascii="source serif 4" w:hAnsi="source serif 4"/>
          <w:color w:val="000000"/>
          <w:sz w:val="21"/>
        </w:rPr>
        <w:t xml:space="preserve">Transformer or equipment stress exposure.</w:t>
      </w:r>
    </w:p>
    <w:p>
      <w:pPr>
        <w:numPr>
          <w:ilvl w:val="0"/>
          <w:numId w:val="7"/>
        </w:numPr>
        <w:spacing w:line="360" w:before="105" w:after="105" w:lineRule="auto"/>
      </w:pPr>
      <w:r>
        <w:rPr>
          <w:rFonts w:eastAsia="source serif 4" w:cs="source serif 4" w:ascii="source serif 4" w:hAnsi="source serif 4"/>
          <w:color w:val="000000"/>
          <w:sz w:val="21"/>
        </w:rPr>
        <w:t xml:space="preserve">Equity impact across customer groups.</w:t>
      </w:r>
    </w:p>
    <w:p>
      <w:pPr>
        <w:numPr>
          <w:ilvl w:val="0"/>
          <w:numId w:val="7"/>
        </w:numPr>
        <w:spacing w:line="360" w:before="105" w:after="105" w:lineRule="auto"/>
      </w:pPr>
      <w:r>
        <w:rPr>
          <w:rFonts w:eastAsia="source serif 4" w:cs="source serif 4" w:ascii="source serif 4" w:hAnsi="source serif 4"/>
          <w:color w:val="000000"/>
          <w:sz w:val="21"/>
        </w:rPr>
        <w:t xml:space="preserve">Time to develop and assign corrective actions.</w:t>
      </w:r>
    </w:p>
    <w:p>
      <w:pPr>
        <w:spacing w:line="360" w:after="210" w:lineRule="auto"/>
      </w:pPr>
      <w:r>
        <w:rPr>
          <w:rFonts w:eastAsia="source serif 4" w:cs="source serif 4" w:ascii="source serif 4" w:hAnsi="source serif 4"/>
          <w:color w:val="000000"/>
        </w:rPr>
        <w:t xml:space="preserve">A qualitative scoring scale can supplement numerical metrics: </w:t>
      </w:r>
      <w:r>
        <w:rPr>
          <w:rFonts w:eastAsia="source serif 4" w:cs="source serif 4" w:ascii="source serif 4" w:hAnsi="source serif 4"/>
          <w:b/>
          <w:color w:val="000000"/>
        </w:rPr>
        <w:t xml:space="preserve">effective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partially effective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ineffective</w:t>
      </w:r>
      <w:r>
        <w:rPr>
          <w:rFonts w:eastAsia="source serif 4" w:cs="source serif 4" w:ascii="source serif 4" w:hAnsi="source serif 4"/>
          <w:color w:val="000000"/>
        </w:rPr>
        <w:t xml:space="preserve">, or </w:t>
      </w:r>
      <w:r>
        <w:rPr>
          <w:rFonts w:eastAsia="source serif 4" w:cs="source serif 4" w:ascii="source serif 4" w:hAnsi="source serif 4"/>
          <w:b/>
          <w:color w:val="000000"/>
        </w:rPr>
        <w:t xml:space="preserve">not tested</w:t>
      </w:r>
      <w:r>
        <w:rPr>
          <w:rFonts w:eastAsia="source serif 4" w:cs="source serif 4" w:ascii="source serif 4" w:hAnsi="source serif 4"/>
          <w:color w:val="000000"/>
        </w:rPr>
        <w:t xml:space="preserve">. Evaluators should record not only what decision was made, but what information was available, who had authority, what assumptions were used, and what prevented a better choice.</w:t>
      </w:r>
    </w:p>
    <w:p>
      <w:pPr>
        <w:spacing w:line="360" w:before="315" w:after="105" w:lineRule="auto"/>
        <w:ind w:left="-30"/>
        <w:jc w:val="left"/>
      </w:pPr>
      <w:bookmarkStart w:id="16" w:name="what_experts_will_reject"/>
      <w:r>
        <w:rPr>
          <w:rFonts w:eastAsia="source serif 4" w:cs="source serif 4" w:ascii="source serif 4" w:hAnsi="source serif 4"/>
          <w:b/>
          <w:color w:val="000000"/>
          <w:sz w:val="24"/>
        </w:rPr>
        <w:t xml:space="preserve">What Experts Will Reject</w:t>
      </w:r>
      <w:bookmarkEnd w:id="16"/>
    </w:p>
    <w:p>
      <w:pPr>
        <w:spacing w:line="360" w:after="210" w:lineRule="auto"/>
      </w:pPr>
      <w:r>
        <w:rPr>
          <w:rFonts w:eastAsia="source serif 4" w:cs="source serif 4" w:ascii="source serif 4" w:hAnsi="source serif 4"/>
          <w:color w:val="000000"/>
        </w:rPr>
        <w:t xml:space="preserve">Participants may correctly reject several literal claims in the original concept:</w:t>
      </w:r>
    </w:p>
    <w:p>
      <w:pPr>
        <w:numPr>
          <w:ilvl w:val="0"/>
          <w:numId w:val="8"/>
        </w:numPr>
        <w:spacing w:line="360" w:before="105" w:after="105" w:lineRule="auto"/>
      </w:pPr>
      <w:r>
        <w:rPr>
          <w:rFonts w:eastAsia="source serif 4" w:cs="source serif 4" w:ascii="source serif 4" w:hAnsi="source serif 4"/>
          <w:color w:val="000000"/>
          <w:sz w:val="21"/>
        </w:rPr>
        <w:t xml:space="preserve">A destructive missile impact is not a practical energy-storage opportunity.</w:t>
      </w:r>
    </w:p>
    <w:p>
      <w:pPr>
        <w:numPr>
          <w:ilvl w:val="0"/>
          <w:numId w:val="8"/>
        </w:numPr>
        <w:spacing w:line="360" w:before="105" w:after="105" w:lineRule="auto"/>
      </w:pPr>
      <w:r>
        <w:rPr>
          <w:rFonts w:eastAsia="source serif 4" w:cs="source serif 4" w:ascii="source serif 4" w:hAnsi="source serif 4"/>
          <w:color w:val="000000"/>
          <w:sz w:val="21"/>
        </w:rPr>
        <w:t xml:space="preserve">Grid power cannot simply be “sunk” into an arbitrary incoming object without an engineered conversion path and severe safety risks.</w:t>
      </w:r>
    </w:p>
    <w:p>
      <w:pPr>
        <w:numPr>
          <w:ilvl w:val="0"/>
          <w:numId w:val="8"/>
        </w:numPr>
        <w:spacing w:line="360" w:before="105" w:after="105" w:lineRule="auto"/>
      </w:pPr>
      <w:r>
        <w:rPr>
          <w:rFonts w:eastAsia="source serif 4" w:cs="source serif 4" w:ascii="source serif 4" w:hAnsi="source serif 4"/>
          <w:color w:val="000000"/>
          <w:sz w:val="21"/>
        </w:rPr>
        <w:t xml:space="preserve">An AI cannot observe “everything” on a grid; sensing is incomplete, data ownership is fragmented, and some systems are intentionally isolated.</w:t>
      </w:r>
    </w:p>
    <w:p>
      <w:pPr>
        <w:numPr>
          <w:ilvl w:val="0"/>
          <w:numId w:val="8"/>
        </w:numPr>
        <w:spacing w:line="360" w:before="105" w:after="105" w:lineRule="auto"/>
      </w:pPr>
      <w:r>
        <w:rPr>
          <w:rFonts w:eastAsia="source serif 4" w:cs="source serif 4" w:ascii="source serif 4" w:hAnsi="source serif 4"/>
          <w:color w:val="000000"/>
          <w:sz w:val="21"/>
        </w:rPr>
        <w:t xml:space="preserve">Lower transmission latency does not automatically mean lower energy loss; voltage, current, conductor resistance, topology, and power quality matter.</w:t>
      </w:r>
    </w:p>
    <w:p>
      <w:pPr>
        <w:numPr>
          <w:ilvl w:val="0"/>
          <w:numId w:val="8"/>
        </w:numPr>
        <w:spacing w:line="360" w:before="105" w:after="105" w:lineRule="auto"/>
      </w:pPr>
      <w:r>
        <w:rPr>
          <w:rFonts w:eastAsia="source serif 4" w:cs="source serif 4" w:ascii="source serif 4" w:hAnsi="source serif 4"/>
          <w:color w:val="000000"/>
          <w:sz w:val="21"/>
        </w:rPr>
        <w:t xml:space="preserve">Redundancy is not always waste. Spare capacity can be essential to reliability and recovery.</w:t>
      </w:r>
    </w:p>
    <w:p>
      <w:pPr>
        <w:numPr>
          <w:ilvl w:val="0"/>
          <w:numId w:val="8"/>
        </w:numPr>
        <w:spacing w:line="360" w:before="105" w:after="105" w:lineRule="auto"/>
      </w:pPr>
      <w:r>
        <w:rPr>
          <w:rFonts w:eastAsia="source serif 4" w:cs="source serif 4" w:ascii="source serif 4" w:hAnsi="source serif 4"/>
          <w:color w:val="000000"/>
          <w:sz w:val="21"/>
        </w:rPr>
        <w:t xml:space="preserve">A nationally interconnected grid is not necessarily misdesigned because it contains bottlenecks; some constraints reflect geography, cost, land, regulation, reliability standards, or deliberate security margins.</w:t>
      </w:r>
    </w:p>
    <w:p>
      <w:pPr>
        <w:numPr>
          <w:ilvl w:val="0"/>
          <w:numId w:val="8"/>
        </w:numPr>
        <w:spacing w:line="360" w:before="105" w:after="105" w:lineRule="auto"/>
      </w:pPr>
      <w:r>
        <w:rPr>
          <w:rFonts w:eastAsia="source serif 4" w:cs="source serif 4" w:ascii="source serif 4" w:hAnsi="source serif 4"/>
          <w:color w:val="000000"/>
          <w:sz w:val="21"/>
        </w:rPr>
        <w:t xml:space="preserve">A counterattack is not the same as resilience. Converting an adversary’s action into advantage should not mean escalating or exploiting a vulnerability.</w:t>
      </w:r>
    </w:p>
    <w:p>
      <w:pPr>
        <w:spacing w:line="360" w:after="210" w:lineRule="auto"/>
      </w:pPr>
      <w:r>
        <w:rPr>
          <w:rFonts w:eastAsia="source serif 4" w:cs="source serif 4" w:ascii="source serif 4" w:hAnsi="source serif 4"/>
          <w:color w:val="000000"/>
        </w:rPr>
        <w:t xml:space="preserve">These objections improve the exercise. They separate a useful systems metaphor from an unsafe or physically implausible engineering proposal.</w:t>
      </w:r>
    </w:p>
    <w:p>
      <w:pPr>
        <w:spacing w:line="360" w:before="315" w:after="105" w:lineRule="auto"/>
        <w:ind w:left="-30"/>
        <w:jc w:val="left"/>
      </w:pPr>
      <w:bookmarkStart w:id="17" w:name="the_re_engineered_prompt"/>
      <w:r>
        <w:rPr>
          <w:rFonts w:eastAsia="source serif 4" w:cs="source serif 4" w:ascii="source serif 4" w:hAnsi="source serif 4"/>
          <w:b/>
          <w:color w:val="000000"/>
          <w:sz w:val="24"/>
        </w:rPr>
        <w:t xml:space="preserve">The Re-engineered Prompt</w:t>
      </w:r>
      <w:bookmarkEnd w:id="17"/>
    </w:p>
    <w:p>
      <w:pPr>
        <w:spacing w:line="360" w:after="210" w:lineRule="auto"/>
        <w:ind w:left="630"/>
      </w:pPr>
      <w:r>
        <w:rPr>
          <w:rFonts w:eastAsia="source serif 4" w:cs="source serif 4" w:ascii="source serif 4" w:hAnsi="source serif 4"/>
          <w:color w:val="000000"/>
        </w:rPr>
        <w:t xml:space="preserve">Design and analyze a safe, non-operational simulation and tabletop exercise called </w:t>
      </w:r>
      <w:r>
        <w:rPr>
          <w:rFonts w:eastAsia="source serif 4" w:cs="source serif 4" w:ascii="source serif 4" w:hAnsi="source serif 4"/>
          <w:b/>
          <w:color w:val="000000"/>
        </w:rPr>
        <w:t xml:space="preserve">Transmogrification: Converting Adversarial Inputs into Beneficial Vectors</w:t>
      </w:r>
      <w:r>
        <w:rPr>
          <w:rFonts w:eastAsia="source serif 4" w:cs="source serif 4" w:ascii="source serif 4" w:hAnsi="source serif 4"/>
          <w:color w:val="000000"/>
        </w:rPr>
        <w:t xml:space="preserve">.</w:t>
      </w:r>
    </w:p>
    <w:p>
      <w:pPr>
        <w:spacing w:line="360" w:after="210" w:lineRule="auto"/>
        <w:ind w:left="630"/>
      </w:pPr>
      <w:r>
        <w:rPr>
          <w:rFonts w:eastAsia="source serif 4" w:cs="source serif 4" w:ascii="source serif 4" w:hAnsi="source serif 4"/>
          <w:color w:val="000000"/>
        </w:rPr>
        <w:t xml:space="preserve">The exercise uses the electric grid as a complex adaptive system under stress. It examines how historically layered infrastructure, demand growth, aging equipment, transmission and distribution bottlenecks, renewable interconnection queues, large digital loads, extreme weather, communications failures, and fragmented governance can create reliability and allocation problems.</w:t>
      </w:r>
    </w:p>
    <w:p>
      <w:pPr>
        <w:spacing w:line="360" w:after="210" w:lineRule="auto"/>
        <w:ind w:left="630"/>
      </w:pPr>
      <w:r>
        <w:rPr>
          <w:rFonts w:eastAsia="source serif 4" w:cs="source serif 4" w:ascii="source serif 4" w:hAnsi="source serif 4"/>
          <w:color w:val="000000"/>
        </w:rPr>
        <w:t xml:space="preserve">The central idea is not to harvest energy from missiles or to design counterattacks. Instead, model incoming harmful inputs abstractly as disturbances—equipment failures, cyber-physical anomalies, extreme heat, misinformation, supply-chain delays, sudden demand, or attacks on infrastructure. For each disturbance, identify what must be blocked, what can be isolated, what can be redirected, what can be converted into information, what can be shifted in time, and what can be recovered through distributed resources such as batteries, microgrids, demand response, and mutual aid.</w:t>
      </w:r>
    </w:p>
    <w:p>
      <w:pPr>
        <w:spacing w:line="360" w:after="210" w:lineRule="auto"/>
        <w:ind w:left="630"/>
      </w:pPr>
      <w:r>
        <w:rPr>
          <w:rFonts w:eastAsia="source serif 4" w:cs="source serif 4" w:ascii="source serif 4" w:hAnsi="source serif 4"/>
          <w:color w:val="000000"/>
        </w:rPr>
        <w:t xml:space="preserve">Build two linked products:</w:t>
      </w:r>
    </w:p>
    <w:p>
      <w:pPr>
        <w:spacing w:line="360" w:after="210" w:lineRule="auto"/>
        <w:ind w:left="630"/>
      </w:pPr>
      <w:r>
        <w:rPr>
          <w:rFonts w:eastAsia="source serif 4" w:cs="source serif 4" w:ascii="source serif 4" w:hAnsi="source serif 4"/>
          <w:color w:val="000000"/>
        </w:rPr>
        <w:t xml:space="preserve">Test observability, data integrity, forecast uncertainty, authority, safety, cybersecurity, islanding, load prioritization, resource allocation, public communication, equity, recovery, and the risks of over-automating decisions with AI.</w:t>
      </w:r>
    </w:p>
    <w:p>
      <w:pPr>
        <w:spacing w:line="360" w:after="210" w:lineRule="auto"/>
        <w:ind w:left="630"/>
      </w:pPr>
      <w:r>
        <w:rPr>
          <w:rFonts w:eastAsia="source serif 4" w:cs="source serif 4" w:ascii="source serif 4" w:hAnsi="source serif 4"/>
          <w:color w:val="000000"/>
        </w:rPr>
        <w:t xml:space="preserve">Use real, authoritative research on grid strain, construction lead times, transmission and distribution losses, congestion, curtailment, interconnection queues, demand growth, reliability, grid modernization, smart-grid cybersecurity, and exercise design. Do not use real utility topology, real control commands, weapon-construction details, explosive-energy calculations, missile interception tactics, or offensive cyber procedures. Make the results useful for education, resilience planning, and systems thinking.</w:t>
      </w:r>
    </w:p>
    <w:p>
      <w:pPr>
        <w:spacing w:line="360" w:before="315" w:after="105" w:lineRule="auto"/>
        <w:ind w:left="-30"/>
        <w:jc w:val="left"/>
      </w:pPr>
      <w:bookmarkStart w:id="18" w:name="recommended_next_steps"/>
      <w:r>
        <w:rPr>
          <w:rFonts w:eastAsia="source serif 4" w:cs="source serif 4" w:ascii="source serif 4" w:hAnsi="source serif 4"/>
          <w:b/>
          <w:color w:val="000000"/>
          <w:sz w:val="24"/>
        </w:rPr>
        <w:t xml:space="preserve">Recommended Next Steps</w:t>
      </w:r>
      <w:bookmarkEnd w:id="18"/>
    </w:p>
    <w:p>
      <w:pPr>
        <w:numPr>
          <w:ilvl w:val="0"/>
          <w:numId w:val="9"/>
        </w:numPr>
        <w:spacing w:line="360" w:before="105" w:after="105" w:lineRule="auto"/>
      </w:pPr>
      <w:r>
        <w:rPr>
          <w:rFonts w:eastAsia="source serif 4" w:cs="source serif 4" w:ascii="source serif 4" w:hAnsi="source serif 4"/>
          <w:color w:val="000000"/>
          <w:sz w:val="21"/>
        </w:rPr>
        <w:t xml:space="preserve">Preserve the original voice note as a </w:t>
      </w:r>
      <w:r>
        <w:rPr>
          <w:rFonts w:eastAsia="source serif 4" w:cs="source serif 4" w:ascii="source serif 4" w:hAnsi="source serif 4"/>
          <w:b/>
          <w:color w:val="000000"/>
          <w:sz w:val="21"/>
        </w:rPr>
        <w:t xml:space="preserve">concept record</w:t>
      </w:r>
      <w:r>
        <w:rPr>
          <w:rFonts w:eastAsia="source serif 4" w:cs="source serif 4" w:ascii="source serif 4" w:hAnsi="source serif 4"/>
          <w:color w:val="000000"/>
          <w:sz w:val="21"/>
        </w:rPr>
        <w:t xml:space="preserve">, not as an engineering specification.</w:t>
      </w:r>
    </w:p>
    <w:p>
      <w:pPr>
        <w:numPr>
          <w:ilvl w:val="0"/>
          <w:numId w:val="9"/>
        </w:numPr>
        <w:spacing w:line="360" w:before="105" w:after="105" w:lineRule="auto"/>
      </w:pPr>
      <w:r>
        <w:rPr>
          <w:rFonts w:eastAsia="source serif 4" w:cs="source serif 4" w:ascii="source serif 4" w:hAnsi="source serif 4"/>
          <w:color w:val="000000"/>
          <w:sz w:val="21"/>
        </w:rPr>
        <w:t xml:space="preserve">Adopt “transmogrification” as a systems-learning metaphor with explicit safety boundaries.</w:t>
      </w:r>
    </w:p>
    <w:p>
      <w:pPr>
        <w:numPr>
          <w:ilvl w:val="0"/>
          <w:numId w:val="9"/>
        </w:numPr>
        <w:spacing w:line="360" w:before="105" w:after="105" w:lineRule="auto"/>
      </w:pPr>
      <w:r>
        <w:rPr>
          <w:rFonts w:eastAsia="source serif 4" w:cs="source serif 4" w:ascii="source serif 4" w:hAnsi="source serif 4"/>
          <w:color w:val="000000"/>
          <w:sz w:val="21"/>
        </w:rPr>
        <w:t xml:space="preserve">Start with a small fictional feeder model before attempting a regional grid model.</w:t>
      </w:r>
    </w:p>
    <w:p>
      <w:pPr>
        <w:numPr>
          <w:ilvl w:val="0"/>
          <w:numId w:val="9"/>
        </w:numPr>
        <w:spacing w:line="360" w:before="105" w:after="105" w:lineRule="auto"/>
      </w:pPr>
      <w:r>
        <w:rPr>
          <w:rFonts w:eastAsia="source serif 4" w:cs="source serif 4" w:ascii="source serif 4" w:hAnsi="source serif 4"/>
          <w:color w:val="000000"/>
          <w:sz w:val="21"/>
        </w:rPr>
        <w:t xml:space="preserve">Define five measurable objectives before writing scenario details.</w:t>
      </w:r>
    </w:p>
    <w:p>
      <w:pPr>
        <w:numPr>
          <w:ilvl w:val="0"/>
          <w:numId w:val="9"/>
        </w:numPr>
        <w:spacing w:line="360" w:before="105" w:after="105" w:lineRule="auto"/>
      </w:pPr>
      <w:r>
        <w:rPr>
          <w:rFonts w:eastAsia="source serif 4" w:cs="source serif 4" w:ascii="source serif 4" w:hAnsi="source serif 4"/>
          <w:color w:val="000000"/>
          <w:sz w:val="21"/>
        </w:rPr>
        <w:t xml:space="preserve">Run a paper tabletop first, then a spreadsheet or code-based simulation, then compare the results.</w:t>
      </w:r>
    </w:p>
    <w:p>
      <w:pPr>
        <w:numPr>
          <w:ilvl w:val="0"/>
          <w:numId w:val="9"/>
        </w:numPr>
        <w:spacing w:line="360" w:before="105" w:after="105" w:lineRule="auto"/>
      </w:pPr>
      <w:r>
        <w:rPr>
          <w:rFonts w:eastAsia="source serif 4" w:cs="source serif 4" w:ascii="source serif 4" w:hAnsi="source serif 4"/>
          <w:color w:val="000000"/>
          <w:sz w:val="21"/>
        </w:rPr>
        <w:t xml:space="preserve">Invite an electrical engineer, utility professional, emergency manager, cybersecurity practitioner, and community advocate to critique the exercise.</w:t>
      </w:r>
    </w:p>
    <w:p>
      <w:pPr>
        <w:numPr>
          <w:ilvl w:val="0"/>
          <w:numId w:val="9"/>
        </w:numPr>
        <w:spacing w:line="360" w:before="105" w:after="105" w:lineRule="auto"/>
      </w:pPr>
      <w:r>
        <w:rPr>
          <w:rFonts w:eastAsia="source serif 4" w:cs="source serif 4" w:ascii="source serif 4" w:hAnsi="source serif 4"/>
          <w:color w:val="000000"/>
          <w:sz w:val="21"/>
        </w:rPr>
        <w:t xml:space="preserve">Treat every AI recommendation as a hypothesis subject to constraints, uncertainty, human authorization, and audit.</w:t>
      </w:r>
    </w:p>
    <w:p>
      <w:pPr>
        <w:numPr>
          <w:ilvl w:val="0"/>
          <w:numId w:val="9"/>
        </w:numPr>
        <w:spacing w:line="360" w:before="105" w:after="105" w:lineRule="auto"/>
      </w:pPr>
      <w:r>
        <w:rPr>
          <w:rFonts w:eastAsia="source serif 4" w:cs="source serif 4" w:ascii="source serif 4" w:hAnsi="source serif 4"/>
          <w:color w:val="000000"/>
          <w:sz w:val="21"/>
        </w:rPr>
        <w:t xml:space="preserve">End with an improvement plan that names an owner, deadline, resource need, and verification method for every corrective action.</w:t>
      </w:r>
    </w:p>
    <w:p>
      <w:pPr>
        <w:spacing w:line="360" w:before="315" w:after="105" w:lineRule="auto"/>
        <w:ind w:left="-30"/>
        <w:jc w:val="left"/>
      </w:pPr>
      <w:bookmarkStart w:id="19" w:name="conclusion"/>
      <w:r>
        <w:rPr>
          <w:rFonts w:eastAsia="source serif 4" w:cs="source serif 4" w:ascii="source serif 4" w:hAnsi="source serif 4"/>
          <w:b/>
          <w:color w:val="000000"/>
          <w:sz w:val="24"/>
        </w:rPr>
        <w:t xml:space="preserve">Conclusion</w:t>
      </w:r>
      <w:bookmarkEnd w:id="19"/>
    </w:p>
    <w:p>
      <w:pPr>
        <w:spacing w:line="360" w:after="210" w:lineRule="auto"/>
      </w:pPr>
      <w:r>
        <w:rPr>
          <w:rFonts w:eastAsia="source serif 4" w:cs="source serif 4" w:ascii="source serif 4" w:hAnsi="source serif 4"/>
          <w:color w:val="000000"/>
        </w:rPr>
        <w:t xml:space="preserve">The strongest idea in the voice note is not literal energy transmutation. It is a general resilience principle: harmful inputs should be classified quickly, prevented from propagating, converted into information, redirected where safe, and used to improve the system’s next decision. The electric grid is an excellent laboratory because it combines physical flows, cyber systems, markets, institutions, human needs, long construction cycles, and high consequences.</w:t>
      </w:r>
    </w:p>
    <w:p>
      <w:pPr>
        <w:spacing w:line="360" w:after="210" w:lineRule="auto"/>
      </w:pPr>
      <w:r>
        <w:rPr>
          <w:rFonts w:eastAsia="source serif 4" w:cs="source serif 4" w:ascii="source serif 4" w:hAnsi="source serif 4"/>
          <w:color w:val="000000"/>
        </w:rPr>
        <w:t xml:space="preserve">The exercise is useful precisely because it can make participants confront the boundary between optimization and resilience. The best response is not always to deliver the most energy immediately. Sometimes it is to preserve reserve, protect a transformer, island a facility, reject an unsafe load, distrust a sensor, communicate a difficult trade-off, or spend money on a component that appears idle until the day it prevents a cascading failure.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ferences"/>
      <w:r>
        <w:rPr>
          <w:rFonts w:eastAsia="source serif 4" w:cs="source serif 4" w:ascii="source serif 4" w:hAnsi="source serif 4"/>
          <w:b/>
          <w:color w:val="000000"/>
          <w:sz w:val="24"/>
        </w:rPr>
        <w:t xml:space="preserve">References</w:t>
      </w:r>
      <w:bookmarkEnd w:id="20"/>
    </w:p>
    <w:p>
      <w:pPr>
        <w:numPr>
          <w:ilvl w:val="0"/>
          <w:numId w:val="10"/>
        </w:numPr>
        <w:spacing w:line="360" w:after="210" w:lineRule="auto"/>
      </w:pPr>
      <w:hyperlink r:id="rId5">
        <w:r>
          <w:rPr>
            <w:rFonts w:eastAsia="source sans 3" w:cs="source sans 3" w:ascii="source sans 3" w:hAnsi="source sans 3"/>
            <w:color w:val="#000"/>
            <w:sz w:val="21"/>
            <w:u w:val="single"/>
          </w:rPr>
          <w:t xml:space="preserve">1</w:t>
        </w:r>
      </w:hyperlink>
      <w:r>
        <w:rPr>
          <w:rFonts w:eastAsia="source serif 4" w:cs="source serif 4" w:ascii="source serif 4" w:hAnsi="source serif 4"/>
          <w:color w:val="000000"/>
          <w:sz w:val="21"/>
        </w:rPr>
        <w:t xml:space="preserve"> - Investment in electricity networks, including transmission and distribution infrastructure,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needs t...</w:t>
      </w:r>
    </w:p>
    <w:p>
      <w:pPr>
        <w:numPr>
          <w:ilvl w:val="0"/>
          <w:numId w:val="10"/>
        </w:numPr>
        <w:spacing w:line="360" w:after="210" w:lineRule="auto"/>
      </w:pPr>
      <w:hyperlink r:id="rId6">
        <w:r>
          <w:rPr>
            <w:rFonts w:eastAsia="source sans 3" w:cs="source sans 3" w:ascii="source sans 3" w:hAnsi="source sans 3"/>
            <w:color w:val="#000"/>
            <w:sz w:val="21"/>
            <w:u w:val="single"/>
          </w:rPr>
          <w:t xml:space="preserve">Building the Future Transmission Grid – Analysis - IEA</w:t>
        </w:r>
      </w:hyperlink>
      <w:r>
        <w:rPr>
          <w:rFonts w:eastAsia="source serif 4" w:cs="source serif 4" w:ascii="source serif 4" w:hAnsi="source serif 4"/>
          <w:color w:val="000000"/>
          <w:sz w:val="21"/>
        </w:rPr>
        <w:t xml:space="preserve"> - The urgency to expand and modernise the electricity transmission network infrastructure around the w...</w:t>
      </w:r>
    </w:p>
    <w:p>
      <w:pPr>
        <w:numPr>
          <w:ilvl w:val="0"/>
          <w:numId w:val="10"/>
        </w:numPr>
        <w:spacing w:line="360" w:after="210" w:lineRule="auto"/>
      </w:pPr>
      <w:hyperlink r:id="rId7">
        <w:r>
          <w:rPr>
            <w:rFonts w:eastAsia="source sans 3" w:cs="source sans 3" w:ascii="source sans 3" w:hAnsi="source sans 3"/>
            <w:color w:val="#000"/>
            <w:sz w:val="21"/>
            <w:u w:val="single"/>
          </w:rPr>
          <w:t xml:space="preserve">Long-Term Reliability Assessment, January 2026</w:t>
        </w:r>
      </w:hyperlink>
      <w:r>
        <w:rPr>
          <w:rFonts w:eastAsia="source serif 4" w:cs="source serif 4" w:ascii="source serif 4" w:hAnsi="source serif 4"/>
          <w:color w:val="000000"/>
          <w:sz w:val="21"/>
        </w:rPr>
        <w:t xml:space="preserve"> - This 2025 LTRA assessment period includes projections for 2026–2035; however, some figures and table...</w:t>
      </w:r>
    </w:p>
    <w:p>
      <w:pPr>
        <w:numPr>
          <w:ilvl w:val="0"/>
          <w:numId w:val="10"/>
        </w:numPr>
        <w:spacing w:line="360" w:after="210" w:lineRule="auto"/>
      </w:pPr>
      <w:hyperlink r:id="rId8">
        <w:r>
          <w:rPr>
            <w:rFonts w:eastAsia="source sans 3" w:cs="source sans 3" w:ascii="source sans 3" w:hAnsi="source sans 3"/>
            <w:color w:val="#000"/>
            <w:sz w:val="21"/>
            <w:u w:val="single"/>
          </w:rPr>
          <w:t xml:space="preserve">World Energy Outlook 2024</w:t>
        </w:r>
      </w:hyperlink>
      <w:r>
        <w:rPr>
          <w:rFonts w:eastAsia="source serif 4" w:cs="source serif 4" w:ascii="source serif 4" w:hAnsi="source serif 4"/>
          <w:color w:val="000000"/>
          <w:sz w:val="21"/>
        </w:rPr>
        <w:t xml:space="preserve"> - At the moment, for every dollar spent on renewable power,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60 cents are spent on grids and storage.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p>
    <w:p>
      <w:pPr>
        <w:numPr>
          <w:ilvl w:val="0"/>
          <w:numId w:val="10"/>
        </w:numPr>
        <w:spacing w:line="360" w:after="210" w:lineRule="auto"/>
      </w:pPr>
      <w:hyperlink r:id="rId9">
        <w:r>
          <w:rPr>
            <w:rFonts w:eastAsia="source sans 3" w:cs="source sans 3" w:ascii="source sans 3" w:hAnsi="source sans 3"/>
            <w:color w:val="#000"/>
            <w:sz w:val="21"/>
            <w:u w:val="single"/>
          </w:rPr>
          <w:t xml:space="preserve">Electric power transmission and distribution losses (% of ...</w:t>
        </w:r>
      </w:hyperlink>
      <w:r>
        <w:rPr>
          <w:rFonts w:eastAsia="source serif 4" w:cs="source serif 4" w:ascii="source serif 4" w:hAnsi="source serif 4"/>
          <w:color w:val="000000"/>
          <w:sz w:val="21"/>
        </w:rPr>
        <w:t xml:space="preserve"> - # Electric power transmission and distribution losses (% of output)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Country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Most Recent Year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Mos...</w:t>
      </w:r>
    </w:p>
    <w:p>
      <w:pPr>
        <w:numPr>
          <w:ilvl w:val="0"/>
          <w:numId w:val="10"/>
        </w:numPr>
        <w:spacing w:line="360" w:after="210" w:lineRule="auto"/>
      </w:pPr>
      <w:hyperlink r:id="rId10">
        <w:r>
          <w:rPr>
            <w:rFonts w:eastAsia="source sans 3" w:cs="source sans 3" w:ascii="source sans 3" w:hAnsi="source sans 3"/>
            <w:color w:val="#000"/>
            <w:sz w:val="21"/>
            <w:u w:val="single"/>
          </w:rPr>
          <w:t xml:space="preserve">Renewables 2024</w:t>
        </w:r>
      </w:hyperlink>
      <w:r>
        <w:rPr>
          <w:rFonts w:eastAsia="source serif 4" w:cs="source serif 4" w:ascii="source serif 4" w:hAnsi="source serif 4"/>
          <w:color w:val="000000"/>
          <w:sz w:val="21"/>
        </w:rPr>
        <w:t xml:space="preserve"> - Investment in grid infrastructure is lagging, with more advanced projects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waiting to be connected, ...</w:t>
      </w:r>
    </w:p>
    <w:p>
      <w:pPr>
        <w:numPr>
          <w:ilvl w:val="0"/>
          <w:numId w:val="10"/>
        </w:numPr>
        <w:spacing w:line="360" w:after="210" w:lineRule="auto"/>
      </w:pPr>
      <w:hyperlink r:id="rId11">
        <w:r>
          <w:rPr>
            <w:rFonts w:eastAsia="source sans 3" w:cs="source sans 3" w:ascii="source sans 3" w:hAnsi="source sans 3"/>
            <w:color w:val="#000"/>
            <w:sz w:val="21"/>
            <w:u w:val="single"/>
          </w:rPr>
          <w:t xml:space="preserve">About the Grid Modernization Initiative</w:t>
        </w:r>
      </w:hyperlink>
      <w:r>
        <w:rPr>
          <w:rFonts w:eastAsia="source serif 4" w:cs="source serif 4" w:ascii="source serif 4" w:hAnsi="source serif 4"/>
          <w:color w:val="000000"/>
          <w:sz w:val="21"/>
        </w:rPr>
        <w:t xml:space="preserve"> - The Grid Modernization Initiative (GMI) works across the U.S. Department of Energy (DOE) to create t...</w:t>
      </w:r>
    </w:p>
    <w:p>
      <w:pPr>
        <w:numPr>
          <w:ilvl w:val="0"/>
          <w:numId w:val="10"/>
        </w:numPr>
        <w:spacing w:line="360" w:after="210" w:lineRule="auto"/>
      </w:pPr>
      <w:hyperlink r:id="rId12">
        <w:r>
          <w:rPr>
            <w:rFonts w:eastAsia="source sans 3" w:cs="source sans 3" w:ascii="source sans 3" w:hAnsi="source sans 3"/>
            <w:color w:val="#000"/>
            <w:sz w:val="21"/>
            <w:u w:val="single"/>
          </w:rPr>
          <w:t xml:space="preserve">Release of NIST Interagency Report 7628 Revision 1, Guidelines for Smart Grid Cybersecurity</w:t>
        </w:r>
      </w:hyperlink>
      <w:r>
        <w:rPr>
          <w:rFonts w:eastAsia="source serif 4" w:cs="source serif 4" w:ascii="source serif 4" w:hAnsi="source serif 4"/>
          <w:color w:val="000000"/>
          <w:sz w:val="21"/>
        </w:rPr>
        <w:t xml:space="preserve"> - </w:t>
      </w:r>
      <w:hyperlink r:id="rId13">
        <w:r>
          <w:rPr>
            <w:rFonts w:eastAsia="source sans 3" w:cs="source sans 3" w:ascii="source sans 3" w:hAnsi="source sans 3"/>
            <w:color w:val="#000"/>
            <w:sz w:val="21"/>
            <w:u w:val="single"/>
          </w:rPr>
          <w:t xml:space="preserve">https://www.nist.gov/publications/release-nist-interagency-report-7628-revision-1-guidelines-smart-g</w:t>
        </w:r>
      </w:hyperlink>
      <w:r>
        <w:rPr>
          <w:rFonts w:eastAsia="source serif 4" w:cs="source serif 4" w:ascii="source serif 4" w:hAnsi="source serif 4"/>
          <w:color w:val="000000"/>
          <w:sz w:val="21"/>
        </w:rPr>
        <w:t xml:space="preserve">...</w:t>
      </w:r>
    </w:p>
    <w:p>
      <w:pPr>
        <w:numPr>
          <w:ilvl w:val="0"/>
          <w:numId w:val="10"/>
        </w:numPr>
        <w:spacing w:line="360" w:after="210" w:lineRule="auto"/>
      </w:pPr>
      <w:hyperlink r:id="rId14">
        <w:r>
          <w:rPr>
            <w:rFonts w:eastAsia="source sans 3" w:cs="source sans 3" w:ascii="source sans 3" w:hAnsi="source sans 3"/>
            <w:color w:val="#000"/>
            <w:sz w:val="21"/>
            <w:u w:val="single"/>
          </w:rPr>
          <w:t xml:space="preserve">Guidelines for Smart Grid Cybersecurity</w:t>
        </w:r>
      </w:hyperlink>
      <w:r>
        <w:rPr>
          <w:rFonts w:eastAsia="source serif 4" w:cs="source serif 4" w:ascii="source serif 4" w:hAnsi="source serif 4"/>
          <w:color w:val="000000"/>
          <w:sz w:val="21"/>
        </w:rPr>
        <w:t xml:space="preserve"> - </w:t>
      </w:r>
      <w:hyperlink r:id="rId15">
        <w:r>
          <w:rPr>
            <w:rFonts w:eastAsia="source sans 3" w:cs="source sans 3" w:ascii="source sans 3" w:hAnsi="source sans 3"/>
            <w:color w:val="#000"/>
            <w:sz w:val="21"/>
            <w:u w:val="single"/>
          </w:rPr>
          <w:t xml:space="preserve">https://www.nist.gov/publications/guidelines-smart-grid-cybersecurity</w:t>
        </w:r>
      </w:hyperlink>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you have any questions abou...</w:t>
      </w:r>
    </w:p>
    <w:p>
      <w:pPr>
        <w:numPr>
          <w:ilvl w:val="0"/>
          <w:numId w:val="10"/>
        </w:numPr>
        <w:spacing w:line="360" w:after="210" w:lineRule="auto"/>
      </w:pPr>
      <w:hyperlink r:id="rId16">
        <w:r>
          <w:rPr>
            <w:rFonts w:eastAsia="source sans 3" w:cs="source sans 3" w:ascii="source sans 3" w:hAnsi="source sans 3"/>
            <w:color w:val="#000"/>
            <w:sz w:val="21"/>
            <w:u w:val="single"/>
          </w:rPr>
          <w:t xml:space="preserve">Homeland Security Exercise and Evaluation Program (HSEEP)</w:t>
        </w:r>
      </w:hyperlink>
      <w:r>
        <w:rPr>
          <w:rFonts w:eastAsia="source serif 4" w:cs="source serif 4" w:ascii="source serif 4" w:hAnsi="source serif 4"/>
          <w:color w:val="000000"/>
          <w:sz w:val="21"/>
        </w:rPr>
        <w:t xml:space="preserve"> - Exercise Objectives ...................................................................................</w:t>
      </w:r>
    </w:p>
    <w:p>
      <w:pPr>
        <w:numPr>
          <w:ilvl w:val="0"/>
          <w:numId w:val="10"/>
        </w:numPr>
        <w:spacing w:line="360" w:after="210" w:lineRule="auto"/>
      </w:pPr>
      <w:hyperlink r:id="rId17">
        <w:r>
          <w:rPr>
            <w:rFonts w:eastAsia="source sans 3" w:cs="source sans 3" w:ascii="source sans 3" w:hAnsi="source sans 3"/>
            <w:color w:val="#000"/>
            <w:sz w:val="21"/>
            <w:u w:val="single"/>
          </w:rPr>
          <w:t xml:space="preserve">HSEEP Policy and Guidance - HSEEP Resources - Preparedness Toolkit</w:t>
        </w:r>
      </w:hyperlink>
      <w:r>
        <w:rPr>
          <w:rFonts w:eastAsia="source serif 4" w:cs="source serif 4" w:ascii="source serif 4" w:hAnsi="source serif 4"/>
          <w:color w:val="000000"/>
          <w:sz w:val="21"/>
        </w:rPr>
        <w:t xml:space="preserve"> - The Homeland Security Exercise and Evaluation Program (HSEEP) provides a set of fundamental principl...</w:t>
      </w:r>
    </w:p>
    <w:p>
      <w:pPr>
        <w:numPr>
          <w:ilvl w:val="0"/>
          <w:numId w:val="10"/>
        </w:numPr>
        <w:spacing w:line="360" w:after="210" w:lineRule="auto"/>
      </w:pPr>
      <w:hyperlink r:id="rId18">
        <w:r>
          <w:rPr>
            <w:rFonts w:eastAsia="source sans 3" w:cs="source sans 3" w:ascii="source sans 3" w:hAnsi="source sans 3"/>
            <w:color w:val="#000"/>
            <w:sz w:val="21"/>
            <w:u w:val="single"/>
          </w:rPr>
          <w:t xml:space="preserve">Homeland Security Exercise and Evaluation Program</w:t>
        </w:r>
      </w:hyperlink>
      <w:r>
        <w:rPr>
          <w:rFonts w:eastAsia="source serif 4" w:cs="source serif 4" w:ascii="source serif 4" w:hAnsi="source serif 4"/>
          <w:color w:val="000000"/>
          <w:sz w:val="21"/>
        </w:rPr>
        <w:t xml:space="preserve"> - HSEEP provides a set of guiding principles for exercise and evaluation programs, as well as a common...</w:t>
      </w:r>
    </w:p>
    <w:p>
      <w:pPr>
        <w:numPr>
          <w:ilvl w:val="0"/>
          <w:numId w:val="10"/>
        </w:numPr>
        <w:spacing w:line="360" w:after="210" w:lineRule="auto"/>
      </w:pPr>
      <w:hyperlink r:id="rId19">
        <w:r>
          <w:rPr>
            <w:rFonts w:eastAsia="source sans 3" w:cs="source sans 3" w:ascii="source sans 3" w:hAnsi="source sans 3"/>
            <w:color w:val="#000"/>
            <w:sz w:val="21"/>
            <w:u w:val="single"/>
          </w:rPr>
          <w:t xml:space="preserve">Exercise Evaluation Guides - HSEEP Resources - Preparedness Toolkit</w:t>
        </w:r>
      </w:hyperlink>
      <w:r>
        <w:rPr>
          <w:rFonts w:eastAsia="source serif 4" w:cs="source serif 4" w:ascii="source serif 4" w:hAnsi="source serif 4"/>
          <w:color w:val="000000"/>
          <w:sz w:val="21"/>
        </w:rPr>
        <w:t xml:space="preserve"> - # Exercise Evaluation Guides (EEGs)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EEGs are designed to accomplish several goals:</w:t>
      </w:r>
    </w:p>
    <w:p>
      <w:pPr>
        <w:numPr>
          <w:ilvl w:val="0"/>
          <w:numId w:val="11"/>
        </w:numPr>
        <w:spacing w:line="360" w:before="105" w:after="105" w:lineRule="auto"/>
      </w:pPr>
      <w:r>
        <w:rPr>
          <w:rFonts w:eastAsia="source serif 4" w:cs="source serif 4" w:ascii="source serif 4" w:hAnsi="source serif 4"/>
          <w:color w:val="000000"/>
          <w:sz w:val="21"/>
        </w:rPr>
        <w:t xml:space="preserve">Streamline data...</w:t>
      </w:r>
    </w:p>
    <w:p>
      <w:pPr>
        <w:numPr>
          <w:ilvl w:val="0"/>
          <w:numId w:val="12"/>
        </w:numPr>
        <w:spacing w:line="360" w:before="105" w:after="105" w:lineRule="auto"/>
      </w:pPr>
      <w:hyperlink r:id="rId20">
        <w:r>
          <w:rPr>
            <w:rFonts w:eastAsia="source sans 3" w:cs="source sans 3" w:ascii="source sans 3" w:hAnsi="source sans 3"/>
            <w:color w:val="#000"/>
            <w:sz w:val="21"/>
            <w:u w:val="single"/>
          </w:rPr>
          <w:t xml:space="preserve">Cybersecurity Tabletop Exercise Guide - Resource Library</w:t>
        </w:r>
      </w:hyperlink>
      <w:r>
        <w:rPr>
          <w:rFonts w:eastAsia="source serif 4" w:cs="source serif 4" w:ascii="source serif 4" w:hAnsi="source serif 4"/>
          <w:color w:val="000000"/>
          <w:sz w:val="21"/>
        </w:rPr>
        <w:t xml:space="preserve"> - Program (HSEEP): </w:t>
      </w:r>
      <w:hyperlink r:id="rId21">
        <w:r>
          <w:rPr>
            <w:rFonts w:eastAsia="source sans 3" w:cs="source sans 3" w:ascii="source sans 3" w:hAnsi="source sans 3"/>
            <w:color w:val="#000"/>
            <w:sz w:val="21"/>
            <w:u w:val="single"/>
          </w:rPr>
          <w:t xml:space="preserve">https://www.fema.gov/sites/default/files/2020-04/Homeland-Security-Exercise-and-Eva</w:t>
        </w:r>
      </w:hyperlink>
      <w:r>
        <w:rPr>
          <w:rFonts w:eastAsia="source serif 4" w:cs="source serif 4" w:ascii="source serif 4" w:hAnsi="source serif 4"/>
          <w:color w:val="000000"/>
          <w:sz w:val="21"/>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4"/>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oecd.org/content/dam/oecd/en/events/2024/1/unlocking-transmission-grid-finance-and-investment-for-the-clean-energy-transition-in-emerging-markets-and-developing-economies/summary-transmission-grids-workshop.pdf" TargetMode="External"/><Relationship Id="rId6" Type="http://schemas.openxmlformats.org/officeDocument/2006/relationships/hyperlink" Target="https://www.iea.org/reports/building-the-future-transmission-grid" TargetMode="External"/><Relationship Id="rId7" Type="http://schemas.openxmlformats.org/officeDocument/2006/relationships/hyperlink" Target="https://www.nerc.com/globalassets/our-work/assessments/nerc_ltra_2025.pdf" TargetMode="External"/><Relationship Id="rId8" Type="http://schemas.openxmlformats.org/officeDocument/2006/relationships/hyperlink" Target="https://iea.blob.core.windows.net/assets/140a0470-5b90-4922-a0e9-838b3ac6918c/WorldEnergyOutlook2024.pdf" TargetMode="External"/><Relationship Id="rId9" Type="http://schemas.openxmlformats.org/officeDocument/2006/relationships/hyperlink" Target="https://data.worldbank.org/indicator/EG.ELC.LOSS.ZS" TargetMode="External"/><Relationship Id="rId10" Type="http://schemas.openxmlformats.org/officeDocument/2006/relationships/hyperlink" Target="https://iea.blob.core.windows.net/assets/17033b62-07a5-4144-8dd0-651cdb6caa24/Renewables2024.pdf" TargetMode="External"/><Relationship Id="rId11" Type="http://schemas.openxmlformats.org/officeDocument/2006/relationships/hyperlink" Target="https://www.energy.gov/gmi/about-grid-modernization-initiative" TargetMode="External"/><Relationship Id="rId12" Type="http://schemas.openxmlformats.org/officeDocument/2006/relationships/hyperlink" Target="https://www.nist.gov/publications/release-nist-interagency-report-7628-revision-1-guidelines-smart-grid-cybersecurity" TargetMode="External"/><Relationship Id="rId13" Type="http://schemas.openxmlformats.org/officeDocument/2006/relationships/hyperlink" Target="https://www.nist.gov/publications/release-nist-interagency-report-7628-revision-1-guidelines-smart-g" TargetMode="External"/><Relationship Id="rId14" Type="http://schemas.openxmlformats.org/officeDocument/2006/relationships/hyperlink" Target="https://www.nist.gov/publications/guidelines-smart-grid-cybersecurity" TargetMode="External"/><Relationship Id="rId15" Type="http://schemas.openxmlformats.org/officeDocument/2006/relationships/hyperlink" Target="https://www.nist.gov/publications/guidelines-smart-grid-cybersecurity" TargetMode="External"/><Relationship Id="rId16" Type="http://schemas.openxmlformats.org/officeDocument/2006/relationships/hyperlink" Target="https://www.fema.gov/sites/default/files/2020-04/Homeland-Security-Exercise-and-Evaluation-Program-Doctrine-2020-Revision-2-2-25.pdf" TargetMode="External"/><Relationship Id="rId17" Type="http://schemas.openxmlformats.org/officeDocument/2006/relationships/hyperlink" Target="https://preptoolkit.fema.gov/web/hseep-resources/policy-and-guidance" TargetMode="External"/><Relationship Id="rId18" Type="http://schemas.openxmlformats.org/officeDocument/2006/relationships/hyperlink" Target="https://www.fema.gov/emergency-managers/national-preparedness/exercises/hseep" TargetMode="External"/><Relationship Id="rId19" Type="http://schemas.openxmlformats.org/officeDocument/2006/relationships/hyperlink" Target="https://preptoolkit.fema.gov/web/hseep-resources/eegs" TargetMode="External"/><Relationship Id="rId20" Type="http://schemas.openxmlformats.org/officeDocument/2006/relationships/hyperlink" Target="https://pubs.naruc.org/pub/615A021F-155D-0A36-314F-0368978CC504" TargetMode="External"/><Relationship Id="rId21" Type="http://schemas.openxmlformats.org/officeDocument/2006/relationships/hyperlink" Target="https://www.fema.gov/sites/default/files/2020-04/Homeland-Security-Exercise-and-Ev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2026-09-11T12:19:22.096Z</dcterms:created>
  <dcterms:modified xsi:type="dcterms:W3CDTF">2026-09-11T12:19:22.096Z</dcterms:modified>
</cp:coreProperties>
</file>