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5963"/>
          <w:sz w:val="24"/>
        </w:rPr>
        <w:t>OMNIVERSAL ARCHITECT LABS</w:t>
      </w:r>
    </w:p>
    <w:p>
      <w:pPr>
        <w:jc w:val="center"/>
      </w:pPr>
      <w:r>
        <w:rPr>
          <w:b/>
          <w:color w:val="5F696E"/>
          <w:sz w:val="20"/>
        </w:rPr>
        <w:t>INDEPENDENT SIMULATION LABORATORY DESIGN</w:t>
      </w:r>
    </w:p>
    <w:p/>
    <w:p>
      <w:pPr>
        <w:jc w:val="center"/>
      </w:pPr>
      <w:r>
        <w:rPr>
          <w:b/>
          <w:color w:val="133B4A"/>
          <w:sz w:val="60"/>
        </w:rPr>
        <w:t>ARCHITECTURE TRANSLATION</w:t>
        <w:br/>
        <w:t>&amp; BOUNDARY LABORATORY</w:t>
      </w:r>
    </w:p>
    <w:p>
      <w:pPr>
        <w:jc w:val="center"/>
      </w:pPr>
      <w:r>
        <w:rPr>
          <w:i/>
          <w:color w:val="41555A"/>
          <w:sz w:val="26"/>
        </w:rPr>
        <w:t>Transfer Validity, Model Mismatch, Analogy Failure, Scale Translation, and Observer-System Divergence</w:t>
      </w:r>
    </w:p>
    <w:p/>
    <w:tbl>
      <w:tblPr>
        <w:tblW w:type="auto" w:w="0"/>
        <w:jc w:val="center"/>
        <w:tblLayout w:type="autofit"/>
        <w:tblLook w:firstColumn="1" w:firstRow="1" w:lastColumn="0" w:lastRow="0" w:noHBand="0" w:noVBand="1" w:val="04A0"/>
      </w:tblPr>
      <w:tblGrid>
        <w:gridCol w:w="9878"/>
      </w:tblGrid>
      <w:tr>
        <w:tc>
          <w:tcPr>
            <w:tcW w:type="dxa" w:w="9878"/>
            <w:shd w:fill="0E5963"/>
            <w:tcMar>
              <w:top w:w="100" w:type="dxa"/>
              <w:start w:w="150" w:type="dxa"/>
              <w:bottom w:w="80" w:type="dxa"/>
              <w:end w:w="150" w:type="dxa"/>
            </w:tcMar>
          </w:tcPr>
          <w:p>
            <w:r>
              <w:rPr>
                <w:b/>
                <w:color w:val="FFFFFF"/>
                <w:sz w:val="21"/>
              </w:rPr>
              <w:t>Foundational Mission</w:t>
            </w:r>
          </w:p>
        </w:tc>
      </w:tr>
      <w:tr>
        <w:tc>
          <w:tcPr>
            <w:tcW w:type="dxa" w:w="9878"/>
            <w:shd w:fill="EDF6F7"/>
            <w:tcMar>
              <w:top w:w="120" w:type="dxa"/>
              <w:start w:w="150" w:type="dxa"/>
              <w:bottom w:w="120" w:type="dxa"/>
              <w:end w:w="150" w:type="dxa"/>
            </w:tcMar>
          </w:tcPr>
          <w:p>
            <w:pPr>
              <w:spacing w:after="0"/>
            </w:pPr>
            <w:r>
              <w:t>Stress-test abstraction and cross-domain transfer. Determine what survives translation, what changes, what fails, and where a useful analogy becomes an invalid model.</w:t>
            </w:r>
          </w:p>
        </w:tc>
      </w:tr>
    </w:tbl>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448"/>
            <w:shd w:fill="133B4A"/>
            <w:tcMar>
              <w:top w:w="90" w:type="dxa"/>
              <w:start w:w="100" w:type="dxa"/>
              <w:bottom w:w="90" w:type="dxa"/>
              <w:end w:w="100" w:type="dxa"/>
            </w:tcMar>
            <w:vAlign w:val="center"/>
          </w:tcPr>
          <w:p>
            <w:r>
              <w:rPr>
                <w:b/>
                <w:color w:val="FFFFFF"/>
                <w:sz w:val="19"/>
              </w:rPr>
              <w:t>Field</w:t>
            </w:r>
          </w:p>
        </w:tc>
        <w:tc>
          <w:tcPr>
            <w:tcW w:type="dxa" w:w="7056"/>
            <w:shd w:fill="133B4A"/>
            <w:tcMar>
              <w:top w:w="90" w:type="dxa"/>
              <w:start w:w="100" w:type="dxa"/>
              <w:bottom w:w="90" w:type="dxa"/>
              <w:end w:w="100" w:type="dxa"/>
            </w:tcMar>
            <w:vAlign w:val="center"/>
          </w:tcPr>
          <w:p>
            <w:r>
              <w:rPr>
                <w:b/>
                <w:color w:val="FFFFFF"/>
                <w:sz w:val="19"/>
              </w:rPr>
              <w:t>Value</w:t>
            </w:r>
          </w:p>
        </w:tc>
      </w:tr>
      <w:tr>
        <w:tc>
          <w:tcPr>
            <w:tcW w:type="dxa" w:w="2448"/>
            <w:tcMar>
              <w:top w:w="80" w:type="dxa"/>
              <w:start w:w="100" w:type="dxa"/>
              <w:bottom w:w="80" w:type="dxa"/>
              <w:end w:w="100" w:type="dxa"/>
            </w:tcMar>
            <w:vAlign w:val="top"/>
          </w:tcPr>
          <w:p>
            <w:pPr>
              <w:spacing w:after="0"/>
            </w:pPr>
            <w:r>
              <w:rPr>
                <w:sz w:val="18"/>
              </w:rPr>
              <w:t>Document title</w:t>
            </w:r>
          </w:p>
        </w:tc>
        <w:tc>
          <w:tcPr>
            <w:tcW w:type="dxa" w:w="7056"/>
            <w:tcMar>
              <w:top w:w="80" w:type="dxa"/>
              <w:start w:w="100" w:type="dxa"/>
              <w:bottom w:w="80" w:type="dxa"/>
              <w:end w:w="100" w:type="dxa"/>
            </w:tcMar>
            <w:vAlign w:val="top"/>
          </w:tcPr>
          <w:p>
            <w:pPr>
              <w:spacing w:after="0"/>
            </w:pPr>
            <w:r>
              <w:rPr>
                <w:sz w:val="18"/>
              </w:rPr>
              <w:t>OAL Architecture Translation &amp; Boundary Laboratory</w:t>
            </w:r>
          </w:p>
        </w:tc>
      </w:tr>
      <w:tr>
        <w:tc>
          <w:tcPr>
            <w:tcW w:type="dxa" w:w="2448"/>
            <w:tcMar>
              <w:top w:w="80" w:type="dxa"/>
              <w:start w:w="100" w:type="dxa"/>
              <w:bottom w:w="80" w:type="dxa"/>
              <w:end w:w="100" w:type="dxa"/>
            </w:tcMar>
            <w:shd w:fill="F5F8F9"/>
            <w:vAlign w:val="top"/>
          </w:tcPr>
          <w:p>
            <w:pPr>
              <w:spacing w:after="0"/>
            </w:pPr>
            <w:r>
              <w:rPr>
                <w:sz w:val="18"/>
              </w:rPr>
              <w:t>Version</w:t>
            </w:r>
          </w:p>
        </w:tc>
        <w:tc>
          <w:tcPr>
            <w:tcW w:type="dxa" w:w="7056"/>
            <w:tcMar>
              <w:top w:w="80" w:type="dxa"/>
              <w:start w:w="100" w:type="dxa"/>
              <w:bottom w:w="80" w:type="dxa"/>
              <w:end w:w="100" w:type="dxa"/>
            </w:tcMar>
            <w:shd w:fill="F5F8F9"/>
            <w:vAlign w:val="top"/>
          </w:tcPr>
          <w:p>
            <w:pPr>
              <w:spacing w:after="0"/>
            </w:pPr>
            <w:r>
              <w:rPr>
                <w:sz w:val="18"/>
              </w:rPr>
              <w:t>1.0 - Independent Laboratory Design</w:t>
            </w:r>
          </w:p>
        </w:tc>
      </w:tr>
      <w:tr>
        <w:tc>
          <w:tcPr>
            <w:tcW w:type="dxa" w:w="2448"/>
            <w:tcMar>
              <w:top w:w="80" w:type="dxa"/>
              <w:start w:w="100" w:type="dxa"/>
              <w:bottom w:w="80" w:type="dxa"/>
              <w:end w:w="100" w:type="dxa"/>
            </w:tcMar>
            <w:vAlign w:val="top"/>
          </w:tcPr>
          <w:p>
            <w:pPr>
              <w:spacing w:after="0"/>
            </w:pPr>
            <w:r>
              <w:rPr>
                <w:sz w:val="18"/>
              </w:rPr>
              <w:t>Date</w:t>
            </w:r>
          </w:p>
        </w:tc>
        <w:tc>
          <w:tcPr>
            <w:tcW w:type="dxa" w:w="7056"/>
            <w:tcMar>
              <w:top w:w="80" w:type="dxa"/>
              <w:start w:w="100" w:type="dxa"/>
              <w:bottom w:w="80" w:type="dxa"/>
              <w:end w:w="100" w:type="dxa"/>
            </w:tcMar>
            <w:vAlign w:val="top"/>
          </w:tcPr>
          <w:p>
            <w:pPr>
              <w:spacing w:after="0"/>
            </w:pPr>
            <w:r>
              <w:rPr>
                <w:sz w:val="18"/>
              </w:rPr>
              <w:t>September 20, 2026</w:t>
            </w:r>
          </w:p>
        </w:tc>
      </w:tr>
      <w:tr>
        <w:tc>
          <w:tcPr>
            <w:tcW w:type="dxa" w:w="2448"/>
            <w:tcMar>
              <w:top w:w="80" w:type="dxa"/>
              <w:start w:w="100" w:type="dxa"/>
              <w:bottom w:w="80" w:type="dxa"/>
              <w:end w:w="100" w:type="dxa"/>
            </w:tcMar>
            <w:shd w:fill="F5F8F9"/>
            <w:vAlign w:val="top"/>
          </w:tcPr>
          <w:p>
            <w:pPr>
              <w:spacing w:after="0"/>
            </w:pPr>
            <w:r>
              <w:rPr>
                <w:sz w:val="18"/>
              </w:rPr>
              <w:t>Prepared by</w:t>
            </w:r>
          </w:p>
        </w:tc>
        <w:tc>
          <w:tcPr>
            <w:tcW w:type="dxa" w:w="7056"/>
            <w:tcMar>
              <w:top w:w="80" w:type="dxa"/>
              <w:start w:w="100" w:type="dxa"/>
              <w:bottom w:w="80" w:type="dxa"/>
              <w:end w:w="100" w:type="dxa"/>
            </w:tcMar>
            <w:shd w:fill="F5F8F9"/>
            <w:vAlign w:val="top"/>
          </w:tcPr>
          <w:p>
            <w:pPr>
              <w:spacing w:after="0"/>
            </w:pPr>
            <w:r>
              <w:rPr>
                <w:sz w:val="18"/>
              </w:rPr>
              <w:t>ChatGPT (GPT-5.6 Sol)</w:t>
            </w:r>
          </w:p>
        </w:tc>
      </w:tr>
      <w:tr>
        <w:tc>
          <w:tcPr>
            <w:tcW w:type="dxa" w:w="2448"/>
            <w:tcMar>
              <w:top w:w="80" w:type="dxa"/>
              <w:start w:w="100" w:type="dxa"/>
              <w:bottom w:w="80" w:type="dxa"/>
              <w:end w:w="100" w:type="dxa"/>
            </w:tcMar>
            <w:vAlign w:val="top"/>
          </w:tcPr>
          <w:p>
            <w:pPr>
              <w:spacing w:after="0"/>
            </w:pPr>
            <w:r>
              <w:rPr>
                <w:sz w:val="18"/>
              </w:rPr>
              <w:t>Status</w:t>
            </w:r>
          </w:p>
        </w:tc>
        <w:tc>
          <w:tcPr>
            <w:tcW w:type="dxa" w:w="7056"/>
            <w:tcMar>
              <w:top w:w="80" w:type="dxa"/>
              <w:start w:w="100" w:type="dxa"/>
              <w:bottom w:w="80" w:type="dxa"/>
              <w:end w:w="100" w:type="dxa"/>
            </w:tcMar>
            <w:vAlign w:val="top"/>
          </w:tcPr>
          <w:p>
            <w:pPr>
              <w:spacing w:after="0"/>
            </w:pPr>
            <w:r>
              <w:rPr>
                <w:sz w:val="18"/>
              </w:rPr>
              <w:t>Working simulation-laboratory design - not canon</w:t>
            </w:r>
          </w:p>
        </w:tc>
      </w:tr>
      <w:tr>
        <w:tc>
          <w:tcPr>
            <w:tcW w:type="dxa" w:w="2448"/>
            <w:tcMar>
              <w:top w:w="80" w:type="dxa"/>
              <w:start w:w="100" w:type="dxa"/>
              <w:bottom w:w="80" w:type="dxa"/>
              <w:end w:w="100" w:type="dxa"/>
            </w:tcMar>
            <w:shd w:fill="F5F8F9"/>
            <w:vAlign w:val="top"/>
          </w:tcPr>
          <w:p>
            <w:pPr>
              <w:spacing w:after="0"/>
            </w:pPr>
            <w:r>
              <w:rPr>
                <w:sz w:val="18"/>
              </w:rPr>
              <w:t>Program relation</w:t>
            </w:r>
          </w:p>
        </w:tc>
        <w:tc>
          <w:tcPr>
            <w:tcW w:type="dxa" w:w="7056"/>
            <w:tcMar>
              <w:top w:w="80" w:type="dxa"/>
              <w:start w:w="100" w:type="dxa"/>
              <w:bottom w:w="80" w:type="dxa"/>
              <w:end w:w="100" w:type="dxa"/>
            </w:tcMar>
            <w:shd w:fill="F5F8F9"/>
            <w:vAlign w:val="top"/>
          </w:tcPr>
          <w:p>
            <w:pPr>
              <w:spacing w:after="0"/>
            </w:pPr>
            <w:r>
              <w:rPr>
                <w:sz w:val="18"/>
              </w:rPr>
              <w:t>Sibling laboratory within the Matrix Architecture &amp; Control Flow Research Program</w:t>
            </w:r>
          </w:p>
        </w:tc>
      </w:tr>
      <w:tr>
        <w:tc>
          <w:tcPr>
            <w:tcW w:type="dxa" w:w="2448"/>
            <w:tcMar>
              <w:top w:w="80" w:type="dxa"/>
              <w:start w:w="100" w:type="dxa"/>
              <w:bottom w:w="80" w:type="dxa"/>
              <w:end w:w="100" w:type="dxa"/>
            </w:tcMar>
            <w:vAlign w:val="top"/>
          </w:tcPr>
          <w:p>
            <w:pPr>
              <w:spacing w:after="0"/>
            </w:pPr>
            <w:r>
              <w:rPr>
                <w:sz w:val="18"/>
              </w:rPr>
              <w:t>Primary source basis</w:t>
            </w:r>
          </w:p>
        </w:tc>
        <w:tc>
          <w:tcPr>
            <w:tcW w:type="dxa" w:w="7056"/>
            <w:tcMar>
              <w:top w:w="80" w:type="dxa"/>
              <w:start w:w="100" w:type="dxa"/>
              <w:bottom w:w="80" w:type="dxa"/>
              <w:end w:w="100" w:type="dxa"/>
            </w:tcMar>
            <w:vAlign w:val="top"/>
          </w:tcPr>
          <w:p>
            <w:pPr>
              <w:spacing w:after="0"/>
            </w:pPr>
            <w:r>
              <w:rPr>
                <w:sz w:val="18"/>
              </w:rPr>
              <w:t>Original control-flow concept; cross-AI design records; unified program synthesis; independent ChatGPT laboratory direction</w:t>
            </w:r>
          </w:p>
        </w:tc>
      </w:tr>
    </w:tbl>
    <w:p/>
    <w:p>
      <w:pPr>
        <w:jc w:val="center"/>
      </w:pPr>
      <w:r>
        <w:rPr>
          <w:b/>
          <w:color w:val="0E5963"/>
          <w:sz w:val="22"/>
        </w:rPr>
        <w:t>Design principle: Similarity is a hypothesis. Transfer is an experiment. Failure to transfer is a result.</w:t>
      </w:r>
    </w:p>
    <w:p>
      <w:r>
        <w:br w:type="page"/>
      </w:r>
    </w:p>
    <w:p>
      <w:pPr>
        <w:pStyle w:val="Heading1"/>
      </w:pPr>
      <w:r>
        <w:t>Executive Summary</w:t>
      </w:r>
    </w:p>
    <w:p>
      <w:r>
        <w:t>The Architecture Translation &amp; Boundary Laboratory (ATBL) is an independent OAL simulation-laboratory design created to complement, not replace, the existing Matrix Architecture and Control Flow Research Program and the Comparative Flow Architecture Laboratory. Its defining research problem is not simply whether different systems can be represented with shared structural language. ATBL asks a stricter question: under what conditions does a principle discovered in one system remain valid when it is abstracted, translated, rescaled, re-timed, or applied to another domain?</w:t>
      </w:r>
    </w:p>
    <w:p>
      <w:r>
        <w:t>The laboratory therefore treats translation itself as the experimental object. It deliberately creates candidate analogies, stresses them, searches for boundary conditions, quantifies model mismatch, and rewards null results when no defensible transfer exists. The laboratory is designed to protect the original project from a predictable failure mode of interdisciplinary work: a visually compelling resemblance becoming a false causal model.</w:t>
      </w:r>
    </w:p>
    <w:tbl>
      <w:tblPr>
        <w:tblW w:type="auto" w:w="0"/>
        <w:jc w:val="center"/>
        <w:tblLayout w:type="autofit"/>
        <w:tblLook w:firstColumn="1" w:firstRow="1" w:lastColumn="0" w:lastRow="0" w:noHBand="0" w:noVBand="1" w:val="04A0"/>
      </w:tblPr>
      <w:tblGrid>
        <w:gridCol w:w="9878"/>
      </w:tblGrid>
      <w:tr>
        <w:tc>
          <w:tcPr>
            <w:tcW w:type="dxa" w:w="9878"/>
            <w:shd w:fill="0E5963"/>
            <w:tcMar>
              <w:top w:w="100" w:type="dxa"/>
              <w:start w:w="150" w:type="dxa"/>
              <w:bottom w:w="80" w:type="dxa"/>
              <w:end w:w="150" w:type="dxa"/>
            </w:tcMar>
          </w:tcPr>
          <w:p>
            <w:r>
              <w:rPr>
                <w:b/>
                <w:color w:val="FFFFFF"/>
                <w:sz w:val="21"/>
              </w:rPr>
              <w:t>Independent Research Identity</w:t>
            </w:r>
          </w:p>
        </w:tc>
      </w:tr>
      <w:tr>
        <w:tc>
          <w:tcPr>
            <w:tcW w:type="dxa" w:w="9878"/>
            <w:shd w:fill="EDF6F7"/>
            <w:tcMar>
              <w:top w:w="120" w:type="dxa"/>
              <w:start w:w="150" w:type="dxa"/>
              <w:bottom w:w="120" w:type="dxa"/>
              <w:end w:w="150" w:type="dxa"/>
            </w:tcMar>
          </w:tcPr>
          <w:p>
            <w:pPr>
              <w:spacing w:after="0"/>
            </w:pPr>
            <w:r>
              <w:t>ATBL is an adversarial companion laboratory. Where a comparative-flow lab asks “what transfers?”, ATBL asks “how far can it transfer before it breaks, why does it break, and how would we know?”</w:t>
            </w:r>
          </w:p>
        </w:tc>
      </w:tr>
    </w:tbl>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92"/>
            <w:shd w:fill="133B4A"/>
            <w:tcMar>
              <w:top w:w="90" w:type="dxa"/>
              <w:start w:w="100" w:type="dxa"/>
              <w:bottom w:w="90" w:type="dxa"/>
              <w:end w:w="100" w:type="dxa"/>
            </w:tcMar>
            <w:vAlign w:val="center"/>
          </w:tcPr>
          <w:p>
            <w:r>
              <w:rPr>
                <w:b/>
                <w:color w:val="FFFFFF"/>
                <w:sz w:val="19"/>
              </w:rPr>
              <w:t>Element</w:t>
            </w:r>
          </w:p>
        </w:tc>
        <w:tc>
          <w:tcPr>
            <w:tcW w:type="dxa" w:w="6912"/>
            <w:shd w:fill="133B4A"/>
            <w:tcMar>
              <w:top w:w="90" w:type="dxa"/>
              <w:start w:w="100" w:type="dxa"/>
              <w:bottom w:w="90" w:type="dxa"/>
              <w:end w:w="100" w:type="dxa"/>
            </w:tcMar>
            <w:vAlign w:val="center"/>
          </w:tcPr>
          <w:p>
            <w:r>
              <w:rPr>
                <w:b/>
                <w:color w:val="FFFFFF"/>
                <w:sz w:val="19"/>
              </w:rPr>
              <w:t>ATBL Position</w:t>
            </w:r>
          </w:p>
        </w:tc>
      </w:tr>
      <w:tr>
        <w:tc>
          <w:tcPr>
            <w:tcW w:type="dxa" w:w="2592"/>
            <w:tcMar>
              <w:top w:w="80" w:type="dxa"/>
              <w:start w:w="100" w:type="dxa"/>
              <w:bottom w:w="80" w:type="dxa"/>
              <w:end w:w="100" w:type="dxa"/>
            </w:tcMar>
            <w:vAlign w:val="top"/>
          </w:tcPr>
          <w:p>
            <w:pPr>
              <w:spacing w:after="0"/>
            </w:pPr>
            <w:r>
              <w:rPr>
                <w:sz w:val="18"/>
              </w:rPr>
              <w:t>Primary mission</w:t>
            </w:r>
          </w:p>
        </w:tc>
        <w:tc>
          <w:tcPr>
            <w:tcW w:type="dxa" w:w="6912"/>
            <w:tcMar>
              <w:top w:w="80" w:type="dxa"/>
              <w:start w:w="100" w:type="dxa"/>
              <w:bottom w:w="80" w:type="dxa"/>
              <w:end w:w="100" w:type="dxa"/>
            </w:tcMar>
            <w:vAlign w:val="top"/>
          </w:tcPr>
          <w:p>
            <w:pPr>
              <w:spacing w:after="0"/>
            </w:pPr>
            <w:r>
              <w:rPr>
                <w:sz w:val="18"/>
              </w:rPr>
              <w:t>Discover transfer-validity boundaries across architectures and domains.</w:t>
            </w:r>
          </w:p>
        </w:tc>
      </w:tr>
      <w:tr>
        <w:tc>
          <w:tcPr>
            <w:tcW w:type="dxa" w:w="2592"/>
            <w:tcMar>
              <w:top w:w="80" w:type="dxa"/>
              <w:start w:w="100" w:type="dxa"/>
              <w:bottom w:w="80" w:type="dxa"/>
              <w:end w:w="100" w:type="dxa"/>
            </w:tcMar>
            <w:shd w:fill="F5F8F9"/>
            <w:vAlign w:val="top"/>
          </w:tcPr>
          <w:p>
            <w:pPr>
              <w:spacing w:after="0"/>
            </w:pPr>
            <w:r>
              <w:rPr>
                <w:sz w:val="18"/>
              </w:rPr>
              <w:t>Core object</w:t>
            </w:r>
          </w:p>
        </w:tc>
        <w:tc>
          <w:tcPr>
            <w:tcW w:type="dxa" w:w="6912"/>
            <w:tcMar>
              <w:top w:w="80" w:type="dxa"/>
              <w:start w:w="100" w:type="dxa"/>
              <w:bottom w:w="80" w:type="dxa"/>
              <w:end w:w="100" w:type="dxa"/>
            </w:tcMar>
            <w:shd w:fill="F5F8F9"/>
            <w:vAlign w:val="top"/>
          </w:tcPr>
          <w:p>
            <w:pPr>
              <w:spacing w:after="0"/>
            </w:pPr>
            <w:r>
              <w:rPr>
                <w:sz w:val="18"/>
              </w:rPr>
              <w:t>The translation chain: source mechanism -&gt; abstraction -&gt; candidate principle -&gt; destination mapping -&gt; destination test.</w:t>
            </w:r>
          </w:p>
        </w:tc>
      </w:tr>
      <w:tr>
        <w:tc>
          <w:tcPr>
            <w:tcW w:type="dxa" w:w="2592"/>
            <w:tcMar>
              <w:top w:w="80" w:type="dxa"/>
              <w:start w:w="100" w:type="dxa"/>
              <w:bottom w:w="80" w:type="dxa"/>
              <w:end w:w="100" w:type="dxa"/>
            </w:tcMar>
            <w:vAlign w:val="top"/>
          </w:tcPr>
          <w:p>
            <w:pPr>
              <w:spacing w:after="0"/>
            </w:pPr>
            <w:r>
              <w:rPr>
                <w:sz w:val="18"/>
              </w:rPr>
              <w:t>Primary failure target</w:t>
            </w:r>
          </w:p>
        </w:tc>
        <w:tc>
          <w:tcPr>
            <w:tcW w:type="dxa" w:w="6912"/>
            <w:tcMar>
              <w:top w:w="80" w:type="dxa"/>
              <w:start w:w="100" w:type="dxa"/>
              <w:bottom w:w="80" w:type="dxa"/>
              <w:end w:w="100" w:type="dxa"/>
            </w:tcMar>
            <w:vAlign w:val="top"/>
          </w:tcPr>
          <w:p>
            <w:pPr>
              <w:spacing w:after="0"/>
            </w:pPr>
            <w:r>
              <w:rPr>
                <w:sz w:val="18"/>
              </w:rPr>
              <w:t>False equivalence produced by excessive abstraction, stale models, scale mismatch, observer error, or inappropriate domain transfer.</w:t>
            </w:r>
          </w:p>
        </w:tc>
      </w:tr>
      <w:tr>
        <w:tc>
          <w:tcPr>
            <w:tcW w:type="dxa" w:w="2592"/>
            <w:tcMar>
              <w:top w:w="80" w:type="dxa"/>
              <w:start w:w="100" w:type="dxa"/>
              <w:bottom w:w="80" w:type="dxa"/>
              <w:end w:w="100" w:type="dxa"/>
            </w:tcMar>
            <w:shd w:fill="F5F8F9"/>
            <w:vAlign w:val="top"/>
          </w:tcPr>
          <w:p>
            <w:pPr>
              <w:spacing w:after="0"/>
            </w:pPr>
            <w:r>
              <w:rPr>
                <w:sz w:val="18"/>
              </w:rPr>
              <w:t>Primary success output</w:t>
            </w:r>
          </w:p>
        </w:tc>
        <w:tc>
          <w:tcPr>
            <w:tcW w:type="dxa" w:w="6912"/>
            <w:tcMar>
              <w:top w:w="80" w:type="dxa"/>
              <w:start w:w="100" w:type="dxa"/>
              <w:bottom w:w="80" w:type="dxa"/>
              <w:end w:w="100" w:type="dxa"/>
            </w:tcMar>
            <w:shd w:fill="F5F8F9"/>
            <w:vAlign w:val="top"/>
          </w:tcPr>
          <w:p>
            <w:pPr>
              <w:spacing w:after="0"/>
            </w:pPr>
            <w:r>
              <w:rPr>
                <w:sz w:val="18"/>
              </w:rPr>
              <w:t>A reproducible transfer claim with a stated validity envelope, boundary conditions, provenance, and known failure regimes.</w:t>
            </w:r>
          </w:p>
        </w:tc>
      </w:tr>
      <w:tr>
        <w:tc>
          <w:tcPr>
            <w:tcW w:type="dxa" w:w="2592"/>
            <w:tcMar>
              <w:top w:w="80" w:type="dxa"/>
              <w:start w:w="100" w:type="dxa"/>
              <w:bottom w:w="80" w:type="dxa"/>
              <w:end w:w="100" w:type="dxa"/>
            </w:tcMar>
            <w:vAlign w:val="top"/>
          </w:tcPr>
          <w:p>
            <w:pPr>
              <w:spacing w:after="0"/>
            </w:pPr>
            <w:r>
              <w:rPr>
                <w:sz w:val="18"/>
              </w:rPr>
              <w:t>Acceptable outcome</w:t>
            </w:r>
          </w:p>
        </w:tc>
        <w:tc>
          <w:tcPr>
            <w:tcW w:type="dxa" w:w="6912"/>
            <w:tcMar>
              <w:top w:w="80" w:type="dxa"/>
              <w:start w:w="100" w:type="dxa"/>
              <w:bottom w:w="80" w:type="dxa"/>
              <w:end w:w="100" w:type="dxa"/>
            </w:tcMar>
            <w:vAlign w:val="top"/>
          </w:tcPr>
          <w:p>
            <w:pPr>
              <w:spacing w:after="0"/>
            </w:pPr>
            <w:r>
              <w:rPr>
                <w:sz w:val="18"/>
              </w:rPr>
              <w:t>Supported transfer, conditional transfer, modified transfer, descriptive-only analogy, inconclusive result, or null transfer.</w:t>
            </w:r>
          </w:p>
        </w:tc>
      </w:tr>
      <w:tr>
        <w:tc>
          <w:tcPr>
            <w:tcW w:type="dxa" w:w="2592"/>
            <w:tcMar>
              <w:top w:w="80" w:type="dxa"/>
              <w:start w:w="100" w:type="dxa"/>
              <w:bottom w:w="80" w:type="dxa"/>
              <w:end w:w="100" w:type="dxa"/>
            </w:tcMar>
            <w:shd w:fill="F5F8F9"/>
            <w:vAlign w:val="top"/>
          </w:tcPr>
          <w:p>
            <w:pPr>
              <w:spacing w:after="0"/>
            </w:pPr>
            <w:r>
              <w:rPr>
                <w:sz w:val="18"/>
              </w:rPr>
              <w:t>Data posture</w:t>
            </w:r>
          </w:p>
        </w:tc>
        <w:tc>
          <w:tcPr>
            <w:tcW w:type="dxa" w:w="6912"/>
            <w:tcMar>
              <w:top w:w="80" w:type="dxa"/>
              <w:start w:w="100" w:type="dxa"/>
              <w:bottom w:w="80" w:type="dxa"/>
              <w:end w:w="100" w:type="dxa"/>
            </w:tcMar>
            <w:shd w:fill="F5F8F9"/>
            <w:vAlign w:val="top"/>
          </w:tcPr>
          <w:p>
            <w:pPr>
              <w:spacing w:after="0"/>
            </w:pPr>
            <w:r>
              <w:rPr>
                <w:sz w:val="18"/>
              </w:rPr>
              <w:t>Synthetic-first; sensitive human biological, neural, or genetic data excluded from the minimum viable program.</w:t>
            </w:r>
          </w:p>
        </w:tc>
      </w:tr>
      <w:tr>
        <w:tc>
          <w:tcPr>
            <w:tcW w:type="dxa" w:w="2592"/>
            <w:tcMar>
              <w:top w:w="80" w:type="dxa"/>
              <w:start w:w="100" w:type="dxa"/>
              <w:bottom w:w="80" w:type="dxa"/>
              <w:end w:w="100" w:type="dxa"/>
            </w:tcMar>
            <w:vAlign w:val="top"/>
          </w:tcPr>
          <w:p>
            <w:pPr>
              <w:spacing w:after="0"/>
            </w:pPr>
            <w:r>
              <w:rPr>
                <w:sz w:val="18"/>
              </w:rPr>
              <w:t>Governance posture</w:t>
            </w:r>
          </w:p>
        </w:tc>
        <w:tc>
          <w:tcPr>
            <w:tcW w:type="dxa" w:w="6912"/>
            <w:tcMar>
              <w:top w:w="80" w:type="dxa"/>
              <w:start w:w="100" w:type="dxa"/>
              <w:bottom w:w="80" w:type="dxa"/>
              <w:end w:w="100" w:type="dxa"/>
            </w:tcMar>
            <w:vAlign w:val="top"/>
          </w:tcPr>
          <w:p>
            <w:pPr>
              <w:spacing w:after="0"/>
            </w:pPr>
            <w:r>
              <w:rPr>
                <w:sz w:val="18"/>
              </w:rPr>
              <w:t>Versioned, auditable, dissent-preserving, and explicit about epistemic status.</w:t>
            </w:r>
          </w:p>
        </w:tc>
      </w:tr>
    </w:tbl>
    <w:p/>
    <w:p>
      <w:pPr>
        <w:pStyle w:val="Heading1"/>
      </w:pPr>
      <w:r>
        <w:t>1. Mission</w:t>
      </w:r>
    </w:p>
    <w:p>
      <w:r>
        <w:t>To build a durable simulation environment that determines whether cross-domain architectural principles remain valid after abstraction and translation, and to identify the conditions, scales, time horizons, observer assumptions, and model errors under which those transfers fail.</w:t>
      </w:r>
    </w:p>
    <w:p>
      <w:pPr>
        <w:pStyle w:val="Heading1"/>
      </w:pPr>
      <w:r>
        <w:t>2. Purpose</w:t>
      </w:r>
    </w:p>
    <w:p>
      <w:r>
        <w:t>ATBL exists to improve simulation architecture by making analogy, abstraction, model mismatch, and boundary conditions testable. Its purpose is to prevent the research program from confusing resemblance with mechanism; to provide a disciplined way to compare biological, engineered, computational, ecological, and fictional systems; and to turn disagreement among models or researchers into executable experiments.</w:t>
      </w:r>
    </w:p>
    <w:p>
      <w:pPr>
        <w:pStyle w:val="Heading1"/>
      </w:pPr>
      <w:r>
        <w:t>3. Strategic Value</w:t>
      </w:r>
    </w:p>
    <w:p>
      <w:r>
        <w:t>The laboratory supplies a missing quality-control layer for interdisciplinary simulation. It can validate candidate transfers before they are promoted into shared architecture, identify what must remain domain-specific, expose stale or overconfident internal models, and create reusable records showing why a transfer succeeded, failed, or only worked under narrow conditions.</w:t>
      </w:r>
    </w:p>
    <w:p>
      <w:pPr>
        <w:pStyle w:val="Heading1"/>
      </w:pPr>
      <w:r>
        <w:t>4. Governing Principles</w:t>
      </w:r>
    </w:p>
    <w:p>
      <w:r>
        <w:rPr>
          <w:b/>
        </w:rPr>
        <w:t xml:space="preserve">Similarity is not equivalence: </w:t>
      </w:r>
      <w:r>
        <w:t>Shared appearance, graph shape, or vocabulary does not establish shared mechanism.</w:t>
      </w:r>
    </w:p>
    <w:p>
      <w:r>
        <w:rPr>
          <w:b/>
        </w:rPr>
        <w:t xml:space="preserve">Mechanism before metaphor: </w:t>
      </w:r>
      <w:r>
        <w:t>Every transfer claim must name the source mechanism, the abstraction being exported, and the destination mechanism that will implement or test it.</w:t>
      </w:r>
    </w:p>
    <w:p>
      <w:r>
        <w:rPr>
          <w:b/>
        </w:rPr>
        <w:t xml:space="preserve">Domain physics remain sovereign: </w:t>
      </w:r>
      <w:r>
        <w:t>A common representation may organize experiments, but each domain retains its own equations, units, causal mechanisms, constraints, and validation rules.</w:t>
      </w:r>
    </w:p>
    <w:p>
      <w:r>
        <w:rPr>
          <w:b/>
        </w:rPr>
        <w:t xml:space="preserve">Uncertainty is a first-class state: </w:t>
      </w:r>
      <w:r>
        <w:t>Unknown, unobserved, uncertain, stale, and absent are distinct conditions.</w:t>
      </w:r>
    </w:p>
    <w:p>
      <w:r>
        <w:rPr>
          <w:b/>
        </w:rPr>
        <w:t xml:space="preserve">Model error is experimentally useful: </w:t>
      </w:r>
      <w:r>
        <w:t>A controller may fail because the world is difficult, because its map is wrong, or because it is overconfident about a partial map.</w:t>
      </w:r>
    </w:p>
    <w:p>
      <w:r>
        <w:rPr>
          <w:b/>
        </w:rPr>
        <w:t xml:space="preserve">Null transfer is valid: </w:t>
      </w:r>
      <w:r>
        <w:t>The laboratory must be able to conclude that no useful principle transferred.</w:t>
      </w:r>
    </w:p>
    <w:p>
      <w:r>
        <w:rPr>
          <w:b/>
        </w:rPr>
        <w:t xml:space="preserve">Dissent generates experiments: </w:t>
      </w:r>
      <w:r>
        <w:t>Competing explanations are preserved and translated into discriminating tests.</w:t>
      </w:r>
    </w:p>
    <w:p>
      <w:r>
        <w:rPr>
          <w:b/>
        </w:rPr>
        <w:t xml:space="preserve">Sensitive data are not required for proof of concept: </w:t>
      </w:r>
      <w:r>
        <w:t>The first research program uses synthetic and public non-identifiable architectures.</w:t>
      </w:r>
    </w:p>
    <w:p>
      <w:r>
        <w:rPr>
          <w:b/>
        </w:rPr>
        <w:t xml:space="preserve">Versioning is part of scientific integrity: </w:t>
      </w:r>
      <w:r>
        <w:t>Claims, schemas, mappings, and experiments must retain provenance and superseded versions.</w:t>
      </w:r>
    </w:p>
    <w:p>
      <w:r>
        <w:rPr>
          <w:b/>
        </w:rPr>
        <w:t xml:space="preserve">Boundary discovery is success: </w:t>
      </w:r>
      <w:r>
        <w:t>Finding where a principle stops working is as valuable as demonstrating where it works.</w:t>
      </w:r>
    </w:p>
    <w:p>
      <w:pPr>
        <w:pStyle w:val="Heading1"/>
      </w:pPr>
      <w:r>
        <w:t>5. Scope and Non-Scope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608"/>
            <w:shd w:fill="133B4A"/>
            <w:tcMar>
              <w:top w:w="90" w:type="dxa"/>
              <w:start w:w="100" w:type="dxa"/>
              <w:bottom w:w="90" w:type="dxa"/>
              <w:end w:w="100" w:type="dxa"/>
            </w:tcMar>
            <w:vAlign w:val="center"/>
          </w:tcPr>
          <w:p>
            <w:r>
              <w:rPr>
                <w:b/>
                <w:color w:val="FFFFFF"/>
                <w:sz w:val="19"/>
              </w:rPr>
              <w:t>In Scope</w:t>
            </w:r>
          </w:p>
        </w:tc>
        <w:tc>
          <w:tcPr>
            <w:tcW w:type="dxa" w:w="4896"/>
            <w:shd w:fill="133B4A"/>
            <w:tcMar>
              <w:top w:w="90" w:type="dxa"/>
              <w:start w:w="100" w:type="dxa"/>
              <w:bottom w:w="90" w:type="dxa"/>
              <w:end w:w="100" w:type="dxa"/>
            </w:tcMar>
            <w:vAlign w:val="center"/>
          </w:tcPr>
          <w:p>
            <w:r>
              <w:rPr>
                <w:b/>
                <w:color w:val="FFFFFF"/>
                <w:sz w:val="19"/>
              </w:rPr>
              <w:t>Out of Scope for v1.0</w:t>
            </w:r>
          </w:p>
        </w:tc>
      </w:tr>
      <w:tr>
        <w:tc>
          <w:tcPr>
            <w:tcW w:type="dxa" w:w="4608"/>
            <w:tcMar>
              <w:top w:w="80" w:type="dxa"/>
              <w:start w:w="100" w:type="dxa"/>
              <w:bottom w:w="80" w:type="dxa"/>
              <w:end w:w="100" w:type="dxa"/>
            </w:tcMar>
            <w:vAlign w:val="top"/>
          </w:tcPr>
          <w:p>
            <w:pPr>
              <w:spacing w:after="0"/>
            </w:pPr>
            <w:r>
              <w:rPr>
                <w:sz w:val="18"/>
              </w:rPr>
              <w:t>Synthetic network architectures and controlled perturbation</w:t>
            </w:r>
          </w:p>
        </w:tc>
        <w:tc>
          <w:tcPr>
            <w:tcW w:type="dxa" w:w="4896"/>
            <w:tcMar>
              <w:top w:w="80" w:type="dxa"/>
              <w:start w:w="100" w:type="dxa"/>
              <w:bottom w:w="80" w:type="dxa"/>
              <w:end w:w="100" w:type="dxa"/>
            </w:tcMar>
            <w:vAlign w:val="top"/>
          </w:tcPr>
          <w:p>
            <w:pPr>
              <w:spacing w:after="0"/>
            </w:pPr>
            <w:r>
              <w:rPr>
                <w:sz w:val="18"/>
              </w:rPr>
              <w:t>Clinical recommendation or patient-specific vascular-access guidance</w:t>
            </w:r>
          </w:p>
        </w:tc>
      </w:tr>
      <w:tr>
        <w:tc>
          <w:tcPr>
            <w:tcW w:type="dxa" w:w="4608"/>
            <w:tcMar>
              <w:top w:w="80" w:type="dxa"/>
              <w:start w:w="100" w:type="dxa"/>
              <w:bottom w:w="80" w:type="dxa"/>
              <w:end w:w="100" w:type="dxa"/>
            </w:tcMar>
            <w:shd w:fill="F5F8F9"/>
            <w:vAlign w:val="top"/>
          </w:tcPr>
          <w:p>
            <w:pPr>
              <w:spacing w:after="0"/>
            </w:pPr>
            <w:r>
              <w:rPr>
                <w:sz w:val="18"/>
              </w:rPr>
              <w:t>Cross-domain abstraction and translation tests</w:t>
            </w:r>
          </w:p>
        </w:tc>
        <w:tc>
          <w:tcPr>
            <w:tcW w:type="dxa" w:w="4896"/>
            <w:tcMar>
              <w:top w:w="80" w:type="dxa"/>
              <w:start w:w="100" w:type="dxa"/>
              <w:bottom w:w="80" w:type="dxa"/>
              <w:end w:w="100" w:type="dxa"/>
            </w:tcMar>
            <w:shd w:fill="F5F8F9"/>
            <w:vAlign w:val="top"/>
          </w:tcPr>
          <w:p>
            <w:pPr>
              <w:spacing w:after="0"/>
            </w:pPr>
            <w:r>
              <w:rPr>
                <w:sz w:val="18"/>
              </w:rPr>
              <w:t>Claims that neural state fully determines real-world learnability</w:t>
            </w:r>
          </w:p>
        </w:tc>
      </w:tr>
      <w:tr>
        <w:tc>
          <w:tcPr>
            <w:tcW w:type="dxa" w:w="4608"/>
            <w:tcMar>
              <w:top w:w="80" w:type="dxa"/>
              <w:start w:w="100" w:type="dxa"/>
              <w:bottom w:w="80" w:type="dxa"/>
              <w:end w:w="100" w:type="dxa"/>
            </w:tcMar>
            <w:vAlign w:val="top"/>
          </w:tcPr>
          <w:p>
            <w:pPr>
              <w:spacing w:after="0"/>
            </w:pPr>
            <w:r>
              <w:rPr>
                <w:sz w:val="18"/>
              </w:rPr>
              <w:t>Map-reality mismatch, stale models, confidence calibration</w:t>
            </w:r>
          </w:p>
        </w:tc>
        <w:tc>
          <w:tcPr>
            <w:tcW w:type="dxa" w:w="4896"/>
            <w:tcMar>
              <w:top w:w="80" w:type="dxa"/>
              <w:start w:w="100" w:type="dxa"/>
              <w:bottom w:w="80" w:type="dxa"/>
              <w:end w:w="100" w:type="dxa"/>
            </w:tcMar>
            <w:vAlign w:val="top"/>
          </w:tcPr>
          <w:p>
            <w:pPr>
              <w:spacing w:after="0"/>
            </w:pPr>
            <w:r>
              <w:rPr>
                <w:sz w:val="18"/>
              </w:rPr>
              <w:t>Nonconsensual genetic, neural, biometric, or health-data collection</w:t>
            </w:r>
          </w:p>
        </w:tc>
      </w:tr>
      <w:tr>
        <w:tc>
          <w:tcPr>
            <w:tcW w:type="dxa" w:w="4608"/>
            <w:tcMar>
              <w:top w:w="80" w:type="dxa"/>
              <w:start w:w="100" w:type="dxa"/>
              <w:bottom w:w="80" w:type="dxa"/>
              <w:end w:w="100" w:type="dxa"/>
            </w:tcMar>
            <w:shd w:fill="F5F8F9"/>
            <w:vAlign w:val="top"/>
          </w:tcPr>
          <w:p>
            <w:pPr>
              <w:spacing w:after="0"/>
            </w:pPr>
            <w:r>
              <w:rPr>
                <w:sz w:val="18"/>
              </w:rPr>
              <w:t>Scale, time, and environmental transfer</w:t>
            </w:r>
          </w:p>
        </w:tc>
        <w:tc>
          <w:tcPr>
            <w:tcW w:type="dxa" w:w="4896"/>
            <w:tcMar>
              <w:top w:w="80" w:type="dxa"/>
              <w:start w:w="100" w:type="dxa"/>
              <w:bottom w:w="80" w:type="dxa"/>
              <w:end w:w="100" w:type="dxa"/>
            </w:tcMar>
            <w:shd w:fill="F5F8F9"/>
            <w:vAlign w:val="top"/>
          </w:tcPr>
          <w:p>
            <w:pPr>
              <w:spacing w:after="0"/>
            </w:pPr>
            <w:r>
              <w:rPr>
                <w:sz w:val="18"/>
              </w:rPr>
              <w:t>Universal equations that collapse unrelated physical domains</w:t>
            </w:r>
          </w:p>
        </w:tc>
      </w:tr>
      <w:tr>
        <w:tc>
          <w:tcPr>
            <w:tcW w:type="dxa" w:w="4608"/>
            <w:tcMar>
              <w:top w:w="80" w:type="dxa"/>
              <w:start w:w="100" w:type="dxa"/>
              <w:bottom w:w="80" w:type="dxa"/>
              <w:end w:w="100" w:type="dxa"/>
            </w:tcMar>
            <w:vAlign w:val="top"/>
          </w:tcPr>
          <w:p>
            <w:pPr>
              <w:spacing w:after="0"/>
            </w:pPr>
            <w:r>
              <w:rPr>
                <w:sz w:val="18"/>
              </w:rPr>
              <w:t>Mechanism-preserving versus mechanism-losing abstraction</w:t>
            </w:r>
          </w:p>
        </w:tc>
        <w:tc>
          <w:tcPr>
            <w:tcW w:type="dxa" w:w="4896"/>
            <w:tcMar>
              <w:top w:w="80" w:type="dxa"/>
              <w:start w:w="100" w:type="dxa"/>
              <w:bottom w:w="80" w:type="dxa"/>
              <w:end w:w="100" w:type="dxa"/>
            </w:tcMar>
            <w:vAlign w:val="top"/>
          </w:tcPr>
          <w:p>
            <w:pPr>
              <w:spacing w:after="0"/>
            </w:pPr>
            <w:r>
              <w:rPr>
                <w:sz w:val="18"/>
              </w:rPr>
              <w:t>Promotion of simulation output to canon without review</w:t>
            </w:r>
          </w:p>
        </w:tc>
      </w:tr>
      <w:tr>
        <w:tc>
          <w:tcPr>
            <w:tcW w:type="dxa" w:w="4608"/>
            <w:tcMar>
              <w:top w:w="80" w:type="dxa"/>
              <w:start w:w="100" w:type="dxa"/>
              <w:bottom w:w="80" w:type="dxa"/>
              <w:end w:w="100" w:type="dxa"/>
            </w:tcMar>
            <w:shd w:fill="F5F8F9"/>
            <w:vAlign w:val="top"/>
          </w:tcPr>
          <w:p>
            <w:pPr>
              <w:spacing w:after="0"/>
            </w:pPr>
            <w:r>
              <w:rPr>
                <w:sz w:val="18"/>
              </w:rPr>
              <w:t>Fictional systems as clearly labeled research objects</w:t>
            </w:r>
          </w:p>
        </w:tc>
        <w:tc>
          <w:tcPr>
            <w:tcW w:type="dxa" w:w="4896"/>
            <w:tcMar>
              <w:top w:w="80" w:type="dxa"/>
              <w:start w:w="100" w:type="dxa"/>
              <w:bottom w:w="80" w:type="dxa"/>
              <w:end w:w="100" w:type="dxa"/>
            </w:tcMar>
            <w:shd w:fill="F5F8F9"/>
            <w:vAlign w:val="top"/>
          </w:tcPr>
          <w:p>
            <w:pPr>
              <w:spacing w:after="0"/>
            </w:pPr>
            <w:r>
              <w:rPr>
                <w:sz w:val="18"/>
              </w:rPr>
              <w:t>Treating fictional mechanics as established neuroscience or physiology</w:t>
            </w:r>
          </w:p>
        </w:tc>
      </w:tr>
      <w:tr>
        <w:tc>
          <w:tcPr>
            <w:tcW w:type="dxa" w:w="4608"/>
            <w:tcMar>
              <w:top w:w="80" w:type="dxa"/>
              <w:start w:w="100" w:type="dxa"/>
              <w:bottom w:w="80" w:type="dxa"/>
              <w:end w:w="100" w:type="dxa"/>
            </w:tcMar>
            <w:vAlign w:val="top"/>
          </w:tcPr>
          <w:p>
            <w:pPr>
              <w:spacing w:after="0"/>
            </w:pPr>
            <w:r>
              <w:rPr>
                <w:sz w:val="18"/>
              </w:rPr>
              <w:t>Dissent, negative results, and failure analysis</w:t>
            </w:r>
          </w:p>
        </w:tc>
        <w:tc>
          <w:tcPr>
            <w:tcW w:type="dxa" w:w="4896"/>
            <w:tcMar>
              <w:top w:w="80" w:type="dxa"/>
              <w:start w:w="100" w:type="dxa"/>
              <w:bottom w:w="80" w:type="dxa"/>
              <w:end w:w="100" w:type="dxa"/>
            </w:tcMar>
            <w:vAlign w:val="top"/>
          </w:tcPr>
          <w:p>
            <w:pPr>
              <w:spacing w:after="0"/>
            </w:pPr>
            <w:r>
              <w:rPr>
                <w:sz w:val="18"/>
              </w:rPr>
              <w:t>Optimizing for visual similarity or dramatic output alone</w:t>
            </w:r>
          </w:p>
        </w:tc>
      </w:tr>
    </w:tbl>
    <w:p/>
    <w:p>
      <w:pPr>
        <w:pStyle w:val="Heading1"/>
      </w:pPr>
      <w:r>
        <w:t>6. Core Research Questions</w:t>
      </w:r>
    </w:p>
    <w:p>
      <w:pPr>
        <w:pStyle w:val="ListNumber"/>
      </w:pPr>
      <w:r>
        <w:t>What information must be preserved for a cross-domain transfer to remain mechanically meaningful?</w:t>
      </w:r>
    </w:p>
    <w:p>
      <w:pPr>
        <w:pStyle w:val="ListNumber"/>
      </w:pPr>
      <w:r>
        <w:t>Which properties survive abstraction: topology, control logic, feedback structure, capacity relationships, failure modes, or only qualitative strategy?</w:t>
      </w:r>
    </w:p>
    <w:p>
      <w:pPr>
        <w:pStyle w:val="ListNumber"/>
      </w:pPr>
      <w:r>
        <w:t>How can a validity envelope be measured rather than asserted?</w:t>
      </w:r>
    </w:p>
    <w:p>
      <w:pPr>
        <w:pStyle w:val="ListNumber"/>
      </w:pPr>
      <w:r>
        <w:t>How does intervention quality degrade as the controller's model diverges from the actual system?</w:t>
      </w:r>
    </w:p>
    <w:p>
      <w:pPr>
        <w:pStyle w:val="ListNumber"/>
      </w:pPr>
      <w:r>
        <w:t>When is acknowledged uncertainty safer than incorrect certainty?</w:t>
      </w:r>
    </w:p>
    <w:p>
      <w:pPr>
        <w:pStyle w:val="ListNumber"/>
      </w:pPr>
      <w:r>
        <w:t>At what spatial, organizational, or temporal scale does a useful analogy cease to predict behavior?</w:t>
      </w:r>
    </w:p>
    <w:p>
      <w:pPr>
        <w:pStyle w:val="ListNumber"/>
      </w:pPr>
      <w:r>
        <w:t>Which apparently transferable principles reverse sign or become harmful in a destination domain?</w:t>
      </w:r>
    </w:p>
    <w:p>
      <w:pPr>
        <w:pStyle w:val="ListNumber"/>
      </w:pPr>
      <w:r>
        <w:t>How can a laboratory distinguish causal transfer from superficial visual resemblance?</w:t>
      </w:r>
    </w:p>
    <w:p>
      <w:pPr>
        <w:pStyle w:val="ListNumber"/>
      </w:pPr>
      <w:r>
        <w:t>What experimental evidence should be required before a translated principle is incorporated into a reusable architecture library?</w:t>
      </w:r>
    </w:p>
    <w:p>
      <w:pPr>
        <w:pStyle w:val="ListNumber"/>
      </w:pPr>
      <w:r>
        <w:t>How should competing explanations be preserved so that future experiments can distinguish them?</w:t>
      </w:r>
    </w:p>
    <w:p>
      <w:pPr>
        <w:pStyle w:val="Heading1"/>
      </w:pPr>
      <w:r>
        <w:t>7. Laboratory Framework</w:t>
      </w:r>
    </w:p>
    <w:p>
      <w:pPr>
        <w:pStyle w:val="Heading2"/>
      </w:pPr>
      <w:r>
        <w:t>7.1 Translation Chain</w:t>
      </w:r>
    </w:p>
    <w:tbl>
      <w:tblPr>
        <w:tblW w:type="auto" w:w="0"/>
        <w:jc w:val="center"/>
        <w:tblLayout w:type="autofit"/>
        <w:tblLook w:firstColumn="1" w:firstRow="1" w:lastColumn="0" w:lastRow="0" w:noHBand="0" w:noVBand="1" w:val="04A0"/>
      </w:tblPr>
      <w:tblGrid>
        <w:gridCol w:w="9878"/>
      </w:tblGrid>
      <w:tr>
        <w:tc>
          <w:tcPr>
            <w:tcW w:type="dxa" w:w="9878"/>
            <w:shd w:fill="0E5963"/>
            <w:tcMar>
              <w:top w:w="100" w:type="dxa"/>
              <w:start w:w="150" w:type="dxa"/>
              <w:bottom w:w="80" w:type="dxa"/>
              <w:end w:w="150" w:type="dxa"/>
            </w:tcMar>
          </w:tcPr>
          <w:p>
            <w:r>
              <w:rPr>
                <w:b/>
                <w:color w:val="FFFFFF"/>
                <w:sz w:val="21"/>
              </w:rPr>
              <w:t>Canonical Translation Chain</w:t>
            </w:r>
          </w:p>
        </w:tc>
      </w:tr>
      <w:tr>
        <w:tc>
          <w:tcPr>
            <w:tcW w:type="dxa" w:w="9878"/>
            <w:shd w:fill="EDF6F7"/>
            <w:tcMar>
              <w:top w:w="120" w:type="dxa"/>
              <w:start w:w="150" w:type="dxa"/>
              <w:bottom w:w="120" w:type="dxa"/>
              <w:end w:w="150" w:type="dxa"/>
            </w:tcMar>
          </w:tcPr>
          <w:p>
            <w:pPr>
              <w:spacing w:after="0"/>
            </w:pPr>
            <w:r>
              <w:t>Source system -&gt; source mechanism -&gt; observed behavior -&gt; abstraction -&gt; candidate principle -&gt; destination mapping -&gt; destination mechanism -&gt; experiment -&gt; outcome -&gt; transfer status -&gt; validity envelope -&gt; provenance update.</w:t>
            </w:r>
          </w:p>
        </w:tc>
      </w:tr>
    </w:tbl>
    <w:p/>
    <w:p>
      <w:r>
        <w:t>Every cross-domain claim must be traceable through this chain. A claim that skips the source mechanism or the destination mechanism is considered under-specified and cannot receive a supported transfer status.</w:t>
      </w:r>
    </w:p>
    <w:p>
      <w:pPr>
        <w:pStyle w:val="Heading2"/>
      </w:pPr>
      <w:r>
        <w:t>7.2 Matrix Contract</w:t>
      </w:r>
    </w:p>
    <w:p>
      <w:r>
        <w:t>Each domain must declare what the word “matrix” means in that model. The contract prevents one project from using matrix to mean embedding environment while another silently uses it to mean transport graph, state space, or material medium.</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92"/>
            <w:shd w:fill="133B4A"/>
            <w:tcMar>
              <w:top w:w="90" w:type="dxa"/>
              <w:start w:w="100" w:type="dxa"/>
              <w:bottom w:w="90" w:type="dxa"/>
              <w:end w:w="100" w:type="dxa"/>
            </w:tcMar>
            <w:vAlign w:val="center"/>
          </w:tcPr>
          <w:p>
            <w:r>
              <w:rPr>
                <w:b/>
                <w:color w:val="FFFFFF"/>
                <w:sz w:val="19"/>
              </w:rPr>
              <w:t>Contract field</w:t>
            </w:r>
          </w:p>
        </w:tc>
        <w:tc>
          <w:tcPr>
            <w:tcW w:type="dxa" w:w="6912"/>
            <w:shd w:fill="133B4A"/>
            <w:tcMar>
              <w:top w:w="90" w:type="dxa"/>
              <w:start w:w="100" w:type="dxa"/>
              <w:bottom w:w="90" w:type="dxa"/>
              <w:end w:w="100" w:type="dxa"/>
            </w:tcMar>
            <w:vAlign w:val="center"/>
          </w:tcPr>
          <w:p>
            <w:r>
              <w:rPr>
                <w:b/>
                <w:color w:val="FFFFFF"/>
                <w:sz w:val="19"/>
              </w:rPr>
              <w:t>Required declaration</w:t>
            </w:r>
          </w:p>
        </w:tc>
      </w:tr>
      <w:tr>
        <w:tc>
          <w:tcPr>
            <w:tcW w:type="dxa" w:w="2592"/>
            <w:tcMar>
              <w:top w:w="80" w:type="dxa"/>
              <w:start w:w="100" w:type="dxa"/>
              <w:bottom w:w="80" w:type="dxa"/>
              <w:end w:w="100" w:type="dxa"/>
            </w:tcMar>
            <w:vAlign w:val="top"/>
          </w:tcPr>
          <w:p>
            <w:pPr>
              <w:spacing w:after="0"/>
            </w:pPr>
            <w:r>
              <w:rPr>
                <w:sz w:val="18"/>
              </w:rPr>
              <w:t>Matrix role</w:t>
            </w:r>
          </w:p>
        </w:tc>
        <w:tc>
          <w:tcPr>
            <w:tcW w:type="dxa" w:w="6912"/>
            <w:tcMar>
              <w:top w:w="80" w:type="dxa"/>
              <w:start w:w="100" w:type="dxa"/>
              <w:bottom w:w="80" w:type="dxa"/>
              <w:end w:w="100" w:type="dxa"/>
            </w:tcMar>
            <w:vAlign w:val="top"/>
          </w:tcPr>
          <w:p>
            <w:pPr>
              <w:spacing w:after="0"/>
            </w:pPr>
            <w:r>
              <w:rPr>
                <w:sz w:val="18"/>
              </w:rPr>
              <w:t>Embedding environment, spatial substrate, graph structure, state-space container, or other explicit role.</w:t>
            </w:r>
          </w:p>
        </w:tc>
      </w:tr>
      <w:tr>
        <w:tc>
          <w:tcPr>
            <w:tcW w:type="dxa" w:w="2592"/>
            <w:tcMar>
              <w:top w:w="80" w:type="dxa"/>
              <w:start w:w="100" w:type="dxa"/>
              <w:bottom w:w="80" w:type="dxa"/>
              <w:end w:w="100" w:type="dxa"/>
            </w:tcMar>
            <w:shd w:fill="F5F8F9"/>
            <w:vAlign w:val="top"/>
          </w:tcPr>
          <w:p>
            <w:pPr>
              <w:spacing w:after="0"/>
            </w:pPr>
            <w:r>
              <w:rPr>
                <w:sz w:val="18"/>
              </w:rPr>
              <w:t>Contained entities</w:t>
            </w:r>
          </w:p>
        </w:tc>
        <w:tc>
          <w:tcPr>
            <w:tcW w:type="dxa" w:w="6912"/>
            <w:tcMar>
              <w:top w:w="80" w:type="dxa"/>
              <w:start w:w="100" w:type="dxa"/>
              <w:bottom w:w="80" w:type="dxa"/>
              <w:end w:w="100" w:type="dxa"/>
            </w:tcMar>
            <w:shd w:fill="F5F8F9"/>
            <w:vAlign w:val="top"/>
          </w:tcPr>
          <w:p>
            <w:pPr>
              <w:spacing w:after="0"/>
            </w:pPr>
            <w:r>
              <w:rPr>
                <w:sz w:val="18"/>
              </w:rPr>
              <w:t>What exists inside the matrix.</w:t>
            </w:r>
          </w:p>
        </w:tc>
      </w:tr>
      <w:tr>
        <w:tc>
          <w:tcPr>
            <w:tcW w:type="dxa" w:w="2592"/>
            <w:tcMar>
              <w:top w:w="80" w:type="dxa"/>
              <w:start w:w="100" w:type="dxa"/>
              <w:bottom w:w="80" w:type="dxa"/>
              <w:end w:w="100" w:type="dxa"/>
            </w:tcMar>
            <w:vAlign w:val="top"/>
          </w:tcPr>
          <w:p>
            <w:pPr>
              <w:spacing w:after="0"/>
            </w:pPr>
            <w:r>
              <w:rPr>
                <w:sz w:val="18"/>
              </w:rPr>
              <w:t>Permitted interactions</w:t>
            </w:r>
          </w:p>
        </w:tc>
        <w:tc>
          <w:tcPr>
            <w:tcW w:type="dxa" w:w="6912"/>
            <w:tcMar>
              <w:top w:w="80" w:type="dxa"/>
              <w:start w:w="100" w:type="dxa"/>
              <w:bottom w:w="80" w:type="dxa"/>
              <w:end w:w="100" w:type="dxa"/>
            </w:tcMar>
            <w:vAlign w:val="top"/>
          </w:tcPr>
          <w:p>
            <w:pPr>
              <w:spacing w:after="0"/>
            </w:pPr>
            <w:r>
              <w:rPr>
                <w:sz w:val="18"/>
              </w:rPr>
              <w:t>What entities may do within the matrix.</w:t>
            </w:r>
          </w:p>
        </w:tc>
      </w:tr>
      <w:tr>
        <w:tc>
          <w:tcPr>
            <w:tcW w:type="dxa" w:w="2592"/>
            <w:tcMar>
              <w:top w:w="80" w:type="dxa"/>
              <w:start w:w="100" w:type="dxa"/>
              <w:bottom w:w="80" w:type="dxa"/>
              <w:end w:w="100" w:type="dxa"/>
            </w:tcMar>
            <w:shd w:fill="F5F8F9"/>
            <w:vAlign w:val="top"/>
          </w:tcPr>
          <w:p>
            <w:pPr>
              <w:spacing w:after="0"/>
            </w:pPr>
            <w:r>
              <w:rPr>
                <w:sz w:val="18"/>
              </w:rPr>
              <w:t>Boundary conditions</w:t>
            </w:r>
          </w:p>
        </w:tc>
        <w:tc>
          <w:tcPr>
            <w:tcW w:type="dxa" w:w="6912"/>
            <w:tcMar>
              <w:top w:w="80" w:type="dxa"/>
              <w:start w:w="100" w:type="dxa"/>
              <w:bottom w:w="80" w:type="dxa"/>
              <w:end w:w="100" w:type="dxa"/>
            </w:tcMar>
            <w:shd w:fill="F5F8F9"/>
            <w:vAlign w:val="top"/>
          </w:tcPr>
          <w:p>
            <w:pPr>
              <w:spacing w:after="0"/>
            </w:pPr>
            <w:r>
              <w:rPr>
                <w:sz w:val="18"/>
              </w:rPr>
              <w:t>What defines the extent of the matrix and its interfaces.</w:t>
            </w:r>
          </w:p>
        </w:tc>
      </w:tr>
      <w:tr>
        <w:tc>
          <w:tcPr>
            <w:tcW w:type="dxa" w:w="2592"/>
            <w:tcMar>
              <w:top w:w="80" w:type="dxa"/>
              <w:start w:w="100" w:type="dxa"/>
              <w:bottom w:w="80" w:type="dxa"/>
              <w:end w:w="100" w:type="dxa"/>
            </w:tcMar>
            <w:vAlign w:val="top"/>
          </w:tcPr>
          <w:p>
            <w:pPr>
              <w:spacing w:after="0"/>
            </w:pPr>
            <w:r>
              <w:rPr>
                <w:sz w:val="18"/>
              </w:rPr>
              <w:t>Dynamic behavior</w:t>
            </w:r>
          </w:p>
        </w:tc>
        <w:tc>
          <w:tcPr>
            <w:tcW w:type="dxa" w:w="6912"/>
            <w:tcMar>
              <w:top w:w="80" w:type="dxa"/>
              <w:start w:w="100" w:type="dxa"/>
              <w:bottom w:w="80" w:type="dxa"/>
              <w:end w:w="100" w:type="dxa"/>
            </w:tcMar>
            <w:vAlign w:val="top"/>
          </w:tcPr>
          <w:p>
            <w:pPr>
              <w:spacing w:after="0"/>
            </w:pPr>
            <w:r>
              <w:rPr>
                <w:sz w:val="18"/>
              </w:rPr>
              <w:t>Whether the matrix itself can grow, deform, learn, erode, rewire, or otherwise change.</w:t>
            </w:r>
          </w:p>
        </w:tc>
      </w:tr>
      <w:tr>
        <w:tc>
          <w:tcPr>
            <w:tcW w:type="dxa" w:w="2592"/>
            <w:tcMar>
              <w:top w:w="80" w:type="dxa"/>
              <w:start w:w="100" w:type="dxa"/>
              <w:bottom w:w="80" w:type="dxa"/>
              <w:end w:w="100" w:type="dxa"/>
            </w:tcMar>
            <w:shd w:fill="F5F8F9"/>
            <w:vAlign w:val="top"/>
          </w:tcPr>
          <w:p>
            <w:pPr>
              <w:spacing w:after="0"/>
            </w:pPr>
            <w:r>
              <w:rPr>
                <w:sz w:val="18"/>
              </w:rPr>
              <w:t>Observability</w:t>
            </w:r>
          </w:p>
        </w:tc>
        <w:tc>
          <w:tcPr>
            <w:tcW w:type="dxa" w:w="6912"/>
            <w:tcMar>
              <w:top w:w="80" w:type="dxa"/>
              <w:start w:w="100" w:type="dxa"/>
              <w:bottom w:w="80" w:type="dxa"/>
              <w:end w:w="100" w:type="dxa"/>
            </w:tcMar>
            <w:shd w:fill="F5F8F9"/>
            <w:vAlign w:val="top"/>
          </w:tcPr>
          <w:p>
            <w:pPr>
              <w:spacing w:after="0"/>
            </w:pPr>
            <w:r>
              <w:rPr>
                <w:sz w:val="18"/>
              </w:rPr>
              <w:t>Which parts of the matrix can be directly or indirectly observed.</w:t>
            </w:r>
          </w:p>
        </w:tc>
      </w:tr>
    </w:tbl>
    <w:p/>
    <w:p>
      <w:pPr>
        <w:pStyle w:val="Heading2"/>
      </w:pPr>
      <w:r>
        <w:t>7.3 Driving Variable Contract</w:t>
      </w:r>
    </w:p>
    <w:p>
      <w:r>
        <w:t>ATBL does not use a universal variable called pressure. Each domain declares the quantity or rule that produces change or movement. Hydraulic pressure, voltage, water potential, concentration gradients, demand, queue load, or an abstract control signal may occupy an analogous modeling role without being physically interchangeable.</w:t>
      </w:r>
    </w:p>
    <w:p>
      <w:pPr>
        <w:pStyle w:val="Heading1"/>
      </w:pPr>
      <w:r>
        <w:t>8. Core Laboratory Objects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448"/>
            <w:shd w:fill="133B4A"/>
            <w:tcMar>
              <w:top w:w="90" w:type="dxa"/>
              <w:start w:w="100" w:type="dxa"/>
              <w:bottom w:w="90" w:type="dxa"/>
              <w:end w:w="100" w:type="dxa"/>
            </w:tcMar>
            <w:vAlign w:val="center"/>
          </w:tcPr>
          <w:p>
            <w:r>
              <w:rPr>
                <w:b/>
                <w:color w:val="FFFFFF"/>
                <w:sz w:val="19"/>
              </w:rPr>
              <w:t>Object</w:t>
            </w:r>
          </w:p>
        </w:tc>
        <w:tc>
          <w:tcPr>
            <w:tcW w:type="dxa" w:w="7056"/>
            <w:shd w:fill="133B4A"/>
            <w:tcMar>
              <w:top w:w="90" w:type="dxa"/>
              <w:start w:w="100" w:type="dxa"/>
              <w:bottom w:w="90" w:type="dxa"/>
              <w:end w:w="100" w:type="dxa"/>
            </w:tcMar>
            <w:vAlign w:val="center"/>
          </w:tcPr>
          <w:p>
            <w:r>
              <w:rPr>
                <w:b/>
                <w:color w:val="FFFFFF"/>
                <w:sz w:val="19"/>
              </w:rPr>
              <w:t>Function</w:t>
            </w:r>
          </w:p>
        </w:tc>
      </w:tr>
      <w:tr>
        <w:tc>
          <w:tcPr>
            <w:tcW w:type="dxa" w:w="2448"/>
            <w:tcMar>
              <w:top w:w="80" w:type="dxa"/>
              <w:start w:w="100" w:type="dxa"/>
              <w:bottom w:w="80" w:type="dxa"/>
              <w:end w:w="100" w:type="dxa"/>
            </w:tcMar>
            <w:vAlign w:val="top"/>
          </w:tcPr>
          <w:p>
            <w:pPr>
              <w:spacing w:after="0"/>
            </w:pPr>
            <w:r>
              <w:rPr>
                <w:sz w:val="18"/>
              </w:rPr>
              <w:t>Transfer Certificate</w:t>
            </w:r>
          </w:p>
        </w:tc>
        <w:tc>
          <w:tcPr>
            <w:tcW w:type="dxa" w:w="7056"/>
            <w:tcMar>
              <w:top w:w="80" w:type="dxa"/>
              <w:start w:w="100" w:type="dxa"/>
              <w:bottom w:w="80" w:type="dxa"/>
              <w:end w:w="100" w:type="dxa"/>
            </w:tcMar>
            <w:vAlign w:val="top"/>
          </w:tcPr>
          <w:p>
            <w:pPr>
              <w:spacing w:after="0"/>
            </w:pPr>
            <w:r>
              <w:rPr>
                <w:sz w:val="18"/>
              </w:rPr>
              <w:t>Structured record of what was transferred, what was preserved, what was discarded, how the destination implemented the principle, what test was run, and what result occurred.</w:t>
            </w:r>
          </w:p>
        </w:tc>
      </w:tr>
      <w:tr>
        <w:tc>
          <w:tcPr>
            <w:tcW w:type="dxa" w:w="2448"/>
            <w:tcMar>
              <w:top w:w="80" w:type="dxa"/>
              <w:start w:w="100" w:type="dxa"/>
              <w:bottom w:w="80" w:type="dxa"/>
              <w:end w:w="100" w:type="dxa"/>
            </w:tcMar>
            <w:shd w:fill="F5F8F9"/>
            <w:vAlign w:val="top"/>
          </w:tcPr>
          <w:p>
            <w:pPr>
              <w:spacing w:after="0"/>
            </w:pPr>
            <w:r>
              <w:rPr>
                <w:sz w:val="18"/>
              </w:rPr>
              <w:t>Validity Envelope</w:t>
            </w:r>
          </w:p>
        </w:tc>
        <w:tc>
          <w:tcPr>
            <w:tcW w:type="dxa" w:w="7056"/>
            <w:tcMar>
              <w:top w:w="80" w:type="dxa"/>
              <w:start w:w="100" w:type="dxa"/>
              <w:bottom w:w="80" w:type="dxa"/>
              <w:end w:w="100" w:type="dxa"/>
            </w:tcMar>
            <w:shd w:fill="F5F8F9"/>
            <w:vAlign w:val="top"/>
          </w:tcPr>
          <w:p>
            <w:pPr>
              <w:spacing w:after="0"/>
            </w:pPr>
            <w:r>
              <w:rPr>
                <w:sz w:val="18"/>
              </w:rPr>
              <w:t>Set of conditions under which the transferred principle retains the claimed behavior. May include scale, load, uncertainty, topology class, environmental range, failure rate, and time horizon.</w:t>
            </w:r>
          </w:p>
        </w:tc>
      </w:tr>
      <w:tr>
        <w:tc>
          <w:tcPr>
            <w:tcW w:type="dxa" w:w="2448"/>
            <w:tcMar>
              <w:top w:w="80" w:type="dxa"/>
              <w:start w:w="100" w:type="dxa"/>
              <w:bottom w:w="80" w:type="dxa"/>
              <w:end w:w="100" w:type="dxa"/>
            </w:tcMar>
            <w:vAlign w:val="top"/>
          </w:tcPr>
          <w:p>
            <w:pPr>
              <w:spacing w:after="0"/>
            </w:pPr>
            <w:r>
              <w:rPr>
                <w:sz w:val="18"/>
              </w:rPr>
              <w:t>Analogy Breaker</w:t>
            </w:r>
          </w:p>
        </w:tc>
        <w:tc>
          <w:tcPr>
            <w:tcW w:type="dxa" w:w="7056"/>
            <w:tcMar>
              <w:top w:w="80" w:type="dxa"/>
              <w:start w:w="100" w:type="dxa"/>
              <w:bottom w:w="80" w:type="dxa"/>
              <w:end w:w="100" w:type="dxa"/>
            </w:tcMar>
            <w:vAlign w:val="top"/>
          </w:tcPr>
          <w:p>
            <w:pPr>
              <w:spacing w:after="0"/>
            </w:pPr>
            <w:r>
              <w:rPr>
                <w:sz w:val="18"/>
              </w:rPr>
              <w:t>Adversarial subsystem that searches for hidden assumptions, causal mismatches, dimensional incompatibilities, scale failures, uncontrolled variables, and visual-only resemblance.</w:t>
            </w:r>
          </w:p>
        </w:tc>
      </w:tr>
      <w:tr>
        <w:tc>
          <w:tcPr>
            <w:tcW w:type="dxa" w:w="2448"/>
            <w:tcMar>
              <w:top w:w="80" w:type="dxa"/>
              <w:start w:w="100" w:type="dxa"/>
              <w:bottom w:w="80" w:type="dxa"/>
              <w:end w:w="100" w:type="dxa"/>
            </w:tcMar>
            <w:shd w:fill="F5F8F9"/>
            <w:vAlign w:val="top"/>
          </w:tcPr>
          <w:p>
            <w:pPr>
              <w:spacing w:after="0"/>
            </w:pPr>
            <w:r>
              <w:rPr>
                <w:sz w:val="18"/>
              </w:rPr>
              <w:t>Map-Reality Distance</w:t>
            </w:r>
          </w:p>
        </w:tc>
        <w:tc>
          <w:tcPr>
            <w:tcW w:type="dxa" w:w="7056"/>
            <w:tcMar>
              <w:top w:w="80" w:type="dxa"/>
              <w:start w:w="100" w:type="dxa"/>
              <w:bottom w:w="80" w:type="dxa"/>
              <w:end w:w="100" w:type="dxa"/>
            </w:tcMar>
            <w:shd w:fill="F5F8F9"/>
            <w:vAlign w:val="top"/>
          </w:tcPr>
          <w:p>
            <w:pPr>
              <w:spacing w:after="0"/>
            </w:pPr>
            <w:r>
              <w:rPr>
                <w:sz w:val="18"/>
              </w:rPr>
              <w:t>Measure of divergence between the actual simulated system and the controller's internal representation.</w:t>
            </w:r>
          </w:p>
        </w:tc>
      </w:tr>
      <w:tr>
        <w:tc>
          <w:tcPr>
            <w:tcW w:type="dxa" w:w="2448"/>
            <w:tcMar>
              <w:top w:w="80" w:type="dxa"/>
              <w:start w:w="100" w:type="dxa"/>
              <w:bottom w:w="80" w:type="dxa"/>
              <w:end w:w="100" w:type="dxa"/>
            </w:tcMar>
            <w:vAlign w:val="top"/>
          </w:tcPr>
          <w:p>
            <w:pPr>
              <w:spacing w:after="0"/>
            </w:pPr>
            <w:r>
              <w:rPr>
                <w:sz w:val="18"/>
              </w:rPr>
              <w:t>Dissent Object</w:t>
            </w:r>
          </w:p>
        </w:tc>
        <w:tc>
          <w:tcPr>
            <w:tcW w:type="dxa" w:w="7056"/>
            <w:tcMar>
              <w:top w:w="80" w:type="dxa"/>
              <w:start w:w="100" w:type="dxa"/>
              <w:bottom w:w="80" w:type="dxa"/>
              <w:end w:w="100" w:type="dxa"/>
            </w:tcMar>
            <w:vAlign w:val="top"/>
          </w:tcPr>
          <w:p>
            <w:pPr>
              <w:spacing w:after="0"/>
            </w:pPr>
            <w:r>
              <w:rPr>
                <w:sz w:val="18"/>
              </w:rPr>
              <w:t>Machine-readable representation of an alternative explanation, objection, competing mechanism, or unresolved interpretation.</w:t>
            </w:r>
          </w:p>
        </w:tc>
      </w:tr>
      <w:tr>
        <w:tc>
          <w:tcPr>
            <w:tcW w:type="dxa" w:w="2448"/>
            <w:tcMar>
              <w:top w:w="80" w:type="dxa"/>
              <w:start w:w="100" w:type="dxa"/>
              <w:bottom w:w="80" w:type="dxa"/>
              <w:end w:w="100" w:type="dxa"/>
            </w:tcMar>
            <w:shd w:fill="F5F8F9"/>
            <w:vAlign w:val="top"/>
          </w:tcPr>
          <w:p>
            <w:pPr>
              <w:spacing w:after="0"/>
            </w:pPr>
            <w:r>
              <w:rPr>
                <w:sz w:val="18"/>
              </w:rPr>
              <w:t>Null Transfer Record</w:t>
            </w:r>
          </w:p>
        </w:tc>
        <w:tc>
          <w:tcPr>
            <w:tcW w:type="dxa" w:w="7056"/>
            <w:tcMar>
              <w:top w:w="80" w:type="dxa"/>
              <w:start w:w="100" w:type="dxa"/>
              <w:bottom w:w="80" w:type="dxa"/>
              <w:end w:w="100" w:type="dxa"/>
            </w:tcMar>
            <w:shd w:fill="F5F8F9"/>
            <w:vAlign w:val="top"/>
          </w:tcPr>
          <w:p>
            <w:pPr>
              <w:spacing w:after="0"/>
            </w:pPr>
            <w:r>
              <w:rPr>
                <w:sz w:val="18"/>
              </w:rPr>
              <w:t>Formal result stating that no defensible transfer was demonstrated under the tested conditions.</w:t>
            </w:r>
          </w:p>
        </w:tc>
      </w:tr>
      <w:tr>
        <w:tc>
          <w:tcPr>
            <w:tcW w:type="dxa" w:w="2448"/>
            <w:tcMar>
              <w:top w:w="80" w:type="dxa"/>
              <w:start w:w="100" w:type="dxa"/>
              <w:bottom w:w="80" w:type="dxa"/>
              <w:end w:w="100" w:type="dxa"/>
            </w:tcMar>
            <w:vAlign w:val="top"/>
          </w:tcPr>
          <w:p>
            <w:pPr>
              <w:spacing w:after="0"/>
            </w:pPr>
            <w:r>
              <w:rPr>
                <w:sz w:val="18"/>
              </w:rPr>
              <w:t>Epistemic Label</w:t>
            </w:r>
          </w:p>
        </w:tc>
        <w:tc>
          <w:tcPr>
            <w:tcW w:type="dxa" w:w="7056"/>
            <w:tcMar>
              <w:top w:w="80" w:type="dxa"/>
              <w:start w:w="100" w:type="dxa"/>
              <w:bottom w:w="80" w:type="dxa"/>
              <w:end w:w="100" w:type="dxa"/>
            </w:tcMar>
            <w:vAlign w:val="top"/>
          </w:tcPr>
          <w:p>
            <w:pPr>
              <w:spacing w:after="0"/>
            </w:pPr>
            <w:r>
              <w:rPr>
                <w:sz w:val="18"/>
              </w:rPr>
              <w:t>Observed/Established, Modeled, Hypothesized, Analogical, Fictional, or Unknown.</w:t>
            </w:r>
          </w:p>
        </w:tc>
      </w:tr>
      <w:tr>
        <w:tc>
          <w:tcPr>
            <w:tcW w:type="dxa" w:w="2448"/>
            <w:tcMar>
              <w:top w:w="80" w:type="dxa"/>
              <w:start w:w="100" w:type="dxa"/>
              <w:bottom w:w="80" w:type="dxa"/>
              <w:end w:w="100" w:type="dxa"/>
            </w:tcMar>
            <w:shd w:fill="F5F8F9"/>
            <w:vAlign w:val="top"/>
          </w:tcPr>
          <w:p>
            <w:pPr>
              <w:spacing w:after="0"/>
            </w:pPr>
            <w:r>
              <w:rPr>
                <w:sz w:val="18"/>
              </w:rPr>
              <w:t>Provenance Ledger</w:t>
            </w:r>
          </w:p>
        </w:tc>
        <w:tc>
          <w:tcPr>
            <w:tcW w:type="dxa" w:w="7056"/>
            <w:tcMar>
              <w:top w:w="80" w:type="dxa"/>
              <w:start w:w="100" w:type="dxa"/>
              <w:bottom w:w="80" w:type="dxa"/>
              <w:end w:w="100" w:type="dxa"/>
            </w:tcMar>
            <w:shd w:fill="F5F8F9"/>
            <w:vAlign w:val="top"/>
          </w:tcPr>
          <w:p>
            <w:pPr>
              <w:spacing w:after="0"/>
            </w:pPr>
            <w:r>
              <w:rPr>
                <w:sz w:val="18"/>
              </w:rPr>
              <w:t>Versioned record of origin, author/model, date, assumptions, experiment links, revisions, and superseded claims.</w:t>
            </w:r>
          </w:p>
        </w:tc>
      </w:tr>
    </w:tbl>
    <w:p/>
    <w:p>
      <w:pPr>
        <w:pStyle w:val="Heading1"/>
      </w:pPr>
      <w:r>
        <w:t>9. Similarity Taxonomy</w:t>
      </w:r>
    </w:p>
    <w:p>
      <w:r>
        <w:t>ATBL prohibits the unqualified statement “these systems are similar.” Similarity must be typed. One pair of systems may be strongly similar in one dimension and unrelated in another.</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728"/>
            <w:shd w:fill="133B4A"/>
            <w:tcMar>
              <w:top w:w="90" w:type="dxa"/>
              <w:start w:w="100" w:type="dxa"/>
              <w:bottom w:w="90" w:type="dxa"/>
              <w:end w:w="100" w:type="dxa"/>
            </w:tcMar>
            <w:vAlign w:val="center"/>
          </w:tcPr>
          <w:p>
            <w:r>
              <w:rPr>
                <w:b/>
                <w:color w:val="FFFFFF"/>
                <w:sz w:val="18"/>
              </w:rPr>
              <w:t>Similarity type</w:t>
            </w:r>
          </w:p>
        </w:tc>
        <w:tc>
          <w:tcPr>
            <w:tcW w:type="dxa" w:w="3312"/>
            <w:shd w:fill="133B4A"/>
            <w:tcMar>
              <w:top w:w="90" w:type="dxa"/>
              <w:start w:w="100" w:type="dxa"/>
              <w:bottom w:w="90" w:type="dxa"/>
              <w:end w:w="100" w:type="dxa"/>
            </w:tcMar>
            <w:vAlign w:val="center"/>
          </w:tcPr>
          <w:p>
            <w:r>
              <w:rPr>
                <w:b/>
                <w:color w:val="FFFFFF"/>
                <w:sz w:val="18"/>
              </w:rPr>
              <w:t>Meaning</w:t>
            </w:r>
          </w:p>
        </w:tc>
        <w:tc>
          <w:tcPr>
            <w:tcW w:type="dxa" w:w="4464"/>
            <w:shd w:fill="133B4A"/>
            <w:tcMar>
              <w:top w:w="90" w:type="dxa"/>
              <w:start w:w="100" w:type="dxa"/>
              <w:bottom w:w="90" w:type="dxa"/>
              <w:end w:w="100" w:type="dxa"/>
            </w:tcMar>
            <w:vAlign w:val="center"/>
          </w:tcPr>
          <w:p>
            <w:r>
              <w:rPr>
                <w:b/>
                <w:color w:val="FFFFFF"/>
                <w:sz w:val="18"/>
              </w:rPr>
              <w:t>Example of a valid claim</w:t>
            </w:r>
          </w:p>
        </w:tc>
      </w:tr>
      <w:tr>
        <w:tc>
          <w:tcPr>
            <w:tcW w:type="dxa" w:w="1728"/>
            <w:tcMar>
              <w:top w:w="80" w:type="dxa"/>
              <w:start w:w="100" w:type="dxa"/>
              <w:bottom w:w="80" w:type="dxa"/>
              <w:end w:w="100" w:type="dxa"/>
            </w:tcMar>
            <w:vAlign w:val="top"/>
          </w:tcPr>
          <w:p>
            <w:pPr>
              <w:spacing w:after="0"/>
            </w:pPr>
            <w:r>
              <w:rPr>
                <w:sz w:val="17"/>
              </w:rPr>
              <w:t>Visual</w:t>
            </w:r>
          </w:p>
        </w:tc>
        <w:tc>
          <w:tcPr>
            <w:tcW w:type="dxa" w:w="3312"/>
            <w:tcMar>
              <w:top w:w="80" w:type="dxa"/>
              <w:start w:w="100" w:type="dxa"/>
              <w:bottom w:w="80" w:type="dxa"/>
              <w:end w:w="100" w:type="dxa"/>
            </w:tcMar>
            <w:vAlign w:val="top"/>
          </w:tcPr>
          <w:p>
            <w:pPr>
              <w:spacing w:after="0"/>
            </w:pPr>
            <w:r>
              <w:rPr>
                <w:sz w:val="17"/>
              </w:rPr>
              <w:t>Structures look alike.</w:t>
            </w:r>
          </w:p>
        </w:tc>
        <w:tc>
          <w:tcPr>
            <w:tcW w:type="dxa" w:w="4464"/>
            <w:tcMar>
              <w:top w:w="80" w:type="dxa"/>
              <w:start w:w="100" w:type="dxa"/>
              <w:bottom w:w="80" w:type="dxa"/>
              <w:end w:w="100" w:type="dxa"/>
            </w:tcMar>
            <w:vAlign w:val="top"/>
          </w:tcPr>
          <w:p>
            <w:pPr>
              <w:spacing w:after="0"/>
            </w:pPr>
            <w:r>
              <w:rPr>
                <w:sz w:val="17"/>
              </w:rPr>
              <w:t>Two branching images have comparable visual morphology.</w:t>
            </w:r>
          </w:p>
        </w:tc>
      </w:tr>
      <w:tr>
        <w:tc>
          <w:tcPr>
            <w:tcW w:type="dxa" w:w="1728"/>
            <w:tcMar>
              <w:top w:w="80" w:type="dxa"/>
              <w:start w:w="100" w:type="dxa"/>
              <w:bottom w:w="80" w:type="dxa"/>
              <w:end w:w="100" w:type="dxa"/>
            </w:tcMar>
            <w:shd w:fill="F5F8F9"/>
            <w:vAlign w:val="top"/>
          </w:tcPr>
          <w:p>
            <w:pPr>
              <w:spacing w:after="0"/>
            </w:pPr>
            <w:r>
              <w:rPr>
                <w:sz w:val="17"/>
              </w:rPr>
              <w:t>Topological</w:t>
            </w:r>
          </w:p>
        </w:tc>
        <w:tc>
          <w:tcPr>
            <w:tcW w:type="dxa" w:w="3312"/>
            <w:tcMar>
              <w:top w:w="80" w:type="dxa"/>
              <w:start w:w="100" w:type="dxa"/>
              <w:bottom w:w="80" w:type="dxa"/>
              <w:end w:w="100" w:type="dxa"/>
            </w:tcMar>
            <w:shd w:fill="F5F8F9"/>
            <w:vAlign w:val="top"/>
          </w:tcPr>
          <w:p>
            <w:pPr>
              <w:spacing w:after="0"/>
            </w:pPr>
            <w:r>
              <w:rPr>
                <w:sz w:val="17"/>
              </w:rPr>
              <w:t>Connectivity patterns or graph properties are comparable.</w:t>
            </w:r>
          </w:p>
        </w:tc>
        <w:tc>
          <w:tcPr>
            <w:tcW w:type="dxa" w:w="4464"/>
            <w:tcMar>
              <w:top w:w="80" w:type="dxa"/>
              <w:start w:w="100" w:type="dxa"/>
              <w:bottom w:w="80" w:type="dxa"/>
              <w:end w:w="100" w:type="dxa"/>
            </w:tcMar>
            <w:shd w:fill="F5F8F9"/>
            <w:vAlign w:val="top"/>
          </w:tcPr>
          <w:p>
            <w:pPr>
              <w:spacing w:after="0"/>
            </w:pPr>
            <w:r>
              <w:rPr>
                <w:sz w:val="17"/>
              </w:rPr>
              <w:t>Both systems contain multiple alternate paths between critical nodes.</w:t>
            </w:r>
          </w:p>
        </w:tc>
      </w:tr>
      <w:tr>
        <w:tc>
          <w:tcPr>
            <w:tcW w:type="dxa" w:w="1728"/>
            <w:tcMar>
              <w:top w:w="80" w:type="dxa"/>
              <w:start w:w="100" w:type="dxa"/>
              <w:bottom w:w="80" w:type="dxa"/>
              <w:end w:w="100" w:type="dxa"/>
            </w:tcMar>
            <w:vAlign w:val="top"/>
          </w:tcPr>
          <w:p>
            <w:pPr>
              <w:spacing w:after="0"/>
            </w:pPr>
            <w:r>
              <w:rPr>
                <w:sz w:val="17"/>
              </w:rPr>
              <w:t>Dynamic</w:t>
            </w:r>
          </w:p>
        </w:tc>
        <w:tc>
          <w:tcPr>
            <w:tcW w:type="dxa" w:w="3312"/>
            <w:tcMar>
              <w:top w:w="80" w:type="dxa"/>
              <w:start w:w="100" w:type="dxa"/>
              <w:bottom w:w="80" w:type="dxa"/>
              <w:end w:w="100" w:type="dxa"/>
            </w:tcMar>
            <w:vAlign w:val="top"/>
          </w:tcPr>
          <w:p>
            <w:pPr>
              <w:spacing w:after="0"/>
            </w:pPr>
            <w:r>
              <w:rPr>
                <w:sz w:val="17"/>
              </w:rPr>
              <w:t>Responses to a defined perturbation are comparable.</w:t>
            </w:r>
          </w:p>
        </w:tc>
        <w:tc>
          <w:tcPr>
            <w:tcW w:type="dxa" w:w="4464"/>
            <w:tcMar>
              <w:top w:w="80" w:type="dxa"/>
              <w:start w:w="100" w:type="dxa"/>
              <w:bottom w:w="80" w:type="dxa"/>
              <w:end w:w="100" w:type="dxa"/>
            </w:tcMar>
            <w:vAlign w:val="top"/>
          </w:tcPr>
          <w:p>
            <w:pPr>
              <w:spacing w:after="0"/>
            </w:pPr>
            <w:r>
              <w:rPr>
                <w:sz w:val="17"/>
              </w:rPr>
              <w:t>Both preserve service after a single-edge loss within a specified load range.</w:t>
            </w:r>
          </w:p>
        </w:tc>
      </w:tr>
      <w:tr>
        <w:tc>
          <w:tcPr>
            <w:tcW w:type="dxa" w:w="1728"/>
            <w:tcMar>
              <w:top w:w="80" w:type="dxa"/>
              <w:start w:w="100" w:type="dxa"/>
              <w:bottom w:w="80" w:type="dxa"/>
              <w:end w:w="100" w:type="dxa"/>
            </w:tcMar>
            <w:shd w:fill="F5F8F9"/>
            <w:vAlign w:val="top"/>
          </w:tcPr>
          <w:p>
            <w:pPr>
              <w:spacing w:after="0"/>
            </w:pPr>
            <w:r>
              <w:rPr>
                <w:sz w:val="17"/>
              </w:rPr>
              <w:t>Functional</w:t>
            </w:r>
          </w:p>
        </w:tc>
        <w:tc>
          <w:tcPr>
            <w:tcW w:type="dxa" w:w="3312"/>
            <w:tcMar>
              <w:top w:w="80" w:type="dxa"/>
              <w:start w:w="100" w:type="dxa"/>
              <w:bottom w:w="80" w:type="dxa"/>
              <w:end w:w="100" w:type="dxa"/>
            </w:tcMar>
            <w:shd w:fill="F5F8F9"/>
            <w:vAlign w:val="top"/>
          </w:tcPr>
          <w:p>
            <w:pPr>
              <w:spacing w:after="0"/>
            </w:pPr>
            <w:r>
              <w:rPr>
                <w:sz w:val="17"/>
              </w:rPr>
              <w:t>Systems accomplish a comparable role.</w:t>
            </w:r>
          </w:p>
        </w:tc>
        <w:tc>
          <w:tcPr>
            <w:tcW w:type="dxa" w:w="4464"/>
            <w:tcMar>
              <w:top w:w="80" w:type="dxa"/>
              <w:start w:w="100" w:type="dxa"/>
              <w:bottom w:w="80" w:type="dxa"/>
              <w:end w:w="100" w:type="dxa"/>
            </w:tcMar>
            <w:shd w:fill="F5F8F9"/>
            <w:vAlign w:val="top"/>
          </w:tcPr>
          <w:p>
            <w:pPr>
              <w:spacing w:after="0"/>
            </w:pPr>
            <w:r>
              <w:rPr>
                <w:sz w:val="17"/>
              </w:rPr>
              <w:t>Both distribute a resource from source regions to demand regions.</w:t>
            </w:r>
          </w:p>
        </w:tc>
      </w:tr>
      <w:tr>
        <w:tc>
          <w:tcPr>
            <w:tcW w:type="dxa" w:w="1728"/>
            <w:tcMar>
              <w:top w:w="80" w:type="dxa"/>
              <w:start w:w="100" w:type="dxa"/>
              <w:bottom w:w="80" w:type="dxa"/>
              <w:end w:w="100" w:type="dxa"/>
            </w:tcMar>
            <w:vAlign w:val="top"/>
          </w:tcPr>
          <w:p>
            <w:pPr>
              <w:spacing w:after="0"/>
            </w:pPr>
            <w:r>
              <w:rPr>
                <w:sz w:val="17"/>
              </w:rPr>
              <w:t>Control</w:t>
            </w:r>
          </w:p>
        </w:tc>
        <w:tc>
          <w:tcPr>
            <w:tcW w:type="dxa" w:w="3312"/>
            <w:tcMar>
              <w:top w:w="80" w:type="dxa"/>
              <w:start w:w="100" w:type="dxa"/>
              <w:bottom w:w="80" w:type="dxa"/>
              <w:end w:w="100" w:type="dxa"/>
            </w:tcMar>
            <w:vAlign w:val="top"/>
          </w:tcPr>
          <w:p>
            <w:pPr>
              <w:spacing w:after="0"/>
            </w:pPr>
            <w:r>
              <w:rPr>
                <w:sz w:val="17"/>
              </w:rPr>
              <w:t>Feedback or gating structures behave similarly.</w:t>
            </w:r>
          </w:p>
        </w:tc>
        <w:tc>
          <w:tcPr>
            <w:tcW w:type="dxa" w:w="4464"/>
            <w:tcMar>
              <w:top w:w="80" w:type="dxa"/>
              <w:start w:w="100" w:type="dxa"/>
              <w:bottom w:w="80" w:type="dxa"/>
              <w:end w:w="100" w:type="dxa"/>
            </w:tcMar>
            <w:vAlign w:val="top"/>
          </w:tcPr>
          <w:p>
            <w:pPr>
              <w:spacing w:after="0"/>
            </w:pPr>
            <w:r>
              <w:rPr>
                <w:sz w:val="17"/>
              </w:rPr>
              <w:t>Both use local feedback to restrict backflow or overload.</w:t>
            </w:r>
          </w:p>
        </w:tc>
      </w:tr>
      <w:tr>
        <w:tc>
          <w:tcPr>
            <w:tcW w:type="dxa" w:w="1728"/>
            <w:tcMar>
              <w:top w:w="80" w:type="dxa"/>
              <w:start w:w="100" w:type="dxa"/>
              <w:bottom w:w="80" w:type="dxa"/>
              <w:end w:w="100" w:type="dxa"/>
            </w:tcMar>
            <w:shd w:fill="F5F8F9"/>
            <w:vAlign w:val="top"/>
          </w:tcPr>
          <w:p>
            <w:pPr>
              <w:spacing w:after="0"/>
            </w:pPr>
            <w:r>
              <w:rPr>
                <w:sz w:val="17"/>
              </w:rPr>
              <w:t>Failure</w:t>
            </w:r>
          </w:p>
        </w:tc>
        <w:tc>
          <w:tcPr>
            <w:tcW w:type="dxa" w:w="3312"/>
            <w:tcMar>
              <w:top w:w="80" w:type="dxa"/>
              <w:start w:w="100" w:type="dxa"/>
              <w:bottom w:w="80" w:type="dxa"/>
              <w:end w:w="100" w:type="dxa"/>
            </w:tcMar>
            <w:shd w:fill="F5F8F9"/>
            <w:vAlign w:val="top"/>
          </w:tcPr>
          <w:p>
            <w:pPr>
              <w:spacing w:after="0"/>
            </w:pPr>
            <w:r>
              <w:rPr>
                <w:sz w:val="17"/>
              </w:rPr>
              <w:t>Degradation pathways are comparable.</w:t>
            </w:r>
          </w:p>
        </w:tc>
        <w:tc>
          <w:tcPr>
            <w:tcW w:type="dxa" w:w="4464"/>
            <w:tcMar>
              <w:top w:w="80" w:type="dxa"/>
              <w:start w:w="100" w:type="dxa"/>
              <w:bottom w:w="80" w:type="dxa"/>
              <w:end w:w="100" w:type="dxa"/>
            </w:tcMar>
            <w:shd w:fill="F5F8F9"/>
            <w:vAlign w:val="top"/>
          </w:tcPr>
          <w:p>
            <w:pPr>
              <w:spacing w:after="0"/>
            </w:pPr>
            <w:r>
              <w:rPr>
                <w:sz w:val="17"/>
              </w:rPr>
              <w:t>Both exhibit cascading loss after a critical bottleneck fails.</w:t>
            </w:r>
          </w:p>
        </w:tc>
      </w:tr>
      <w:tr>
        <w:tc>
          <w:tcPr>
            <w:tcW w:type="dxa" w:w="1728"/>
            <w:tcMar>
              <w:top w:w="80" w:type="dxa"/>
              <w:start w:w="100" w:type="dxa"/>
              <w:bottom w:w="80" w:type="dxa"/>
              <w:end w:w="100" w:type="dxa"/>
            </w:tcMar>
            <w:vAlign w:val="top"/>
          </w:tcPr>
          <w:p>
            <w:pPr>
              <w:spacing w:after="0"/>
            </w:pPr>
            <w:r>
              <w:rPr>
                <w:sz w:val="17"/>
              </w:rPr>
              <w:t>Developmental</w:t>
            </w:r>
          </w:p>
        </w:tc>
        <w:tc>
          <w:tcPr>
            <w:tcW w:type="dxa" w:w="3312"/>
            <w:tcMar>
              <w:top w:w="80" w:type="dxa"/>
              <w:start w:w="100" w:type="dxa"/>
              <w:bottom w:w="80" w:type="dxa"/>
              <w:end w:w="100" w:type="dxa"/>
            </w:tcMar>
            <w:vAlign w:val="top"/>
          </w:tcPr>
          <w:p>
            <w:pPr>
              <w:spacing w:after="0"/>
            </w:pPr>
            <w:r>
              <w:rPr>
                <w:sz w:val="17"/>
              </w:rPr>
              <w:t>Architecture changes according to comparable adaptive pressures.</w:t>
            </w:r>
          </w:p>
        </w:tc>
        <w:tc>
          <w:tcPr>
            <w:tcW w:type="dxa" w:w="4464"/>
            <w:tcMar>
              <w:top w:w="80" w:type="dxa"/>
              <w:start w:w="100" w:type="dxa"/>
              <w:bottom w:w="80" w:type="dxa"/>
              <w:end w:w="100" w:type="dxa"/>
            </w:tcMar>
            <w:vAlign w:val="top"/>
          </w:tcPr>
          <w:p>
            <w:pPr>
              <w:spacing w:after="0"/>
            </w:pPr>
            <w:r>
              <w:rPr>
                <w:sz w:val="17"/>
              </w:rPr>
              <w:t>Both alter routing structure in response to persistent demand gradients.</w:t>
            </w:r>
          </w:p>
        </w:tc>
      </w:tr>
      <w:tr>
        <w:tc>
          <w:tcPr>
            <w:tcW w:type="dxa" w:w="1728"/>
            <w:tcMar>
              <w:top w:w="80" w:type="dxa"/>
              <w:start w:w="100" w:type="dxa"/>
              <w:bottom w:w="80" w:type="dxa"/>
              <w:end w:w="100" w:type="dxa"/>
            </w:tcMar>
            <w:shd w:fill="F5F8F9"/>
            <w:vAlign w:val="top"/>
          </w:tcPr>
          <w:p>
            <w:pPr>
              <w:spacing w:after="0"/>
            </w:pPr>
            <w:r>
              <w:rPr>
                <w:sz w:val="17"/>
              </w:rPr>
              <w:t>Temporal</w:t>
            </w:r>
          </w:p>
        </w:tc>
        <w:tc>
          <w:tcPr>
            <w:tcW w:type="dxa" w:w="3312"/>
            <w:tcMar>
              <w:top w:w="80" w:type="dxa"/>
              <w:start w:w="100" w:type="dxa"/>
              <w:bottom w:w="80" w:type="dxa"/>
              <w:end w:w="100" w:type="dxa"/>
            </w:tcMar>
            <w:shd w:fill="F5F8F9"/>
            <w:vAlign w:val="top"/>
          </w:tcPr>
          <w:p>
            <w:pPr>
              <w:spacing w:after="0"/>
            </w:pPr>
            <w:r>
              <w:rPr>
                <w:sz w:val="17"/>
              </w:rPr>
              <w:t>State trajectories have comparable time-dependent structure.</w:t>
            </w:r>
          </w:p>
        </w:tc>
        <w:tc>
          <w:tcPr>
            <w:tcW w:type="dxa" w:w="4464"/>
            <w:tcMar>
              <w:top w:w="80" w:type="dxa"/>
              <w:start w:w="100" w:type="dxa"/>
              <w:bottom w:w="80" w:type="dxa"/>
              <w:end w:w="100" w:type="dxa"/>
            </w:tcMar>
            <w:shd w:fill="F5F8F9"/>
            <w:vAlign w:val="top"/>
          </w:tcPr>
          <w:p>
            <w:pPr>
              <w:spacing w:after="0"/>
            </w:pPr>
            <w:r>
              <w:rPr>
                <w:sz w:val="17"/>
              </w:rPr>
              <w:t>Both accumulate path-dependent damage that alters future response.</w:t>
            </w:r>
          </w:p>
        </w:tc>
      </w:tr>
    </w:tbl>
    <w:p/>
    <w:p>
      <w:pPr>
        <w:pStyle w:val="Heading1"/>
      </w:pPr>
      <w:r>
        <w:t>10. Technical Architecture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304"/>
            <w:shd w:fill="133B4A"/>
            <w:tcMar>
              <w:top w:w="90" w:type="dxa"/>
              <w:start w:w="100" w:type="dxa"/>
              <w:bottom w:w="90" w:type="dxa"/>
              <w:end w:w="100" w:type="dxa"/>
            </w:tcMar>
            <w:vAlign w:val="center"/>
          </w:tcPr>
          <w:p>
            <w:r>
              <w:rPr>
                <w:b/>
                <w:color w:val="FFFFFF"/>
                <w:sz w:val="18"/>
              </w:rPr>
              <w:t>Layer</w:t>
            </w:r>
          </w:p>
        </w:tc>
        <w:tc>
          <w:tcPr>
            <w:tcW w:type="dxa" w:w="7200"/>
            <w:shd w:fill="133B4A"/>
            <w:tcMar>
              <w:top w:w="90" w:type="dxa"/>
              <w:start w:w="100" w:type="dxa"/>
              <w:bottom w:w="90" w:type="dxa"/>
              <w:end w:w="100" w:type="dxa"/>
            </w:tcMar>
            <w:vAlign w:val="center"/>
          </w:tcPr>
          <w:p>
            <w:r>
              <w:rPr>
                <w:b/>
                <w:color w:val="FFFFFF"/>
                <w:sz w:val="18"/>
              </w:rPr>
              <w:t>Responsibilities</w:t>
            </w:r>
          </w:p>
        </w:tc>
      </w:tr>
      <w:tr>
        <w:tc>
          <w:tcPr>
            <w:tcW w:type="dxa" w:w="2304"/>
            <w:tcMar>
              <w:top w:w="80" w:type="dxa"/>
              <w:start w:w="100" w:type="dxa"/>
              <w:bottom w:w="80" w:type="dxa"/>
              <w:end w:w="100" w:type="dxa"/>
            </w:tcMar>
            <w:vAlign w:val="top"/>
          </w:tcPr>
          <w:p>
            <w:pPr>
              <w:spacing w:after="0"/>
            </w:pPr>
            <w:r>
              <w:rPr>
                <w:sz w:val="17"/>
              </w:rPr>
              <w:t>L0 - Provenance &amp; Identity</w:t>
            </w:r>
          </w:p>
        </w:tc>
        <w:tc>
          <w:tcPr>
            <w:tcW w:type="dxa" w:w="7200"/>
            <w:tcMar>
              <w:top w:w="80" w:type="dxa"/>
              <w:start w:w="100" w:type="dxa"/>
              <w:bottom w:w="80" w:type="dxa"/>
              <w:end w:w="100" w:type="dxa"/>
            </w:tcMar>
            <w:vAlign w:val="top"/>
          </w:tcPr>
          <w:p>
            <w:pPr>
              <w:spacing w:after="0"/>
            </w:pPr>
            <w:r>
              <w:rPr>
                <w:sz w:val="17"/>
              </w:rPr>
              <w:t>Version IDs, source, preparer, canon status, ownership, permissions, experiment lineage.</w:t>
            </w:r>
          </w:p>
        </w:tc>
      </w:tr>
      <w:tr>
        <w:tc>
          <w:tcPr>
            <w:tcW w:type="dxa" w:w="2304"/>
            <w:tcMar>
              <w:top w:w="80" w:type="dxa"/>
              <w:start w:w="100" w:type="dxa"/>
              <w:bottom w:w="80" w:type="dxa"/>
              <w:end w:w="100" w:type="dxa"/>
            </w:tcMar>
            <w:shd w:fill="F5F8F9"/>
            <w:vAlign w:val="top"/>
          </w:tcPr>
          <w:p>
            <w:pPr>
              <w:spacing w:after="0"/>
            </w:pPr>
            <w:r>
              <w:rPr>
                <w:sz w:val="17"/>
              </w:rPr>
              <w:t>L1 - Domain Adapter</w:t>
            </w:r>
          </w:p>
        </w:tc>
        <w:tc>
          <w:tcPr>
            <w:tcW w:type="dxa" w:w="7200"/>
            <w:tcMar>
              <w:top w:w="80" w:type="dxa"/>
              <w:start w:w="100" w:type="dxa"/>
              <w:bottom w:w="80" w:type="dxa"/>
              <w:end w:w="100" w:type="dxa"/>
            </w:tcMar>
            <w:shd w:fill="F5F8F9"/>
            <w:vAlign w:val="top"/>
          </w:tcPr>
          <w:p>
            <w:pPr>
              <w:spacing w:after="0"/>
            </w:pPr>
            <w:r>
              <w:rPr>
                <w:sz w:val="17"/>
              </w:rPr>
              <w:t>Domain equations, units, variables, constraints, allowable actions, epistemic labels.</w:t>
            </w:r>
          </w:p>
        </w:tc>
      </w:tr>
      <w:tr>
        <w:tc>
          <w:tcPr>
            <w:tcW w:type="dxa" w:w="2304"/>
            <w:tcMar>
              <w:top w:w="80" w:type="dxa"/>
              <w:start w:w="100" w:type="dxa"/>
              <w:bottom w:w="80" w:type="dxa"/>
              <w:end w:w="100" w:type="dxa"/>
            </w:tcMar>
            <w:vAlign w:val="top"/>
          </w:tcPr>
          <w:p>
            <w:pPr>
              <w:spacing w:after="0"/>
            </w:pPr>
            <w:r>
              <w:rPr>
                <w:sz w:val="17"/>
              </w:rPr>
              <w:t>L2 - Architecture Model</w:t>
            </w:r>
          </w:p>
        </w:tc>
        <w:tc>
          <w:tcPr>
            <w:tcW w:type="dxa" w:w="7200"/>
            <w:tcMar>
              <w:top w:w="80" w:type="dxa"/>
              <w:start w:w="100" w:type="dxa"/>
              <w:bottom w:w="80" w:type="dxa"/>
              <w:end w:w="100" w:type="dxa"/>
            </w:tcMar>
            <w:vAlign w:val="top"/>
          </w:tcPr>
          <w:p>
            <w:pPr>
              <w:spacing w:after="0"/>
            </w:pPr>
            <w:r>
              <w:rPr>
                <w:sz w:val="17"/>
              </w:rPr>
              <w:t>Nodes, edges, geometry, compartments, capacities, material properties, control points.</w:t>
            </w:r>
          </w:p>
        </w:tc>
      </w:tr>
      <w:tr>
        <w:tc>
          <w:tcPr>
            <w:tcW w:type="dxa" w:w="2304"/>
            <w:tcMar>
              <w:top w:w="80" w:type="dxa"/>
              <w:start w:w="100" w:type="dxa"/>
              <w:bottom w:w="80" w:type="dxa"/>
              <w:end w:w="100" w:type="dxa"/>
            </w:tcMar>
            <w:shd w:fill="F5F8F9"/>
            <w:vAlign w:val="top"/>
          </w:tcPr>
          <w:p>
            <w:pPr>
              <w:spacing w:after="0"/>
            </w:pPr>
            <w:r>
              <w:rPr>
                <w:sz w:val="17"/>
              </w:rPr>
              <w:t>L3 - State Engine</w:t>
            </w:r>
          </w:p>
        </w:tc>
        <w:tc>
          <w:tcPr>
            <w:tcW w:type="dxa" w:w="7200"/>
            <w:tcMar>
              <w:top w:w="80" w:type="dxa"/>
              <w:start w:w="100" w:type="dxa"/>
              <w:bottom w:w="80" w:type="dxa"/>
              <w:end w:w="100" w:type="dxa"/>
            </w:tcMar>
            <w:shd w:fill="F5F8F9"/>
            <w:vAlign w:val="top"/>
          </w:tcPr>
          <w:p>
            <w:pPr>
              <w:spacing w:after="0"/>
            </w:pPr>
            <w:r>
              <w:rPr>
                <w:sz w:val="17"/>
              </w:rPr>
              <w:t>Current conditions, stored quantities, damage, congestion, learned state, uncertainty, history.</w:t>
            </w:r>
          </w:p>
        </w:tc>
      </w:tr>
      <w:tr>
        <w:tc>
          <w:tcPr>
            <w:tcW w:type="dxa" w:w="2304"/>
            <w:tcMar>
              <w:top w:w="80" w:type="dxa"/>
              <w:start w:w="100" w:type="dxa"/>
              <w:bottom w:w="80" w:type="dxa"/>
              <w:end w:w="100" w:type="dxa"/>
            </w:tcMar>
            <w:vAlign w:val="top"/>
          </w:tcPr>
          <w:p>
            <w:pPr>
              <w:spacing w:after="0"/>
            </w:pPr>
            <w:r>
              <w:rPr>
                <w:sz w:val="17"/>
              </w:rPr>
              <w:t>L4 - Observer Model</w:t>
            </w:r>
          </w:p>
        </w:tc>
        <w:tc>
          <w:tcPr>
            <w:tcW w:type="dxa" w:w="7200"/>
            <w:tcMar>
              <w:top w:w="80" w:type="dxa"/>
              <w:start w:w="100" w:type="dxa"/>
              <w:bottom w:w="80" w:type="dxa"/>
              <w:end w:w="100" w:type="dxa"/>
            </w:tcMar>
            <w:vAlign w:val="top"/>
          </w:tcPr>
          <w:p>
            <w:pPr>
              <w:spacing w:after="0"/>
            </w:pPr>
            <w:r>
              <w:rPr>
                <w:sz w:val="17"/>
              </w:rPr>
              <w:t>Sensors, visibility, noise, partial maps, stale maps, confidence, model-reality distance.</w:t>
            </w:r>
          </w:p>
        </w:tc>
      </w:tr>
      <w:tr>
        <w:tc>
          <w:tcPr>
            <w:tcW w:type="dxa" w:w="2304"/>
            <w:tcMar>
              <w:top w:w="80" w:type="dxa"/>
              <w:start w:w="100" w:type="dxa"/>
              <w:bottom w:w="80" w:type="dxa"/>
              <w:end w:w="100" w:type="dxa"/>
            </w:tcMar>
            <w:shd w:fill="F5F8F9"/>
            <w:vAlign w:val="top"/>
          </w:tcPr>
          <w:p>
            <w:pPr>
              <w:spacing w:after="0"/>
            </w:pPr>
            <w:r>
              <w:rPr>
                <w:sz w:val="17"/>
              </w:rPr>
              <w:t>L5 - Controller</w:t>
            </w:r>
          </w:p>
        </w:tc>
        <w:tc>
          <w:tcPr>
            <w:tcW w:type="dxa" w:w="7200"/>
            <w:tcMar>
              <w:top w:w="80" w:type="dxa"/>
              <w:start w:w="100" w:type="dxa"/>
              <w:bottom w:w="80" w:type="dxa"/>
              <w:end w:w="100" w:type="dxa"/>
            </w:tcMar>
            <w:shd w:fill="F5F8F9"/>
            <w:vAlign w:val="top"/>
          </w:tcPr>
          <w:p>
            <w:pPr>
              <w:spacing w:after="0"/>
            </w:pPr>
            <w:r>
              <w:rPr>
                <w:sz w:val="17"/>
              </w:rPr>
              <w:t>Policies, interventions, escalation rules, goals, cost functions, permitted action set.</w:t>
            </w:r>
          </w:p>
        </w:tc>
      </w:tr>
      <w:tr>
        <w:tc>
          <w:tcPr>
            <w:tcW w:type="dxa" w:w="2304"/>
            <w:tcMar>
              <w:top w:w="80" w:type="dxa"/>
              <w:start w:w="100" w:type="dxa"/>
              <w:bottom w:w="80" w:type="dxa"/>
              <w:end w:w="100" w:type="dxa"/>
            </w:tcMar>
            <w:vAlign w:val="top"/>
          </w:tcPr>
          <w:p>
            <w:pPr>
              <w:spacing w:after="0"/>
            </w:pPr>
            <w:r>
              <w:rPr>
                <w:sz w:val="17"/>
              </w:rPr>
              <w:t>L6 - Translation Engine</w:t>
            </w:r>
          </w:p>
        </w:tc>
        <w:tc>
          <w:tcPr>
            <w:tcW w:type="dxa" w:w="7200"/>
            <w:tcMar>
              <w:top w:w="80" w:type="dxa"/>
              <w:start w:w="100" w:type="dxa"/>
              <w:bottom w:w="80" w:type="dxa"/>
              <w:end w:w="100" w:type="dxa"/>
            </w:tcMar>
            <w:vAlign w:val="top"/>
          </w:tcPr>
          <w:p>
            <w:pPr>
              <w:spacing w:after="0"/>
            </w:pPr>
            <w:r>
              <w:rPr>
                <w:sz w:val="17"/>
              </w:rPr>
              <w:t>Source abstraction, candidate principle, mapping rules, destination realization.</w:t>
            </w:r>
          </w:p>
        </w:tc>
      </w:tr>
      <w:tr>
        <w:tc>
          <w:tcPr>
            <w:tcW w:type="dxa" w:w="2304"/>
            <w:tcMar>
              <w:top w:w="80" w:type="dxa"/>
              <w:start w:w="100" w:type="dxa"/>
              <w:bottom w:w="80" w:type="dxa"/>
              <w:end w:w="100" w:type="dxa"/>
            </w:tcMar>
            <w:shd w:fill="F5F8F9"/>
            <w:vAlign w:val="top"/>
          </w:tcPr>
          <w:p>
            <w:pPr>
              <w:spacing w:after="0"/>
            </w:pPr>
            <w:r>
              <w:rPr>
                <w:sz w:val="17"/>
              </w:rPr>
              <w:t>L7 - Analogy Breaker</w:t>
            </w:r>
          </w:p>
        </w:tc>
        <w:tc>
          <w:tcPr>
            <w:tcW w:type="dxa" w:w="7200"/>
            <w:tcMar>
              <w:top w:w="80" w:type="dxa"/>
              <w:start w:w="100" w:type="dxa"/>
              <w:bottom w:w="80" w:type="dxa"/>
              <w:end w:w="100" w:type="dxa"/>
            </w:tcMar>
            <w:shd w:fill="F5F8F9"/>
            <w:vAlign w:val="top"/>
          </w:tcPr>
          <w:p>
            <w:pPr>
              <w:spacing w:after="0"/>
            </w:pPr>
            <w:r>
              <w:rPr>
                <w:sz w:val="17"/>
              </w:rPr>
              <w:t>Boundary tests, adversarial perturbations, confound checks, scale/time stress tests.</w:t>
            </w:r>
          </w:p>
        </w:tc>
      </w:tr>
      <w:tr>
        <w:tc>
          <w:tcPr>
            <w:tcW w:type="dxa" w:w="2304"/>
            <w:tcMar>
              <w:top w:w="80" w:type="dxa"/>
              <w:start w:w="100" w:type="dxa"/>
              <w:bottom w:w="80" w:type="dxa"/>
              <w:end w:w="100" w:type="dxa"/>
            </w:tcMar>
            <w:vAlign w:val="top"/>
          </w:tcPr>
          <w:p>
            <w:pPr>
              <w:spacing w:after="0"/>
            </w:pPr>
            <w:r>
              <w:rPr>
                <w:sz w:val="17"/>
              </w:rPr>
              <w:t>L8 - Evaluation</w:t>
            </w:r>
          </w:p>
        </w:tc>
        <w:tc>
          <w:tcPr>
            <w:tcW w:type="dxa" w:w="7200"/>
            <w:tcMar>
              <w:top w:w="80" w:type="dxa"/>
              <w:start w:w="100" w:type="dxa"/>
              <w:bottom w:w="80" w:type="dxa"/>
              <w:end w:w="100" w:type="dxa"/>
            </w:tcMar>
            <w:vAlign w:val="top"/>
          </w:tcPr>
          <w:p>
            <w:pPr>
              <w:spacing w:after="0"/>
            </w:pPr>
            <w:r>
              <w:rPr>
                <w:sz w:val="17"/>
              </w:rPr>
              <w:t>Outcome metrics, validity envelopes, transfer status, uncertainty calibration.</w:t>
            </w:r>
          </w:p>
        </w:tc>
      </w:tr>
      <w:tr>
        <w:tc>
          <w:tcPr>
            <w:tcW w:type="dxa" w:w="2304"/>
            <w:tcMar>
              <w:top w:w="80" w:type="dxa"/>
              <w:start w:w="100" w:type="dxa"/>
              <w:bottom w:w="80" w:type="dxa"/>
              <w:end w:w="100" w:type="dxa"/>
            </w:tcMar>
            <w:shd w:fill="F5F8F9"/>
            <w:vAlign w:val="top"/>
          </w:tcPr>
          <w:p>
            <w:pPr>
              <w:spacing w:after="0"/>
            </w:pPr>
            <w:r>
              <w:rPr>
                <w:sz w:val="17"/>
              </w:rPr>
              <w:t>L9 - Record &amp; Handoff</w:t>
            </w:r>
          </w:p>
        </w:tc>
        <w:tc>
          <w:tcPr>
            <w:tcW w:type="dxa" w:w="7200"/>
            <w:tcMar>
              <w:top w:w="80" w:type="dxa"/>
              <w:start w:w="100" w:type="dxa"/>
              <w:bottom w:w="80" w:type="dxa"/>
              <w:end w:w="100" w:type="dxa"/>
            </w:tcMar>
            <w:shd w:fill="F5F8F9"/>
            <w:vAlign w:val="top"/>
          </w:tcPr>
          <w:p>
            <w:pPr>
              <w:spacing w:after="0"/>
            </w:pPr>
            <w:r>
              <w:rPr>
                <w:sz w:val="17"/>
              </w:rPr>
              <w:t>Transfer Certificates, Dissent Objects, Null Transfer Records, experiment packages.</w:t>
            </w:r>
          </w:p>
        </w:tc>
      </w:tr>
    </w:tbl>
    <w:p/>
    <w:p>
      <w:pPr>
        <w:pStyle w:val="Heading1"/>
      </w:pPr>
      <w:r>
        <w:t>11. Minimum Data Schema v0.1</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160"/>
            <w:shd w:fill="133B4A"/>
            <w:tcMar>
              <w:top w:w="90" w:type="dxa"/>
              <w:start w:w="100" w:type="dxa"/>
              <w:bottom w:w="90" w:type="dxa"/>
              <w:end w:w="100" w:type="dxa"/>
            </w:tcMar>
            <w:vAlign w:val="center"/>
          </w:tcPr>
          <w:p>
            <w:r>
              <w:rPr>
                <w:b/>
                <w:color w:val="FFFFFF"/>
                <w:sz w:val="18"/>
              </w:rPr>
              <w:t>Entity</w:t>
            </w:r>
          </w:p>
        </w:tc>
        <w:tc>
          <w:tcPr>
            <w:tcW w:type="dxa" w:w="7344"/>
            <w:shd w:fill="133B4A"/>
            <w:tcMar>
              <w:top w:w="90" w:type="dxa"/>
              <w:start w:w="100" w:type="dxa"/>
              <w:bottom w:w="90" w:type="dxa"/>
              <w:end w:w="100" w:type="dxa"/>
            </w:tcMar>
            <w:vAlign w:val="center"/>
          </w:tcPr>
          <w:p>
            <w:r>
              <w:rPr>
                <w:b/>
                <w:color w:val="FFFFFF"/>
                <w:sz w:val="18"/>
              </w:rPr>
              <w:t>Minimum fields</w:t>
            </w:r>
          </w:p>
        </w:tc>
      </w:tr>
      <w:tr>
        <w:tc>
          <w:tcPr>
            <w:tcW w:type="dxa" w:w="2160"/>
            <w:tcMar>
              <w:top w:w="80" w:type="dxa"/>
              <w:start w:w="100" w:type="dxa"/>
              <w:bottom w:w="80" w:type="dxa"/>
              <w:end w:w="100" w:type="dxa"/>
            </w:tcMar>
            <w:vAlign w:val="top"/>
          </w:tcPr>
          <w:p>
            <w:pPr>
              <w:spacing w:after="0"/>
            </w:pPr>
            <w:r>
              <w:rPr>
                <w:sz w:val="17"/>
              </w:rPr>
              <w:t>System</w:t>
            </w:r>
          </w:p>
        </w:tc>
        <w:tc>
          <w:tcPr>
            <w:tcW w:type="dxa" w:w="7344"/>
            <w:tcMar>
              <w:top w:w="80" w:type="dxa"/>
              <w:start w:w="100" w:type="dxa"/>
              <w:bottom w:w="80" w:type="dxa"/>
              <w:end w:w="100" w:type="dxa"/>
            </w:tcMar>
            <w:vAlign w:val="top"/>
          </w:tcPr>
          <w:p>
            <w:pPr>
              <w:spacing w:after="0"/>
            </w:pPr>
            <w:r>
              <w:rPr>
                <w:sz w:val="17"/>
              </w:rPr>
              <w:t>system_id, domain, epistemic_label, version, owner/provenance, matrix_contract_id</w:t>
            </w:r>
          </w:p>
        </w:tc>
      </w:tr>
      <w:tr>
        <w:tc>
          <w:tcPr>
            <w:tcW w:type="dxa" w:w="2160"/>
            <w:tcMar>
              <w:top w:w="80" w:type="dxa"/>
              <w:start w:w="100" w:type="dxa"/>
              <w:bottom w:w="80" w:type="dxa"/>
              <w:end w:w="100" w:type="dxa"/>
            </w:tcMar>
            <w:shd w:fill="F5F8F9"/>
            <w:vAlign w:val="top"/>
          </w:tcPr>
          <w:p>
            <w:pPr>
              <w:spacing w:after="0"/>
            </w:pPr>
            <w:r>
              <w:rPr>
                <w:sz w:val="17"/>
              </w:rPr>
              <w:t>Node</w:t>
            </w:r>
          </w:p>
        </w:tc>
        <w:tc>
          <w:tcPr>
            <w:tcW w:type="dxa" w:w="7344"/>
            <w:tcMar>
              <w:top w:w="80" w:type="dxa"/>
              <w:start w:w="100" w:type="dxa"/>
              <w:bottom w:w="80" w:type="dxa"/>
              <w:end w:w="100" w:type="dxa"/>
            </w:tcMar>
            <w:shd w:fill="F5F8F9"/>
            <w:vAlign w:val="top"/>
          </w:tcPr>
          <w:p>
            <w:pPr>
              <w:spacing w:after="0"/>
            </w:pPr>
            <w:r>
              <w:rPr>
                <w:sz w:val="17"/>
              </w:rPr>
              <w:t>node_id, type, state, capacity, observability, uncertainty, criticality</w:t>
            </w:r>
          </w:p>
        </w:tc>
      </w:tr>
      <w:tr>
        <w:tc>
          <w:tcPr>
            <w:tcW w:type="dxa" w:w="2160"/>
            <w:tcMar>
              <w:top w:w="80" w:type="dxa"/>
              <w:start w:w="100" w:type="dxa"/>
              <w:bottom w:w="80" w:type="dxa"/>
              <w:end w:w="100" w:type="dxa"/>
            </w:tcMar>
            <w:vAlign w:val="top"/>
          </w:tcPr>
          <w:p>
            <w:pPr>
              <w:spacing w:after="0"/>
            </w:pPr>
            <w:r>
              <w:rPr>
                <w:sz w:val="17"/>
              </w:rPr>
              <w:t>Edge</w:t>
            </w:r>
          </w:p>
        </w:tc>
        <w:tc>
          <w:tcPr>
            <w:tcW w:type="dxa" w:w="7344"/>
            <w:tcMar>
              <w:top w:w="80" w:type="dxa"/>
              <w:start w:w="100" w:type="dxa"/>
              <w:bottom w:w="80" w:type="dxa"/>
              <w:end w:w="100" w:type="dxa"/>
            </w:tcMar>
            <w:vAlign w:val="top"/>
          </w:tcPr>
          <w:p>
            <w:pPr>
              <w:spacing w:after="0"/>
            </w:pPr>
            <w:r>
              <w:rPr>
                <w:sz w:val="17"/>
              </w:rPr>
              <w:t>edge_id, source, target, directionality, capacity, resistance/cost, state, uncertainty</w:t>
            </w:r>
          </w:p>
        </w:tc>
      </w:tr>
      <w:tr>
        <w:tc>
          <w:tcPr>
            <w:tcW w:type="dxa" w:w="2160"/>
            <w:tcMar>
              <w:top w:w="80" w:type="dxa"/>
              <w:start w:w="100" w:type="dxa"/>
              <w:bottom w:w="80" w:type="dxa"/>
              <w:end w:w="100" w:type="dxa"/>
            </w:tcMar>
            <w:shd w:fill="F5F8F9"/>
            <w:vAlign w:val="top"/>
          </w:tcPr>
          <w:p>
            <w:pPr>
              <w:spacing w:after="0"/>
            </w:pPr>
            <w:r>
              <w:rPr>
                <w:sz w:val="17"/>
              </w:rPr>
              <w:t>Controller</w:t>
            </w:r>
          </w:p>
        </w:tc>
        <w:tc>
          <w:tcPr>
            <w:tcW w:type="dxa" w:w="7344"/>
            <w:tcMar>
              <w:top w:w="80" w:type="dxa"/>
              <w:start w:w="100" w:type="dxa"/>
              <w:bottom w:w="80" w:type="dxa"/>
              <w:end w:w="100" w:type="dxa"/>
            </w:tcMar>
            <w:shd w:fill="F5F8F9"/>
            <w:vAlign w:val="top"/>
          </w:tcPr>
          <w:p>
            <w:pPr>
              <w:spacing w:after="0"/>
            </w:pPr>
            <w:r>
              <w:rPr>
                <w:sz w:val="17"/>
              </w:rPr>
              <w:t>controller_id, objective, policy, allowed_actions, confidence_model, escalation_rule</w:t>
            </w:r>
          </w:p>
        </w:tc>
      </w:tr>
      <w:tr>
        <w:tc>
          <w:tcPr>
            <w:tcW w:type="dxa" w:w="2160"/>
            <w:tcMar>
              <w:top w:w="80" w:type="dxa"/>
              <w:start w:w="100" w:type="dxa"/>
              <w:bottom w:w="80" w:type="dxa"/>
              <w:end w:w="100" w:type="dxa"/>
            </w:tcMar>
            <w:vAlign w:val="top"/>
          </w:tcPr>
          <w:p>
            <w:pPr>
              <w:spacing w:after="0"/>
            </w:pPr>
            <w:r>
              <w:rPr>
                <w:sz w:val="17"/>
              </w:rPr>
              <w:t>Observer</w:t>
            </w:r>
          </w:p>
        </w:tc>
        <w:tc>
          <w:tcPr>
            <w:tcW w:type="dxa" w:w="7344"/>
            <w:tcMar>
              <w:top w:w="80" w:type="dxa"/>
              <w:start w:w="100" w:type="dxa"/>
              <w:bottom w:w="80" w:type="dxa"/>
              <w:end w:w="100" w:type="dxa"/>
            </w:tcMar>
            <w:vAlign w:val="top"/>
          </w:tcPr>
          <w:p>
            <w:pPr>
              <w:spacing w:after="0"/>
            </w:pPr>
            <w:r>
              <w:rPr>
                <w:sz w:val="17"/>
              </w:rPr>
              <w:t>observer_id, sensors, coverage, noise_model, update_rate, prior_model_version</w:t>
            </w:r>
          </w:p>
        </w:tc>
      </w:tr>
      <w:tr>
        <w:tc>
          <w:tcPr>
            <w:tcW w:type="dxa" w:w="2160"/>
            <w:tcMar>
              <w:top w:w="80" w:type="dxa"/>
              <w:start w:w="100" w:type="dxa"/>
              <w:bottom w:w="80" w:type="dxa"/>
              <w:end w:w="100" w:type="dxa"/>
            </w:tcMar>
            <w:shd w:fill="F5F8F9"/>
            <w:vAlign w:val="top"/>
          </w:tcPr>
          <w:p>
            <w:pPr>
              <w:spacing w:after="0"/>
            </w:pPr>
            <w:r>
              <w:rPr>
                <w:sz w:val="17"/>
              </w:rPr>
              <w:t>Translation</w:t>
            </w:r>
          </w:p>
        </w:tc>
        <w:tc>
          <w:tcPr>
            <w:tcW w:type="dxa" w:w="7344"/>
            <w:tcMar>
              <w:top w:w="80" w:type="dxa"/>
              <w:start w:w="100" w:type="dxa"/>
              <w:bottom w:w="80" w:type="dxa"/>
              <w:end w:w="100" w:type="dxa"/>
            </w:tcMar>
            <w:shd w:fill="F5F8F9"/>
            <w:vAlign w:val="top"/>
          </w:tcPr>
          <w:p>
            <w:pPr>
              <w:spacing w:after="0"/>
            </w:pPr>
            <w:r>
              <w:rPr>
                <w:sz w:val="17"/>
              </w:rPr>
              <w:t>translation_id, source_system, destination_system, abstraction, preserved_features, discarded_features, mapping_rules</w:t>
            </w:r>
          </w:p>
        </w:tc>
      </w:tr>
      <w:tr>
        <w:tc>
          <w:tcPr>
            <w:tcW w:type="dxa" w:w="2160"/>
            <w:tcMar>
              <w:top w:w="80" w:type="dxa"/>
              <w:start w:w="100" w:type="dxa"/>
              <w:bottom w:w="80" w:type="dxa"/>
              <w:end w:w="100" w:type="dxa"/>
            </w:tcMar>
            <w:vAlign w:val="top"/>
          </w:tcPr>
          <w:p>
            <w:pPr>
              <w:spacing w:after="0"/>
            </w:pPr>
            <w:r>
              <w:rPr>
                <w:sz w:val="17"/>
              </w:rPr>
              <w:t>Experiment</w:t>
            </w:r>
          </w:p>
        </w:tc>
        <w:tc>
          <w:tcPr>
            <w:tcW w:type="dxa" w:w="7344"/>
            <w:tcMar>
              <w:top w:w="80" w:type="dxa"/>
              <w:start w:w="100" w:type="dxa"/>
              <w:bottom w:w="80" w:type="dxa"/>
              <w:end w:w="100" w:type="dxa"/>
            </w:tcMar>
            <w:vAlign w:val="top"/>
          </w:tcPr>
          <w:p>
            <w:pPr>
              <w:spacing w:after="0"/>
            </w:pPr>
            <w:r>
              <w:rPr>
                <w:sz w:val="17"/>
              </w:rPr>
              <w:t>experiment_id, hypothesis, variables, controls, perturbation, metrics, random_seed, repetitions</w:t>
            </w:r>
          </w:p>
        </w:tc>
      </w:tr>
      <w:tr>
        <w:tc>
          <w:tcPr>
            <w:tcW w:type="dxa" w:w="2160"/>
            <w:tcMar>
              <w:top w:w="80" w:type="dxa"/>
              <w:start w:w="100" w:type="dxa"/>
              <w:bottom w:w="80" w:type="dxa"/>
              <w:end w:w="100" w:type="dxa"/>
            </w:tcMar>
            <w:shd w:fill="F5F8F9"/>
            <w:vAlign w:val="top"/>
          </w:tcPr>
          <w:p>
            <w:pPr>
              <w:spacing w:after="0"/>
            </w:pPr>
            <w:r>
              <w:rPr>
                <w:sz w:val="17"/>
              </w:rPr>
              <w:t>Outcome</w:t>
            </w:r>
          </w:p>
        </w:tc>
        <w:tc>
          <w:tcPr>
            <w:tcW w:type="dxa" w:w="7344"/>
            <w:tcMar>
              <w:top w:w="80" w:type="dxa"/>
              <w:start w:w="100" w:type="dxa"/>
              <w:bottom w:w="80" w:type="dxa"/>
              <w:end w:w="100" w:type="dxa"/>
            </w:tcMar>
            <w:shd w:fill="F5F8F9"/>
            <w:vAlign w:val="top"/>
          </w:tcPr>
          <w:p>
            <w:pPr>
              <w:spacing w:after="0"/>
            </w:pPr>
            <w:r>
              <w:rPr>
                <w:sz w:val="17"/>
              </w:rPr>
              <w:t>success_metrics, failure_metrics, calibration_error, damage/cost, runtime, confidence</w:t>
            </w:r>
          </w:p>
        </w:tc>
      </w:tr>
      <w:tr>
        <w:tc>
          <w:tcPr>
            <w:tcW w:type="dxa" w:w="2160"/>
            <w:tcMar>
              <w:top w:w="80" w:type="dxa"/>
              <w:start w:w="100" w:type="dxa"/>
              <w:bottom w:w="80" w:type="dxa"/>
              <w:end w:w="100" w:type="dxa"/>
            </w:tcMar>
            <w:vAlign w:val="top"/>
          </w:tcPr>
          <w:p>
            <w:pPr>
              <w:spacing w:after="0"/>
            </w:pPr>
            <w:r>
              <w:rPr>
                <w:sz w:val="17"/>
              </w:rPr>
              <w:t>Validity Envelope</w:t>
            </w:r>
          </w:p>
        </w:tc>
        <w:tc>
          <w:tcPr>
            <w:tcW w:type="dxa" w:w="7344"/>
            <w:tcMar>
              <w:top w:w="80" w:type="dxa"/>
              <w:start w:w="100" w:type="dxa"/>
              <w:bottom w:w="80" w:type="dxa"/>
              <w:end w:w="100" w:type="dxa"/>
            </w:tcMar>
            <w:vAlign w:val="top"/>
          </w:tcPr>
          <w:p>
            <w:pPr>
              <w:spacing w:after="0"/>
            </w:pPr>
            <w:r>
              <w:rPr>
                <w:sz w:val="17"/>
              </w:rPr>
              <w:t>tested_ranges, supported_ranges, unsupported_ranges, unknown_ranges</w:t>
            </w:r>
          </w:p>
        </w:tc>
      </w:tr>
      <w:tr>
        <w:tc>
          <w:tcPr>
            <w:tcW w:type="dxa" w:w="2160"/>
            <w:tcMar>
              <w:top w:w="80" w:type="dxa"/>
              <w:start w:w="100" w:type="dxa"/>
              <w:bottom w:w="80" w:type="dxa"/>
              <w:end w:w="100" w:type="dxa"/>
            </w:tcMar>
            <w:shd w:fill="F5F8F9"/>
            <w:vAlign w:val="top"/>
          </w:tcPr>
          <w:p>
            <w:pPr>
              <w:spacing w:after="0"/>
            </w:pPr>
            <w:r>
              <w:rPr>
                <w:sz w:val="17"/>
              </w:rPr>
              <w:t>Dissent Object</w:t>
            </w:r>
          </w:p>
        </w:tc>
        <w:tc>
          <w:tcPr>
            <w:tcW w:type="dxa" w:w="7344"/>
            <w:tcMar>
              <w:top w:w="80" w:type="dxa"/>
              <w:start w:w="100" w:type="dxa"/>
              <w:bottom w:w="80" w:type="dxa"/>
              <w:end w:w="100" w:type="dxa"/>
            </w:tcMar>
            <w:shd w:fill="F5F8F9"/>
            <w:vAlign w:val="top"/>
          </w:tcPr>
          <w:p>
            <w:pPr>
              <w:spacing w:after="0"/>
            </w:pPr>
            <w:r>
              <w:rPr>
                <w:sz w:val="17"/>
              </w:rPr>
              <w:t>claim_id, alternative_mechanism, objection, discriminating_test, status</w:t>
            </w:r>
          </w:p>
        </w:tc>
      </w:tr>
      <w:tr>
        <w:tc>
          <w:tcPr>
            <w:tcW w:type="dxa" w:w="2160"/>
            <w:tcMar>
              <w:top w:w="80" w:type="dxa"/>
              <w:start w:w="100" w:type="dxa"/>
              <w:bottom w:w="80" w:type="dxa"/>
              <w:end w:w="100" w:type="dxa"/>
            </w:tcMar>
            <w:vAlign w:val="top"/>
          </w:tcPr>
          <w:p>
            <w:pPr>
              <w:spacing w:after="0"/>
            </w:pPr>
            <w:r>
              <w:rPr>
                <w:sz w:val="17"/>
              </w:rPr>
              <w:t>Transfer Certificate</w:t>
            </w:r>
          </w:p>
        </w:tc>
        <w:tc>
          <w:tcPr>
            <w:tcW w:type="dxa" w:w="7344"/>
            <w:tcMar>
              <w:top w:w="80" w:type="dxa"/>
              <w:start w:w="100" w:type="dxa"/>
              <w:bottom w:w="80" w:type="dxa"/>
              <w:end w:w="100" w:type="dxa"/>
            </w:tcMar>
            <w:vAlign w:val="top"/>
          </w:tcPr>
          <w:p>
            <w:pPr>
              <w:spacing w:after="0"/>
            </w:pPr>
            <w:r>
              <w:rPr>
                <w:sz w:val="17"/>
              </w:rPr>
              <w:t>source, candidate_principle, destination, evidence, transfer_status, limitations, provenance</w:t>
            </w:r>
          </w:p>
        </w:tc>
      </w:tr>
    </w:tbl>
    <w:p/>
    <w:p>
      <w:pPr>
        <w:pStyle w:val="Heading1"/>
      </w:pPr>
      <w:r>
        <w:t>12. Experimental Program</w:t>
      </w:r>
    </w:p>
    <w:p>
      <w:pPr>
        <w:pStyle w:val="Heading2"/>
      </w:pPr>
      <w:r>
        <w:t>Experiment 1 - Transfer Breakpoint</w:t>
      </w:r>
    </w:p>
    <w:p>
      <w:r>
        <w:t>Use three superficially similar synthetic branching networks (fluid, packet, abstract resource). Change one hidden property at a time - directionality, capacity, storage, loss, latency, adaptation, repair, or conservation rule - and measure when architectural similarity stops predicting similar outcomes.</w:t>
      </w:r>
    </w:p>
    <w:p>
      <w:r>
        <w:rPr>
          <w:b/>
          <w:color w:val="0E5963"/>
        </w:rPr>
        <w:t>Primary output: first Transfer Certificates and validity envelopes.</w:t>
      </w:r>
    </w:p>
    <w:p>
      <w:pPr>
        <w:pStyle w:val="Heading2"/>
      </w:pPr>
      <w:r>
        <w:t>Experiment 2 - Recognition Before Intervention</w:t>
      </w:r>
    </w:p>
    <w:p>
      <w:r>
        <w:t>Run one hidden network with multiple controllers: exact map, outdated map, population-average map, no map with active sensing, and inaccurate map with high confidence. Compare success, damage, resource use, interventions, and recovery.</w:t>
      </w:r>
    </w:p>
    <w:p>
      <w:r>
        <w:rPr>
          <w:b/>
          <w:color w:val="0E5963"/>
        </w:rPr>
        <w:t>Primary output: map-reality distance curves and confidence-risk relationship.</w:t>
      </w:r>
    </w:p>
    <w:p>
      <w:pPr>
        <w:pStyle w:val="Heading2"/>
      </w:pPr>
      <w:r>
        <w:t>Experiment 3 - Epoch Blade Model Drift</w:t>
      </w:r>
    </w:p>
    <w:p>
      <w:r>
        <w:t>Use a fictional state-space model. The Blade begins with an accurate wielder model, then experiences controlled drift caused by injury, adaptation, external modification, or deliberate deception. Test detection, update, safe refusal, and retraining behavior.</w:t>
      </w:r>
    </w:p>
    <w:p>
      <w:r>
        <w:rPr>
          <w:b/>
          <w:color w:val="0E5963"/>
        </w:rPr>
        <w:t>Primary output: stale-model detection thresholds and fictional governance rules.</w:t>
      </w:r>
    </w:p>
    <w:p>
      <w:pPr>
        <w:pStyle w:val="Heading2"/>
      </w:pPr>
      <w:r>
        <w:t>Experiment 4 - Scale Translation</w:t>
      </w:r>
    </w:p>
    <w:p>
      <w:r>
        <w:t>Apply the same candidate principle across micro, meso, and macro representations of a synthetic system. Determine when a local rule ceases to predict system-level behavior.</w:t>
      </w:r>
    </w:p>
    <w:p>
      <w:r>
        <w:rPr>
          <w:b/>
          <w:color w:val="0E5963"/>
        </w:rPr>
        <w:t>Primary output: scale validity envelope.</w:t>
      </w:r>
    </w:p>
    <w:p>
      <w:pPr>
        <w:pStyle w:val="Heading2"/>
      </w:pPr>
      <w:r>
        <w:t>Experiment 5 - Temporal Translation</w:t>
      </w:r>
    </w:p>
    <w:p>
      <w:r>
        <w:t>Compare snapshot similarity with trajectory similarity. Allow one architecture to grow, heal, learn, or decay while another remains fixed.</w:t>
      </w:r>
    </w:p>
    <w:p>
      <w:r>
        <w:rPr>
          <w:b/>
          <w:color w:val="0E5963"/>
        </w:rPr>
        <w:t>Primary output: distinction between structural similarity at t0 and dynamic similarity over time.</w:t>
      </w:r>
    </w:p>
    <w:p>
      <w:pPr>
        <w:pStyle w:val="Heading2"/>
      </w:pPr>
      <w:r>
        <w:t>Experiment 6 - Null Transfer Challenge</w:t>
      </w:r>
    </w:p>
    <w:p>
      <w:r>
        <w:t>Intentionally select visually similar but mechanistically unrelated systems and test whether the framework correctly refuses a transfer.</w:t>
      </w:r>
    </w:p>
    <w:p>
      <w:r>
        <w:rPr>
          <w:b/>
          <w:color w:val="0E5963"/>
        </w:rPr>
        <w:t>Primary output: false-positive rate for analogy detection.</w:t>
      </w:r>
    </w:p>
    <w:p>
      <w:pPr>
        <w:pStyle w:val="Heading2"/>
      </w:pPr>
      <w:r>
        <w:t>Experiment 7 - Competing Mechanisms</w:t>
      </w:r>
    </w:p>
    <w:p>
      <w:r>
        <w:t>Hold observed outcomes constant while varying the generating mechanism. Require the lab to preserve multiple explanations and propose discriminating experiments.</w:t>
      </w:r>
    </w:p>
    <w:p>
      <w:r>
        <w:rPr>
          <w:b/>
          <w:color w:val="0E5963"/>
        </w:rPr>
        <w:t>Primary output: Dissent Objects and mechanism-identification tests.</w:t>
      </w:r>
    </w:p>
    <w:p>
      <w:pPr>
        <w:pStyle w:val="Heading2"/>
      </w:pPr>
      <w:r>
        <w:t>Experiment 8 - Validity Envelope Expansion</w:t>
      </w:r>
    </w:p>
    <w:p>
      <w:r>
        <w:t>After a transfer is supported, systematically expand load, uncertainty, scale, failure rate, and environmental conditions until performance degrades.</w:t>
      </w:r>
    </w:p>
    <w:p>
      <w:r>
        <w:rPr>
          <w:b/>
          <w:color w:val="0E5963"/>
        </w:rPr>
        <w:t>Primary output: quantified operating boundary rather than a binary “works” claim.</w:t>
      </w:r>
    </w:p>
    <w:p>
      <w:pPr>
        <w:pStyle w:val="Heading1"/>
      </w:pPr>
      <w:r>
        <w:t>13. Evaluation and Metrics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448"/>
            <w:shd w:fill="133B4A"/>
            <w:tcMar>
              <w:top w:w="90" w:type="dxa"/>
              <w:start w:w="100" w:type="dxa"/>
              <w:bottom w:w="90" w:type="dxa"/>
              <w:end w:w="100" w:type="dxa"/>
            </w:tcMar>
            <w:vAlign w:val="center"/>
          </w:tcPr>
          <w:p>
            <w:r>
              <w:rPr>
                <w:b/>
                <w:color w:val="FFFFFF"/>
                <w:sz w:val="19"/>
              </w:rPr>
              <w:t>Metric family</w:t>
            </w:r>
          </w:p>
        </w:tc>
        <w:tc>
          <w:tcPr>
            <w:tcW w:type="dxa" w:w="7056"/>
            <w:shd w:fill="133B4A"/>
            <w:tcMar>
              <w:top w:w="90" w:type="dxa"/>
              <w:start w:w="100" w:type="dxa"/>
              <w:bottom w:w="90" w:type="dxa"/>
              <w:end w:w="100" w:type="dxa"/>
            </w:tcMar>
            <w:vAlign w:val="center"/>
          </w:tcPr>
          <w:p>
            <w:r>
              <w:rPr>
                <w:b/>
                <w:color w:val="FFFFFF"/>
                <w:sz w:val="19"/>
              </w:rPr>
              <w:t>Representative measures</w:t>
            </w:r>
          </w:p>
        </w:tc>
      </w:tr>
      <w:tr>
        <w:tc>
          <w:tcPr>
            <w:tcW w:type="dxa" w:w="2448"/>
            <w:tcMar>
              <w:top w:w="80" w:type="dxa"/>
              <w:start w:w="100" w:type="dxa"/>
              <w:bottom w:w="80" w:type="dxa"/>
              <w:end w:w="100" w:type="dxa"/>
            </w:tcMar>
            <w:vAlign w:val="top"/>
          </w:tcPr>
          <w:p>
            <w:pPr>
              <w:spacing w:after="0"/>
            </w:pPr>
            <w:r>
              <w:rPr>
                <w:sz w:val="18"/>
              </w:rPr>
              <w:t>Transfer quality</w:t>
            </w:r>
          </w:p>
        </w:tc>
        <w:tc>
          <w:tcPr>
            <w:tcW w:type="dxa" w:w="7056"/>
            <w:tcMar>
              <w:top w:w="80" w:type="dxa"/>
              <w:start w:w="100" w:type="dxa"/>
              <w:bottom w:w="80" w:type="dxa"/>
              <w:end w:w="100" w:type="dxa"/>
            </w:tcMar>
            <w:vAlign w:val="top"/>
          </w:tcPr>
          <w:p>
            <w:pPr>
              <w:spacing w:after="0"/>
            </w:pPr>
            <w:r>
              <w:rPr>
                <w:sz w:val="18"/>
              </w:rPr>
              <w:t>Destination performance gain/loss, mechanism fidelity, retained causal variables, transfer reproducibility.</w:t>
            </w:r>
          </w:p>
        </w:tc>
      </w:tr>
      <w:tr>
        <w:tc>
          <w:tcPr>
            <w:tcW w:type="dxa" w:w="2448"/>
            <w:tcMar>
              <w:top w:w="80" w:type="dxa"/>
              <w:start w:w="100" w:type="dxa"/>
              <w:bottom w:w="80" w:type="dxa"/>
              <w:end w:w="100" w:type="dxa"/>
            </w:tcMar>
            <w:shd w:fill="F5F8F9"/>
            <w:vAlign w:val="top"/>
          </w:tcPr>
          <w:p>
            <w:pPr>
              <w:spacing w:after="0"/>
            </w:pPr>
            <w:r>
              <w:rPr>
                <w:sz w:val="18"/>
              </w:rPr>
              <w:t>Boundary quality</w:t>
            </w:r>
          </w:p>
        </w:tc>
        <w:tc>
          <w:tcPr>
            <w:tcW w:type="dxa" w:w="7056"/>
            <w:tcMar>
              <w:top w:w="80" w:type="dxa"/>
              <w:start w:w="100" w:type="dxa"/>
              <w:bottom w:w="80" w:type="dxa"/>
              <w:end w:w="100" w:type="dxa"/>
            </w:tcMar>
            <w:shd w:fill="F5F8F9"/>
            <w:vAlign w:val="top"/>
          </w:tcPr>
          <w:p>
            <w:pPr>
              <w:spacing w:after="0"/>
            </w:pPr>
            <w:r>
              <w:rPr>
                <w:sz w:val="18"/>
              </w:rPr>
              <w:t>Width of tested envelope, breakpoint precision, sensitivity to untested variables.</w:t>
            </w:r>
          </w:p>
        </w:tc>
      </w:tr>
      <w:tr>
        <w:tc>
          <w:tcPr>
            <w:tcW w:type="dxa" w:w="2448"/>
            <w:tcMar>
              <w:top w:w="80" w:type="dxa"/>
              <w:start w:w="100" w:type="dxa"/>
              <w:bottom w:w="80" w:type="dxa"/>
              <w:end w:w="100" w:type="dxa"/>
            </w:tcMar>
            <w:vAlign w:val="top"/>
          </w:tcPr>
          <w:p>
            <w:pPr>
              <w:spacing w:after="0"/>
            </w:pPr>
            <w:r>
              <w:rPr>
                <w:sz w:val="18"/>
              </w:rPr>
              <w:t>Observer quality</w:t>
            </w:r>
          </w:p>
        </w:tc>
        <w:tc>
          <w:tcPr>
            <w:tcW w:type="dxa" w:w="7056"/>
            <w:tcMar>
              <w:top w:w="80" w:type="dxa"/>
              <w:start w:w="100" w:type="dxa"/>
              <w:bottom w:w="80" w:type="dxa"/>
              <w:end w:w="100" w:type="dxa"/>
            </w:tcMar>
            <w:vAlign w:val="top"/>
          </w:tcPr>
          <w:p>
            <w:pPr>
              <w:spacing w:after="0"/>
            </w:pPr>
            <w:r>
              <w:rPr>
                <w:sz w:val="18"/>
              </w:rPr>
              <w:t>Map-reality distance, calibration error, false confidence, information acquisition cost.</w:t>
            </w:r>
          </w:p>
        </w:tc>
      </w:tr>
      <w:tr>
        <w:tc>
          <w:tcPr>
            <w:tcW w:type="dxa" w:w="2448"/>
            <w:tcMar>
              <w:top w:w="80" w:type="dxa"/>
              <w:start w:w="100" w:type="dxa"/>
              <w:bottom w:w="80" w:type="dxa"/>
              <w:end w:w="100" w:type="dxa"/>
            </w:tcMar>
            <w:shd w:fill="F5F8F9"/>
            <w:vAlign w:val="top"/>
          </w:tcPr>
          <w:p>
            <w:pPr>
              <w:spacing w:after="0"/>
            </w:pPr>
            <w:r>
              <w:rPr>
                <w:sz w:val="18"/>
              </w:rPr>
              <w:t>Intervention quality</w:t>
            </w:r>
          </w:p>
        </w:tc>
        <w:tc>
          <w:tcPr>
            <w:tcW w:type="dxa" w:w="7056"/>
            <w:tcMar>
              <w:top w:w="80" w:type="dxa"/>
              <w:start w:w="100" w:type="dxa"/>
              <w:bottom w:w="80" w:type="dxa"/>
              <w:end w:w="100" w:type="dxa"/>
            </w:tcMar>
            <w:shd w:fill="F5F8F9"/>
            <w:vAlign w:val="top"/>
          </w:tcPr>
          <w:p>
            <w:pPr>
              <w:spacing w:after="0"/>
            </w:pPr>
            <w:r>
              <w:rPr>
                <w:sz w:val="18"/>
              </w:rPr>
              <w:t>Success rate, cumulative cost, damage, number of interventions, escalation timing.</w:t>
            </w:r>
          </w:p>
        </w:tc>
      </w:tr>
      <w:tr>
        <w:tc>
          <w:tcPr>
            <w:tcW w:type="dxa" w:w="2448"/>
            <w:tcMar>
              <w:top w:w="80" w:type="dxa"/>
              <w:start w:w="100" w:type="dxa"/>
              <w:bottom w:w="80" w:type="dxa"/>
              <w:end w:w="100" w:type="dxa"/>
            </w:tcMar>
            <w:vAlign w:val="top"/>
          </w:tcPr>
          <w:p>
            <w:pPr>
              <w:spacing w:after="0"/>
            </w:pPr>
            <w:r>
              <w:rPr>
                <w:sz w:val="18"/>
              </w:rPr>
              <w:t>Robustness</w:t>
            </w:r>
          </w:p>
        </w:tc>
        <w:tc>
          <w:tcPr>
            <w:tcW w:type="dxa" w:w="7056"/>
            <w:tcMar>
              <w:top w:w="80" w:type="dxa"/>
              <w:start w:w="100" w:type="dxa"/>
              <w:bottom w:w="80" w:type="dxa"/>
              <w:end w:w="100" w:type="dxa"/>
            </w:tcMar>
            <w:vAlign w:val="top"/>
          </w:tcPr>
          <w:p>
            <w:pPr>
              <w:spacing w:after="0"/>
            </w:pPr>
            <w:r>
              <w:rPr>
                <w:sz w:val="18"/>
              </w:rPr>
              <w:t>Performance under perturbation, correlated failures, uncertainty, topology changes, and delayed sensing.</w:t>
            </w:r>
          </w:p>
        </w:tc>
      </w:tr>
      <w:tr>
        <w:tc>
          <w:tcPr>
            <w:tcW w:type="dxa" w:w="2448"/>
            <w:tcMar>
              <w:top w:w="80" w:type="dxa"/>
              <w:start w:w="100" w:type="dxa"/>
              <w:bottom w:w="80" w:type="dxa"/>
              <w:end w:w="100" w:type="dxa"/>
            </w:tcMar>
            <w:shd w:fill="F5F8F9"/>
            <w:vAlign w:val="top"/>
          </w:tcPr>
          <w:p>
            <w:pPr>
              <w:spacing w:after="0"/>
            </w:pPr>
            <w:r>
              <w:rPr>
                <w:sz w:val="18"/>
              </w:rPr>
              <w:t>Scientific discipline</w:t>
            </w:r>
          </w:p>
        </w:tc>
        <w:tc>
          <w:tcPr>
            <w:tcW w:type="dxa" w:w="7056"/>
            <w:tcMar>
              <w:top w:w="80" w:type="dxa"/>
              <w:start w:w="100" w:type="dxa"/>
              <w:bottom w:w="80" w:type="dxa"/>
              <w:end w:w="100" w:type="dxa"/>
            </w:tcMar>
            <w:shd w:fill="F5F8F9"/>
            <w:vAlign w:val="top"/>
          </w:tcPr>
          <w:p>
            <w:pPr>
              <w:spacing w:after="0"/>
            </w:pPr>
            <w:r>
              <w:rPr>
                <w:sz w:val="18"/>
              </w:rPr>
              <w:t>Null-transfer acceptance rate, alternative mechanisms retained, provenance completeness, repeatability.</w:t>
            </w:r>
          </w:p>
        </w:tc>
      </w:tr>
      <w:tr>
        <w:tc>
          <w:tcPr>
            <w:tcW w:type="dxa" w:w="2448"/>
            <w:tcMar>
              <w:top w:w="80" w:type="dxa"/>
              <w:start w:w="100" w:type="dxa"/>
              <w:bottom w:w="80" w:type="dxa"/>
              <w:end w:w="100" w:type="dxa"/>
            </w:tcMar>
            <w:vAlign w:val="top"/>
          </w:tcPr>
          <w:p>
            <w:pPr>
              <w:spacing w:after="0"/>
            </w:pPr>
            <w:r>
              <w:rPr>
                <w:sz w:val="18"/>
              </w:rPr>
              <w:t>Software quality</w:t>
            </w:r>
          </w:p>
        </w:tc>
        <w:tc>
          <w:tcPr>
            <w:tcW w:type="dxa" w:w="7056"/>
            <w:tcMar>
              <w:top w:w="80" w:type="dxa"/>
              <w:start w:w="100" w:type="dxa"/>
              <w:bottom w:w="80" w:type="dxa"/>
              <w:end w:w="100" w:type="dxa"/>
            </w:tcMar>
            <w:vAlign w:val="top"/>
          </w:tcPr>
          <w:p>
            <w:pPr>
              <w:spacing w:after="0"/>
            </w:pPr>
            <w:r>
              <w:rPr>
                <w:sz w:val="18"/>
              </w:rPr>
              <w:t>Deterministic replay, test coverage, scenario portability, adapter isolation, logging completeness.</w:t>
            </w:r>
          </w:p>
        </w:tc>
      </w:tr>
      <w:tr>
        <w:tc>
          <w:tcPr>
            <w:tcW w:type="dxa" w:w="2448"/>
            <w:tcMar>
              <w:top w:w="80" w:type="dxa"/>
              <w:start w:w="100" w:type="dxa"/>
              <w:bottom w:w="80" w:type="dxa"/>
              <w:end w:w="100" w:type="dxa"/>
            </w:tcMar>
            <w:shd w:fill="F5F8F9"/>
            <w:vAlign w:val="top"/>
          </w:tcPr>
          <w:p>
            <w:pPr>
              <w:spacing w:after="0"/>
            </w:pPr>
            <w:r>
              <w:rPr>
                <w:sz w:val="18"/>
              </w:rPr>
              <w:t>Governance quality</w:t>
            </w:r>
          </w:p>
        </w:tc>
        <w:tc>
          <w:tcPr>
            <w:tcW w:type="dxa" w:w="7056"/>
            <w:tcMar>
              <w:top w:w="80" w:type="dxa"/>
              <w:start w:w="100" w:type="dxa"/>
              <w:bottom w:w="80" w:type="dxa"/>
              <w:end w:w="100" w:type="dxa"/>
            </w:tcMar>
            <w:shd w:fill="F5F8F9"/>
            <w:vAlign w:val="top"/>
          </w:tcPr>
          <w:p>
            <w:pPr>
              <w:spacing w:after="0"/>
            </w:pPr>
            <w:r>
              <w:rPr>
                <w:sz w:val="18"/>
              </w:rPr>
              <w:t>Consent/ownership metadata completeness where applicable, access control, audit trail, data minimization.</w:t>
            </w:r>
          </w:p>
        </w:tc>
      </w:tr>
    </w:tbl>
    <w:p/>
    <w:p>
      <w:pPr>
        <w:pStyle w:val="Heading1"/>
      </w:pPr>
      <w:r>
        <w:t>14. Software and Simulation Implementation</w:t>
      </w:r>
    </w:p>
    <w:p>
      <w:r>
        <w:t>The laboratory should be built as a modular simulation platform rather than a single hard-coded visualization. The minimum viable technical implementation can be a Python back end with a browser-based visual front end, but the research architecture must remain portable so scenarios can later run in notebooks, batch experiments, or higher-fidelity engines.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448"/>
            <w:shd w:fill="133B4A"/>
            <w:tcMar>
              <w:top w:w="90" w:type="dxa"/>
              <w:start w:w="100" w:type="dxa"/>
              <w:bottom w:w="90" w:type="dxa"/>
              <w:end w:w="100" w:type="dxa"/>
            </w:tcMar>
            <w:vAlign w:val="center"/>
          </w:tcPr>
          <w:p>
            <w:r>
              <w:rPr>
                <w:b/>
                <w:color w:val="FFFFFF"/>
                <w:sz w:val="18"/>
              </w:rPr>
              <w:t>Component</w:t>
            </w:r>
          </w:p>
        </w:tc>
        <w:tc>
          <w:tcPr>
            <w:tcW w:type="dxa" w:w="7056"/>
            <w:shd w:fill="133B4A"/>
            <w:tcMar>
              <w:top w:w="90" w:type="dxa"/>
              <w:start w:w="100" w:type="dxa"/>
              <w:bottom w:w="90" w:type="dxa"/>
              <w:end w:w="100" w:type="dxa"/>
            </w:tcMar>
            <w:vAlign w:val="center"/>
          </w:tcPr>
          <w:p>
            <w:r>
              <w:rPr>
                <w:b/>
                <w:color w:val="FFFFFF"/>
                <w:sz w:val="18"/>
              </w:rPr>
              <w:t>Recommended responsibility</w:t>
            </w:r>
          </w:p>
        </w:tc>
      </w:tr>
      <w:tr>
        <w:tc>
          <w:tcPr>
            <w:tcW w:type="dxa" w:w="2448"/>
            <w:tcMar>
              <w:top w:w="80" w:type="dxa"/>
              <w:start w:w="100" w:type="dxa"/>
              <w:bottom w:w="80" w:type="dxa"/>
              <w:end w:w="100" w:type="dxa"/>
            </w:tcMar>
            <w:vAlign w:val="top"/>
          </w:tcPr>
          <w:p>
            <w:pPr>
              <w:spacing w:after="0"/>
            </w:pPr>
            <w:r>
              <w:rPr>
                <w:sz w:val="17"/>
              </w:rPr>
              <w:t>Scenario Loader</w:t>
            </w:r>
          </w:p>
        </w:tc>
        <w:tc>
          <w:tcPr>
            <w:tcW w:type="dxa" w:w="7056"/>
            <w:tcMar>
              <w:top w:w="80" w:type="dxa"/>
              <w:start w:w="100" w:type="dxa"/>
              <w:bottom w:w="80" w:type="dxa"/>
              <w:end w:w="100" w:type="dxa"/>
            </w:tcMar>
            <w:vAlign w:val="top"/>
          </w:tcPr>
          <w:p>
            <w:pPr>
              <w:spacing w:after="0"/>
            </w:pPr>
            <w:r>
              <w:rPr>
                <w:sz w:val="17"/>
              </w:rPr>
              <w:t>Load synthetic systems, domain adapters, policies, and initial states from versioned files.</w:t>
            </w:r>
          </w:p>
        </w:tc>
      </w:tr>
      <w:tr>
        <w:tc>
          <w:tcPr>
            <w:tcW w:type="dxa" w:w="2448"/>
            <w:tcMar>
              <w:top w:w="80" w:type="dxa"/>
              <w:start w:w="100" w:type="dxa"/>
              <w:bottom w:w="80" w:type="dxa"/>
              <w:end w:w="100" w:type="dxa"/>
            </w:tcMar>
            <w:shd w:fill="F5F8F9"/>
            <w:vAlign w:val="top"/>
          </w:tcPr>
          <w:p>
            <w:pPr>
              <w:spacing w:after="0"/>
            </w:pPr>
            <w:r>
              <w:rPr>
                <w:sz w:val="17"/>
              </w:rPr>
              <w:t>Graph/Spatial Engine</w:t>
            </w:r>
          </w:p>
        </w:tc>
        <w:tc>
          <w:tcPr>
            <w:tcW w:type="dxa" w:w="7056"/>
            <w:tcMar>
              <w:top w:w="80" w:type="dxa"/>
              <w:start w:w="100" w:type="dxa"/>
              <w:bottom w:w="80" w:type="dxa"/>
              <w:end w:w="100" w:type="dxa"/>
            </w:tcMar>
            <w:shd w:fill="F5F8F9"/>
            <w:vAlign w:val="top"/>
          </w:tcPr>
          <w:p>
            <w:pPr>
              <w:spacing w:after="0"/>
            </w:pPr>
            <w:r>
              <w:rPr>
                <w:sz w:val="17"/>
              </w:rPr>
              <w:t>Represent graph topology and optional geometry.</w:t>
            </w:r>
          </w:p>
        </w:tc>
      </w:tr>
      <w:tr>
        <w:tc>
          <w:tcPr>
            <w:tcW w:type="dxa" w:w="2448"/>
            <w:tcMar>
              <w:top w:w="80" w:type="dxa"/>
              <w:start w:w="100" w:type="dxa"/>
              <w:bottom w:w="80" w:type="dxa"/>
              <w:end w:w="100" w:type="dxa"/>
            </w:tcMar>
            <w:vAlign w:val="top"/>
          </w:tcPr>
          <w:p>
            <w:pPr>
              <w:spacing w:after="0"/>
            </w:pPr>
            <w:r>
              <w:rPr>
                <w:sz w:val="17"/>
              </w:rPr>
              <w:t>Domain Dynamics Adapter</w:t>
            </w:r>
          </w:p>
        </w:tc>
        <w:tc>
          <w:tcPr>
            <w:tcW w:type="dxa" w:w="7056"/>
            <w:tcMar>
              <w:top w:w="80" w:type="dxa"/>
              <w:start w:w="100" w:type="dxa"/>
              <w:bottom w:w="80" w:type="dxa"/>
              <w:end w:w="100" w:type="dxa"/>
            </w:tcMar>
            <w:vAlign w:val="top"/>
          </w:tcPr>
          <w:p>
            <w:pPr>
              <w:spacing w:after="0"/>
            </w:pPr>
            <w:r>
              <w:rPr>
                <w:sz w:val="17"/>
              </w:rPr>
              <w:t>Compute domain-specific state transitions without contaminating the common layer.</w:t>
            </w:r>
          </w:p>
        </w:tc>
      </w:tr>
      <w:tr>
        <w:tc>
          <w:tcPr>
            <w:tcW w:type="dxa" w:w="2448"/>
            <w:tcMar>
              <w:top w:w="80" w:type="dxa"/>
              <w:start w:w="100" w:type="dxa"/>
              <w:bottom w:w="80" w:type="dxa"/>
              <w:end w:w="100" w:type="dxa"/>
            </w:tcMar>
            <w:shd w:fill="F5F8F9"/>
            <w:vAlign w:val="top"/>
          </w:tcPr>
          <w:p>
            <w:pPr>
              <w:spacing w:after="0"/>
            </w:pPr>
            <w:r>
              <w:rPr>
                <w:sz w:val="17"/>
              </w:rPr>
              <w:t>Observer/Belief Engine</w:t>
            </w:r>
          </w:p>
        </w:tc>
        <w:tc>
          <w:tcPr>
            <w:tcW w:type="dxa" w:w="7056"/>
            <w:tcMar>
              <w:top w:w="80" w:type="dxa"/>
              <w:start w:w="100" w:type="dxa"/>
              <w:bottom w:w="80" w:type="dxa"/>
              <w:end w:w="100" w:type="dxa"/>
            </w:tcMar>
            <w:shd w:fill="F5F8F9"/>
            <w:vAlign w:val="top"/>
          </w:tcPr>
          <w:p>
            <w:pPr>
              <w:spacing w:after="0"/>
            </w:pPr>
            <w:r>
              <w:rPr>
                <w:sz w:val="17"/>
              </w:rPr>
              <w:t>Maintain estimated system state separately from ground truth.</w:t>
            </w:r>
          </w:p>
        </w:tc>
      </w:tr>
      <w:tr>
        <w:tc>
          <w:tcPr>
            <w:tcW w:type="dxa" w:w="2448"/>
            <w:tcMar>
              <w:top w:w="80" w:type="dxa"/>
              <w:start w:w="100" w:type="dxa"/>
              <w:bottom w:w="80" w:type="dxa"/>
              <w:end w:w="100" w:type="dxa"/>
            </w:tcMar>
            <w:vAlign w:val="top"/>
          </w:tcPr>
          <w:p>
            <w:pPr>
              <w:spacing w:after="0"/>
            </w:pPr>
            <w:r>
              <w:rPr>
                <w:sz w:val="17"/>
              </w:rPr>
              <w:t>Controller Engine</w:t>
            </w:r>
          </w:p>
        </w:tc>
        <w:tc>
          <w:tcPr>
            <w:tcW w:type="dxa" w:w="7056"/>
            <w:tcMar>
              <w:top w:w="80" w:type="dxa"/>
              <w:start w:w="100" w:type="dxa"/>
              <w:bottom w:w="80" w:type="dxa"/>
              <w:end w:w="100" w:type="dxa"/>
            </w:tcMar>
            <w:vAlign w:val="top"/>
          </w:tcPr>
          <w:p>
            <w:pPr>
              <w:spacing w:after="0"/>
            </w:pPr>
            <w:r>
              <w:rPr>
                <w:sz w:val="17"/>
              </w:rPr>
              <w:t>Choose interventions according to policy, cost, uncertainty, and permissions.</w:t>
            </w:r>
          </w:p>
        </w:tc>
      </w:tr>
      <w:tr>
        <w:tc>
          <w:tcPr>
            <w:tcW w:type="dxa" w:w="2448"/>
            <w:tcMar>
              <w:top w:w="80" w:type="dxa"/>
              <w:start w:w="100" w:type="dxa"/>
              <w:bottom w:w="80" w:type="dxa"/>
              <w:end w:w="100" w:type="dxa"/>
            </w:tcMar>
            <w:shd w:fill="F5F8F9"/>
            <w:vAlign w:val="top"/>
          </w:tcPr>
          <w:p>
            <w:pPr>
              <w:spacing w:after="0"/>
            </w:pPr>
            <w:r>
              <w:rPr>
                <w:sz w:val="17"/>
              </w:rPr>
              <w:t>Translation Engine</w:t>
            </w:r>
          </w:p>
        </w:tc>
        <w:tc>
          <w:tcPr>
            <w:tcW w:type="dxa" w:w="7056"/>
            <w:tcMar>
              <w:top w:w="80" w:type="dxa"/>
              <w:start w:w="100" w:type="dxa"/>
              <w:bottom w:w="80" w:type="dxa"/>
              <w:end w:w="100" w:type="dxa"/>
            </w:tcMar>
            <w:shd w:fill="F5F8F9"/>
            <w:vAlign w:val="top"/>
          </w:tcPr>
          <w:p>
            <w:pPr>
              <w:spacing w:after="0"/>
            </w:pPr>
            <w:r>
              <w:rPr>
                <w:sz w:val="17"/>
              </w:rPr>
              <w:t>Generate or load candidate mappings between source and destination systems.</w:t>
            </w:r>
          </w:p>
        </w:tc>
      </w:tr>
      <w:tr>
        <w:tc>
          <w:tcPr>
            <w:tcW w:type="dxa" w:w="2448"/>
            <w:tcMar>
              <w:top w:w="80" w:type="dxa"/>
              <w:start w:w="100" w:type="dxa"/>
              <w:bottom w:w="80" w:type="dxa"/>
              <w:end w:w="100" w:type="dxa"/>
            </w:tcMar>
            <w:vAlign w:val="top"/>
          </w:tcPr>
          <w:p>
            <w:pPr>
              <w:spacing w:after="0"/>
            </w:pPr>
            <w:r>
              <w:rPr>
                <w:sz w:val="17"/>
              </w:rPr>
              <w:t>Adversarial Test Engine</w:t>
            </w:r>
          </w:p>
        </w:tc>
        <w:tc>
          <w:tcPr>
            <w:tcW w:type="dxa" w:w="7056"/>
            <w:tcMar>
              <w:top w:w="80" w:type="dxa"/>
              <w:start w:w="100" w:type="dxa"/>
              <w:bottom w:w="80" w:type="dxa"/>
              <w:end w:w="100" w:type="dxa"/>
            </w:tcMar>
            <w:vAlign w:val="top"/>
          </w:tcPr>
          <w:p>
            <w:pPr>
              <w:spacing w:after="0"/>
            </w:pPr>
            <w:r>
              <w:rPr>
                <w:sz w:val="17"/>
              </w:rPr>
              <w:t>Run Analogy Breaker perturbations, scale tests, time tests, and confound sweeps.</w:t>
            </w:r>
          </w:p>
        </w:tc>
      </w:tr>
      <w:tr>
        <w:tc>
          <w:tcPr>
            <w:tcW w:type="dxa" w:w="2448"/>
            <w:tcMar>
              <w:top w:w="80" w:type="dxa"/>
              <w:start w:w="100" w:type="dxa"/>
              <w:bottom w:w="80" w:type="dxa"/>
              <w:end w:w="100" w:type="dxa"/>
            </w:tcMar>
            <w:shd w:fill="F5F8F9"/>
            <w:vAlign w:val="top"/>
          </w:tcPr>
          <w:p>
            <w:pPr>
              <w:spacing w:after="0"/>
            </w:pPr>
            <w:r>
              <w:rPr>
                <w:sz w:val="17"/>
              </w:rPr>
              <w:t>Metrics Engine</w:t>
            </w:r>
          </w:p>
        </w:tc>
        <w:tc>
          <w:tcPr>
            <w:tcW w:type="dxa" w:w="7056"/>
            <w:tcMar>
              <w:top w:w="80" w:type="dxa"/>
              <w:start w:w="100" w:type="dxa"/>
              <w:bottom w:w="80" w:type="dxa"/>
              <w:end w:w="100" w:type="dxa"/>
            </w:tcMar>
            <w:shd w:fill="F5F8F9"/>
            <w:vAlign w:val="top"/>
          </w:tcPr>
          <w:p>
            <w:pPr>
              <w:spacing w:after="0"/>
            </w:pPr>
            <w:r>
              <w:rPr>
                <w:sz w:val="17"/>
              </w:rPr>
              <w:t>Compute transfer, robustness, calibration, and boundary metrics.</w:t>
            </w:r>
          </w:p>
        </w:tc>
      </w:tr>
      <w:tr>
        <w:tc>
          <w:tcPr>
            <w:tcW w:type="dxa" w:w="2448"/>
            <w:tcMar>
              <w:top w:w="80" w:type="dxa"/>
              <w:start w:w="100" w:type="dxa"/>
              <w:bottom w:w="80" w:type="dxa"/>
              <w:end w:w="100" w:type="dxa"/>
            </w:tcMar>
            <w:vAlign w:val="top"/>
          </w:tcPr>
          <w:p>
            <w:pPr>
              <w:spacing w:after="0"/>
            </w:pPr>
            <w:r>
              <w:rPr>
                <w:sz w:val="17"/>
              </w:rPr>
              <w:t>Provenance Store</w:t>
            </w:r>
          </w:p>
        </w:tc>
        <w:tc>
          <w:tcPr>
            <w:tcW w:type="dxa" w:w="7056"/>
            <w:tcMar>
              <w:top w:w="80" w:type="dxa"/>
              <w:start w:w="100" w:type="dxa"/>
              <w:bottom w:w="80" w:type="dxa"/>
              <w:end w:w="100" w:type="dxa"/>
            </w:tcMar>
            <w:vAlign w:val="top"/>
          </w:tcPr>
          <w:p>
            <w:pPr>
              <w:spacing w:after="0"/>
            </w:pPr>
            <w:r>
              <w:rPr>
                <w:sz w:val="17"/>
              </w:rPr>
              <w:t>Persist experiment configuration, versions, seeds, results, and authorship.</w:t>
            </w:r>
          </w:p>
        </w:tc>
      </w:tr>
      <w:tr>
        <w:tc>
          <w:tcPr>
            <w:tcW w:type="dxa" w:w="2448"/>
            <w:tcMar>
              <w:top w:w="80" w:type="dxa"/>
              <w:start w:w="100" w:type="dxa"/>
              <w:bottom w:w="80" w:type="dxa"/>
              <w:end w:w="100" w:type="dxa"/>
            </w:tcMar>
            <w:shd w:fill="F5F8F9"/>
            <w:vAlign w:val="top"/>
          </w:tcPr>
          <w:p>
            <w:pPr>
              <w:spacing w:after="0"/>
            </w:pPr>
            <w:r>
              <w:rPr>
                <w:sz w:val="17"/>
              </w:rPr>
              <w:t>Visualization UI</w:t>
            </w:r>
          </w:p>
        </w:tc>
        <w:tc>
          <w:tcPr>
            <w:tcW w:type="dxa" w:w="7056"/>
            <w:tcMar>
              <w:top w:w="80" w:type="dxa"/>
              <w:start w:w="100" w:type="dxa"/>
              <w:bottom w:w="80" w:type="dxa"/>
              <w:end w:w="100" w:type="dxa"/>
            </w:tcMar>
            <w:shd w:fill="F5F8F9"/>
            <w:vAlign w:val="top"/>
          </w:tcPr>
          <w:p>
            <w:pPr>
              <w:spacing w:after="0"/>
            </w:pPr>
            <w:r>
              <w:rPr>
                <w:sz w:val="17"/>
              </w:rPr>
              <w:t>Show ground truth, observer belief, uncertainty, transfer layers, and outcome comparisons.</w:t>
            </w:r>
          </w:p>
        </w:tc>
      </w:tr>
      <w:tr>
        <w:tc>
          <w:tcPr>
            <w:tcW w:type="dxa" w:w="2448"/>
            <w:tcMar>
              <w:top w:w="80" w:type="dxa"/>
              <w:start w:w="100" w:type="dxa"/>
              <w:bottom w:w="80" w:type="dxa"/>
              <w:end w:w="100" w:type="dxa"/>
            </w:tcMar>
            <w:vAlign w:val="top"/>
          </w:tcPr>
          <w:p>
            <w:pPr>
              <w:spacing w:after="0"/>
            </w:pPr>
            <w:r>
              <w:rPr>
                <w:sz w:val="17"/>
              </w:rPr>
              <w:t>Report Generator</w:t>
            </w:r>
          </w:p>
        </w:tc>
        <w:tc>
          <w:tcPr>
            <w:tcW w:type="dxa" w:w="7056"/>
            <w:tcMar>
              <w:top w:w="80" w:type="dxa"/>
              <w:start w:w="100" w:type="dxa"/>
              <w:bottom w:w="80" w:type="dxa"/>
              <w:end w:w="100" w:type="dxa"/>
            </w:tcMar>
            <w:vAlign w:val="top"/>
          </w:tcPr>
          <w:p>
            <w:pPr>
              <w:spacing w:after="0"/>
            </w:pPr>
            <w:r>
              <w:rPr>
                <w:sz w:val="17"/>
              </w:rPr>
              <w:t>Produce Transfer Certificates, Dissent Objects, validity-envelope summaries, and replay bundles.</w:t>
            </w:r>
          </w:p>
        </w:tc>
      </w:tr>
    </w:tbl>
    <w:p/>
    <w:p>
      <w:pPr>
        <w:pStyle w:val="Heading1"/>
      </w:pPr>
      <w:r>
        <w:t>15. User Interface Concept</w:t>
      </w:r>
    </w:p>
    <w:p>
      <w:pPr>
        <w:pStyle w:val="ListBullet"/>
      </w:pPr>
      <w:r>
        <w:t>Left pane: source system and source mechanism.</w:t>
      </w:r>
    </w:p>
    <w:p>
      <w:pPr>
        <w:pStyle w:val="ListBullet"/>
      </w:pPr>
      <w:r>
        <w:t>Center pane: abstraction and translation mapping.</w:t>
      </w:r>
    </w:p>
    <w:p>
      <w:pPr>
        <w:pStyle w:val="ListBullet"/>
      </w:pPr>
      <w:r>
        <w:t>Right pane: destination system and destination mechanism.</w:t>
      </w:r>
    </w:p>
    <w:p>
      <w:pPr>
        <w:pStyle w:val="ListBullet"/>
      </w:pPr>
      <w:r>
        <w:t>Overlay toggle: ground truth vs controller belief.</w:t>
      </w:r>
    </w:p>
    <w:p>
      <w:pPr>
        <w:pStyle w:val="ListBullet"/>
      </w:pPr>
      <w:r>
        <w:t>Boundary controls: scale, load, uncertainty, time horizon, failure rate, environmental conditions.</w:t>
      </w:r>
    </w:p>
    <w:p>
      <w:pPr>
        <w:pStyle w:val="ListBullet"/>
      </w:pPr>
      <w:r>
        <w:t>Analogy Breaker panel: hidden assumptions, discarded variables, competing mechanisms, test suggestions.</w:t>
      </w:r>
    </w:p>
    <w:p>
      <w:pPr>
        <w:pStyle w:val="ListBullet"/>
      </w:pPr>
      <w:r>
        <w:t>Experiment timeline: perturbation -&gt; intervention -&gt; response -&gt; update.</w:t>
      </w:r>
    </w:p>
    <w:p>
      <w:pPr>
        <w:pStyle w:val="ListBullet"/>
      </w:pPr>
      <w:r>
        <w:t>Output drawer: transfer status, validity envelope, Dissent Objects, Transfer Certificate, replay ID.</w:t>
      </w:r>
    </w:p>
    <w:p>
      <w:pPr>
        <w:pStyle w:val="Heading1"/>
      </w:pPr>
      <w:r>
        <w:t>16. Governance, Safety, and Ethics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92"/>
            <w:shd w:fill="133B4A"/>
            <w:tcMar>
              <w:top w:w="90" w:type="dxa"/>
              <w:start w:w="100" w:type="dxa"/>
              <w:bottom w:w="90" w:type="dxa"/>
              <w:end w:w="100" w:type="dxa"/>
            </w:tcMar>
            <w:vAlign w:val="center"/>
          </w:tcPr>
          <w:p>
            <w:r>
              <w:rPr>
                <w:b/>
                <w:color w:val="FFFFFF"/>
                <w:sz w:val="19"/>
              </w:rPr>
              <w:t>Rule</w:t>
            </w:r>
          </w:p>
        </w:tc>
        <w:tc>
          <w:tcPr>
            <w:tcW w:type="dxa" w:w="6912"/>
            <w:shd w:fill="133B4A"/>
            <w:tcMar>
              <w:top w:w="90" w:type="dxa"/>
              <w:start w:w="100" w:type="dxa"/>
              <w:bottom w:w="90" w:type="dxa"/>
              <w:end w:w="100" w:type="dxa"/>
            </w:tcMar>
            <w:vAlign w:val="center"/>
          </w:tcPr>
          <w:p>
            <w:r>
              <w:rPr>
                <w:b/>
                <w:color w:val="FFFFFF"/>
                <w:sz w:val="19"/>
              </w:rPr>
              <w:t>Implementation requirement</w:t>
            </w:r>
          </w:p>
        </w:tc>
      </w:tr>
      <w:tr>
        <w:tc>
          <w:tcPr>
            <w:tcW w:type="dxa" w:w="2592"/>
            <w:tcMar>
              <w:top w:w="80" w:type="dxa"/>
              <w:start w:w="100" w:type="dxa"/>
              <w:bottom w:w="80" w:type="dxa"/>
              <w:end w:w="100" w:type="dxa"/>
            </w:tcMar>
            <w:vAlign w:val="top"/>
          </w:tcPr>
          <w:p>
            <w:pPr>
              <w:spacing w:after="0"/>
            </w:pPr>
            <w:r>
              <w:rPr>
                <w:sz w:val="18"/>
              </w:rPr>
              <w:t>Synthetic-first</w:t>
            </w:r>
          </w:p>
        </w:tc>
        <w:tc>
          <w:tcPr>
            <w:tcW w:type="dxa" w:w="6912"/>
            <w:tcMar>
              <w:top w:w="80" w:type="dxa"/>
              <w:start w:w="100" w:type="dxa"/>
              <w:bottom w:w="80" w:type="dxa"/>
              <w:end w:w="100" w:type="dxa"/>
            </w:tcMar>
            <w:vAlign w:val="top"/>
          </w:tcPr>
          <w:p>
            <w:pPr>
              <w:spacing w:after="0"/>
            </w:pPr>
            <w:r>
              <w:rPr>
                <w:sz w:val="18"/>
              </w:rPr>
              <w:t>MVP uses generated networks and fictional state models, not identifiable human medical data.</w:t>
            </w:r>
          </w:p>
        </w:tc>
      </w:tr>
      <w:tr>
        <w:tc>
          <w:tcPr>
            <w:tcW w:type="dxa" w:w="2592"/>
            <w:tcMar>
              <w:top w:w="80" w:type="dxa"/>
              <w:start w:w="100" w:type="dxa"/>
              <w:bottom w:w="80" w:type="dxa"/>
              <w:end w:w="100" w:type="dxa"/>
            </w:tcMar>
            <w:shd w:fill="F5F8F9"/>
            <w:vAlign w:val="top"/>
          </w:tcPr>
          <w:p>
            <w:pPr>
              <w:spacing w:after="0"/>
            </w:pPr>
            <w:r>
              <w:rPr>
                <w:sz w:val="18"/>
              </w:rPr>
              <w:t>Epistemic labeling</w:t>
            </w:r>
          </w:p>
        </w:tc>
        <w:tc>
          <w:tcPr>
            <w:tcW w:type="dxa" w:w="6912"/>
            <w:tcMar>
              <w:top w:w="80" w:type="dxa"/>
              <w:start w:w="100" w:type="dxa"/>
              <w:bottom w:w="80" w:type="dxa"/>
              <w:end w:w="100" w:type="dxa"/>
            </w:tcMar>
            <w:shd w:fill="F5F8F9"/>
            <w:vAlign w:val="top"/>
          </w:tcPr>
          <w:p>
            <w:pPr>
              <w:spacing w:after="0"/>
            </w:pPr>
            <w:r>
              <w:rPr>
                <w:sz w:val="18"/>
              </w:rPr>
              <w:t>Fictional, analogical, hypothesized, modeled, and observed claims remain visibly distinct.</w:t>
            </w:r>
          </w:p>
        </w:tc>
      </w:tr>
      <w:tr>
        <w:tc>
          <w:tcPr>
            <w:tcW w:type="dxa" w:w="2592"/>
            <w:tcMar>
              <w:top w:w="80" w:type="dxa"/>
              <w:start w:w="100" w:type="dxa"/>
              <w:bottom w:w="80" w:type="dxa"/>
              <w:end w:w="100" w:type="dxa"/>
            </w:tcMar>
            <w:vAlign w:val="top"/>
          </w:tcPr>
          <w:p>
            <w:pPr>
              <w:spacing w:after="0"/>
            </w:pPr>
            <w:r>
              <w:rPr>
                <w:sz w:val="18"/>
              </w:rPr>
              <w:t>No clinical action</w:t>
            </w:r>
          </w:p>
        </w:tc>
        <w:tc>
          <w:tcPr>
            <w:tcW w:type="dxa" w:w="6912"/>
            <w:tcMar>
              <w:top w:w="80" w:type="dxa"/>
              <w:start w:w="100" w:type="dxa"/>
              <w:bottom w:w="80" w:type="dxa"/>
              <w:end w:w="100" w:type="dxa"/>
            </w:tcMar>
            <w:vAlign w:val="top"/>
          </w:tcPr>
          <w:p>
            <w:pPr>
              <w:spacing w:after="0"/>
            </w:pPr>
            <w:r>
              <w:rPr>
                <w:sz w:val="18"/>
              </w:rPr>
              <w:t>Human vascular examples remain simulation and research analogies unless a separately governed medical program is created.</w:t>
            </w:r>
          </w:p>
        </w:tc>
      </w:tr>
      <w:tr>
        <w:tc>
          <w:tcPr>
            <w:tcW w:type="dxa" w:w="2592"/>
            <w:tcMar>
              <w:top w:w="80" w:type="dxa"/>
              <w:start w:w="100" w:type="dxa"/>
              <w:bottom w:w="80" w:type="dxa"/>
              <w:end w:w="100" w:type="dxa"/>
            </w:tcMar>
            <w:shd w:fill="F5F8F9"/>
            <w:vAlign w:val="top"/>
          </w:tcPr>
          <w:p>
            <w:pPr>
              <w:spacing w:after="0"/>
            </w:pPr>
            <w:r>
              <w:rPr>
                <w:sz w:val="18"/>
              </w:rPr>
              <w:t>Data minimization</w:t>
            </w:r>
          </w:p>
        </w:tc>
        <w:tc>
          <w:tcPr>
            <w:tcW w:type="dxa" w:w="6912"/>
            <w:tcMar>
              <w:top w:w="80" w:type="dxa"/>
              <w:start w:w="100" w:type="dxa"/>
              <w:bottom w:w="80" w:type="dxa"/>
              <w:end w:w="100" w:type="dxa"/>
            </w:tcMar>
            <w:shd w:fill="F5F8F9"/>
            <w:vAlign w:val="top"/>
          </w:tcPr>
          <w:p>
            <w:pPr>
              <w:spacing w:after="0"/>
            </w:pPr>
            <w:r>
              <w:rPr>
                <w:sz w:val="18"/>
              </w:rPr>
              <w:t>If future real data are introduced, collect only what the specific experiment requires.</w:t>
            </w:r>
          </w:p>
        </w:tc>
      </w:tr>
      <w:tr>
        <w:tc>
          <w:tcPr>
            <w:tcW w:type="dxa" w:w="2592"/>
            <w:tcMar>
              <w:top w:w="80" w:type="dxa"/>
              <w:start w:w="100" w:type="dxa"/>
              <w:bottom w:w="80" w:type="dxa"/>
              <w:end w:w="100" w:type="dxa"/>
            </w:tcMar>
            <w:vAlign w:val="top"/>
          </w:tcPr>
          <w:p>
            <w:pPr>
              <w:spacing w:after="0"/>
            </w:pPr>
            <w:r>
              <w:rPr>
                <w:sz w:val="18"/>
              </w:rPr>
              <w:t>Custody governance</w:t>
            </w:r>
          </w:p>
        </w:tc>
        <w:tc>
          <w:tcPr>
            <w:tcW w:type="dxa" w:w="6912"/>
            <w:tcMar>
              <w:top w:w="80" w:type="dxa"/>
              <w:start w:w="100" w:type="dxa"/>
              <w:bottom w:w="80" w:type="dxa"/>
              <w:end w:w="100" w:type="dxa"/>
            </w:tcMar>
            <w:vAlign w:val="top"/>
          </w:tcPr>
          <w:p>
            <w:pPr>
              <w:spacing w:after="0"/>
            </w:pPr>
            <w:r>
              <w:rPr>
                <w:sz w:val="18"/>
              </w:rPr>
              <w:t>Individual-level maps imply ownership, access, deletion, portability, and consent requirements.</w:t>
            </w:r>
          </w:p>
        </w:tc>
      </w:tr>
      <w:tr>
        <w:tc>
          <w:tcPr>
            <w:tcW w:type="dxa" w:w="2592"/>
            <w:tcMar>
              <w:top w:w="80" w:type="dxa"/>
              <w:start w:w="100" w:type="dxa"/>
              <w:bottom w:w="80" w:type="dxa"/>
              <w:end w:w="100" w:type="dxa"/>
            </w:tcMar>
            <w:shd w:fill="F5F8F9"/>
            <w:vAlign w:val="top"/>
          </w:tcPr>
          <w:p>
            <w:pPr>
              <w:spacing w:after="0"/>
            </w:pPr>
            <w:r>
              <w:rPr>
                <w:sz w:val="18"/>
              </w:rPr>
              <w:t>Uncertainty-aware escalation</w:t>
            </w:r>
          </w:p>
        </w:tc>
        <w:tc>
          <w:tcPr>
            <w:tcW w:type="dxa" w:w="6912"/>
            <w:tcMar>
              <w:top w:w="80" w:type="dxa"/>
              <w:start w:w="100" w:type="dxa"/>
              <w:bottom w:w="80" w:type="dxa"/>
              <w:end w:w="100" w:type="dxa"/>
            </w:tcMar>
            <w:shd w:fill="F5F8F9"/>
            <w:vAlign w:val="top"/>
          </w:tcPr>
          <w:p>
            <w:pPr>
              <w:spacing w:after="0"/>
            </w:pPr>
            <w:r>
              <w:rPr>
                <w:sz w:val="18"/>
              </w:rPr>
              <w:t>Higher uncertainty should not automatically authorize more aggressive intervention.</w:t>
            </w:r>
          </w:p>
        </w:tc>
      </w:tr>
      <w:tr>
        <w:tc>
          <w:tcPr>
            <w:tcW w:type="dxa" w:w="2592"/>
            <w:tcMar>
              <w:top w:w="80" w:type="dxa"/>
              <w:start w:w="100" w:type="dxa"/>
              <w:bottom w:w="80" w:type="dxa"/>
              <w:end w:w="100" w:type="dxa"/>
            </w:tcMar>
            <w:vAlign w:val="top"/>
          </w:tcPr>
          <w:p>
            <w:pPr>
              <w:spacing w:after="0"/>
            </w:pPr>
            <w:r>
              <w:rPr>
                <w:sz w:val="18"/>
              </w:rPr>
              <w:t>Auditability</w:t>
            </w:r>
          </w:p>
        </w:tc>
        <w:tc>
          <w:tcPr>
            <w:tcW w:type="dxa" w:w="6912"/>
            <w:tcMar>
              <w:top w:w="80" w:type="dxa"/>
              <w:start w:w="100" w:type="dxa"/>
              <w:bottom w:w="80" w:type="dxa"/>
              <w:end w:w="100" w:type="dxa"/>
            </w:tcMar>
            <w:vAlign w:val="top"/>
          </w:tcPr>
          <w:p>
            <w:pPr>
              <w:spacing w:after="0"/>
            </w:pPr>
            <w:r>
              <w:rPr>
                <w:sz w:val="18"/>
              </w:rPr>
              <w:t>Every result must be replayable from a configuration, version, and random seed where applicable.</w:t>
            </w:r>
          </w:p>
        </w:tc>
      </w:tr>
      <w:tr>
        <w:tc>
          <w:tcPr>
            <w:tcW w:type="dxa" w:w="2592"/>
            <w:tcMar>
              <w:top w:w="80" w:type="dxa"/>
              <w:start w:w="100" w:type="dxa"/>
              <w:bottom w:w="80" w:type="dxa"/>
              <w:end w:w="100" w:type="dxa"/>
            </w:tcMar>
            <w:shd w:fill="F5F8F9"/>
            <w:vAlign w:val="top"/>
          </w:tcPr>
          <w:p>
            <w:pPr>
              <w:spacing w:after="0"/>
            </w:pPr>
            <w:r>
              <w:rPr>
                <w:sz w:val="18"/>
              </w:rPr>
              <w:t>No silent merging</w:t>
            </w:r>
          </w:p>
        </w:tc>
        <w:tc>
          <w:tcPr>
            <w:tcW w:type="dxa" w:w="6912"/>
            <w:tcMar>
              <w:top w:w="80" w:type="dxa"/>
              <w:start w:w="100" w:type="dxa"/>
              <w:bottom w:w="80" w:type="dxa"/>
              <w:end w:w="100" w:type="dxa"/>
            </w:tcMar>
            <w:shd w:fill="F5F8F9"/>
            <w:vAlign w:val="top"/>
          </w:tcPr>
          <w:p>
            <w:pPr>
              <w:spacing w:after="0"/>
            </w:pPr>
            <w:r>
              <w:rPr>
                <w:sz w:val="18"/>
              </w:rPr>
              <w:t>Changes to shared OAL objects require explicit review, changelog, and provenance.</w:t>
            </w:r>
          </w:p>
        </w:tc>
      </w:tr>
      <w:tr>
        <w:tc>
          <w:tcPr>
            <w:tcW w:type="dxa" w:w="2592"/>
            <w:tcMar>
              <w:top w:w="80" w:type="dxa"/>
              <w:start w:w="100" w:type="dxa"/>
              <w:bottom w:w="80" w:type="dxa"/>
              <w:end w:w="100" w:type="dxa"/>
            </w:tcMar>
            <w:vAlign w:val="top"/>
          </w:tcPr>
          <w:p>
            <w:pPr>
              <w:spacing w:after="0"/>
            </w:pPr>
            <w:r>
              <w:rPr>
                <w:sz w:val="18"/>
              </w:rPr>
              <w:t>Human agency</w:t>
            </w:r>
          </w:p>
        </w:tc>
        <w:tc>
          <w:tcPr>
            <w:tcW w:type="dxa" w:w="6912"/>
            <w:tcMar>
              <w:top w:w="80" w:type="dxa"/>
              <w:start w:w="100" w:type="dxa"/>
              <w:bottom w:w="80" w:type="dxa"/>
              <w:end w:w="100" w:type="dxa"/>
            </w:tcMar>
            <w:vAlign w:val="top"/>
          </w:tcPr>
          <w:p>
            <w:pPr>
              <w:spacing w:after="0"/>
            </w:pPr>
            <w:r>
              <w:rPr>
                <w:sz w:val="18"/>
              </w:rPr>
              <w:t>Outputs support research decisions; they do not silently convert probabilistic model outputs into determinations about people.</w:t>
            </w:r>
          </w:p>
        </w:tc>
      </w:tr>
    </w:tbl>
    <w:p/>
    <w:p>
      <w:pPr>
        <w:pStyle w:val="Heading1"/>
      </w:pPr>
      <w:r>
        <w:t>17. Funding Pathways</w:t>
      </w:r>
    </w:p>
    <w:p>
      <w:r>
        <w:t>Funding should be staged so that early capital supports platform validity before the project takes on sensitive data, high-fidelity biological modeling, or expensive partnerships. The pathways below are intentionally diversified; no single funding source should control the laboratory's research agenda.</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944"/>
            <w:shd w:fill="133B4A"/>
            <w:tcMar>
              <w:top w:w="90" w:type="dxa"/>
              <w:start w:w="100" w:type="dxa"/>
              <w:bottom w:w="90" w:type="dxa"/>
              <w:end w:w="100" w:type="dxa"/>
            </w:tcMar>
            <w:vAlign w:val="center"/>
          </w:tcPr>
          <w:p>
            <w:r>
              <w:rPr>
                <w:b/>
                <w:color w:val="FFFFFF"/>
                <w:sz w:val="18"/>
              </w:rPr>
              <w:t>Pathway</w:t>
            </w:r>
          </w:p>
        </w:tc>
        <w:tc>
          <w:tcPr>
            <w:tcW w:type="dxa" w:w="2088"/>
            <w:shd w:fill="133B4A"/>
            <w:tcMar>
              <w:top w:w="90" w:type="dxa"/>
              <w:start w:w="100" w:type="dxa"/>
              <w:bottom w:w="90" w:type="dxa"/>
              <w:end w:w="100" w:type="dxa"/>
            </w:tcMar>
            <w:vAlign w:val="center"/>
          </w:tcPr>
          <w:p>
            <w:r>
              <w:rPr>
                <w:b/>
                <w:color w:val="FFFFFF"/>
                <w:sz w:val="18"/>
              </w:rPr>
              <w:t>Best fit</w:t>
            </w:r>
          </w:p>
        </w:tc>
        <w:tc>
          <w:tcPr>
            <w:tcW w:type="dxa" w:w="3024"/>
            <w:shd w:fill="133B4A"/>
            <w:tcMar>
              <w:top w:w="90" w:type="dxa"/>
              <w:start w:w="100" w:type="dxa"/>
              <w:bottom w:w="90" w:type="dxa"/>
              <w:end w:w="100" w:type="dxa"/>
            </w:tcMar>
            <w:vAlign w:val="center"/>
          </w:tcPr>
          <w:p>
            <w:r>
              <w:rPr>
                <w:b/>
                <w:color w:val="FFFFFF"/>
                <w:sz w:val="18"/>
              </w:rPr>
              <w:t>What to fund</w:t>
            </w:r>
          </w:p>
        </w:tc>
        <w:tc>
          <w:tcPr>
            <w:tcW w:type="dxa" w:w="2448"/>
            <w:shd w:fill="133B4A"/>
            <w:tcMar>
              <w:top w:w="90" w:type="dxa"/>
              <w:start w:w="100" w:type="dxa"/>
              <w:bottom w:w="90" w:type="dxa"/>
              <w:end w:w="100" w:type="dxa"/>
            </w:tcMar>
            <w:vAlign w:val="center"/>
          </w:tcPr>
          <w:p>
            <w:r>
              <w:rPr>
                <w:b/>
                <w:color w:val="FFFFFF"/>
                <w:sz w:val="18"/>
              </w:rPr>
              <w:t>Notes / gating conditions</w:t>
            </w:r>
          </w:p>
        </w:tc>
      </w:tr>
      <w:tr>
        <w:tc>
          <w:tcPr>
            <w:tcW w:type="dxa" w:w="1944"/>
            <w:tcMar>
              <w:top w:w="80" w:type="dxa"/>
              <w:start w:w="100" w:type="dxa"/>
              <w:bottom w:w="80" w:type="dxa"/>
              <w:end w:w="100" w:type="dxa"/>
            </w:tcMar>
            <w:vAlign w:val="top"/>
          </w:tcPr>
          <w:p>
            <w:pPr>
              <w:spacing w:after="0"/>
            </w:pPr>
            <w:r>
              <w:rPr>
                <w:sz w:val="17"/>
              </w:rPr>
              <w:t>Founder / internal R&amp;D</w:t>
            </w:r>
          </w:p>
        </w:tc>
        <w:tc>
          <w:tcPr>
            <w:tcW w:type="dxa" w:w="2088"/>
            <w:tcMar>
              <w:top w:w="80" w:type="dxa"/>
              <w:start w:w="100" w:type="dxa"/>
              <w:bottom w:w="80" w:type="dxa"/>
              <w:end w:w="100" w:type="dxa"/>
            </w:tcMar>
            <w:vAlign w:val="top"/>
          </w:tcPr>
          <w:p>
            <w:pPr>
              <w:spacing w:after="0"/>
            </w:pPr>
            <w:r>
              <w:rPr>
                <w:sz w:val="17"/>
              </w:rPr>
              <w:t>Concept, schema, and MVP</w:t>
            </w:r>
          </w:p>
        </w:tc>
        <w:tc>
          <w:tcPr>
            <w:tcW w:type="dxa" w:w="3024"/>
            <w:tcMar>
              <w:top w:w="80" w:type="dxa"/>
              <w:start w:w="100" w:type="dxa"/>
              <w:bottom w:w="80" w:type="dxa"/>
              <w:end w:w="100" w:type="dxa"/>
            </w:tcMar>
            <w:vAlign w:val="top"/>
          </w:tcPr>
          <w:p>
            <w:pPr>
              <w:spacing w:after="0"/>
            </w:pPr>
            <w:r>
              <w:rPr>
                <w:sz w:val="17"/>
              </w:rPr>
              <w:t>Architecture, prototype, experiment harness, documentation</w:t>
            </w:r>
          </w:p>
        </w:tc>
        <w:tc>
          <w:tcPr>
            <w:tcW w:type="dxa" w:w="2448"/>
            <w:tcMar>
              <w:top w:w="80" w:type="dxa"/>
              <w:start w:w="100" w:type="dxa"/>
              <w:bottom w:w="80" w:type="dxa"/>
              <w:end w:w="100" w:type="dxa"/>
            </w:tcMar>
            <w:vAlign w:val="top"/>
          </w:tcPr>
          <w:p>
            <w:pPr>
              <w:spacing w:after="0"/>
            </w:pPr>
            <w:r>
              <w:rPr>
                <w:sz w:val="17"/>
              </w:rPr>
              <w:t>Fastest path; preserves independence; suitable before institutional overhead.</w:t>
            </w:r>
          </w:p>
        </w:tc>
      </w:tr>
      <w:tr>
        <w:tc>
          <w:tcPr>
            <w:tcW w:type="dxa" w:w="1944"/>
            <w:tcMar>
              <w:top w:w="80" w:type="dxa"/>
              <w:start w:w="100" w:type="dxa"/>
              <w:bottom w:w="80" w:type="dxa"/>
              <w:end w:w="100" w:type="dxa"/>
            </w:tcMar>
            <w:shd w:fill="F5F8F9"/>
            <w:vAlign w:val="top"/>
          </w:tcPr>
          <w:p>
            <w:pPr>
              <w:spacing w:after="0"/>
            </w:pPr>
            <w:r>
              <w:rPr>
                <w:sz w:val="17"/>
              </w:rPr>
              <w:t>University collaboration</w:t>
            </w:r>
          </w:p>
        </w:tc>
        <w:tc>
          <w:tcPr>
            <w:tcW w:type="dxa" w:w="2088"/>
            <w:tcMar>
              <w:top w:w="80" w:type="dxa"/>
              <w:start w:w="100" w:type="dxa"/>
              <w:bottom w:w="80" w:type="dxa"/>
              <w:end w:w="100" w:type="dxa"/>
            </w:tcMar>
            <w:shd w:fill="F5F8F9"/>
            <w:vAlign w:val="top"/>
          </w:tcPr>
          <w:p>
            <w:pPr>
              <w:spacing w:after="0"/>
            </w:pPr>
            <w:r>
              <w:rPr>
                <w:sz w:val="17"/>
              </w:rPr>
              <w:t>Method validation and student research</w:t>
            </w:r>
          </w:p>
        </w:tc>
        <w:tc>
          <w:tcPr>
            <w:tcW w:type="dxa" w:w="3024"/>
            <w:tcMar>
              <w:top w:w="80" w:type="dxa"/>
              <w:start w:w="100" w:type="dxa"/>
              <w:bottom w:w="80" w:type="dxa"/>
              <w:end w:w="100" w:type="dxa"/>
            </w:tcMar>
            <w:shd w:fill="F5F8F9"/>
            <w:vAlign w:val="top"/>
          </w:tcPr>
          <w:p>
            <w:pPr>
              <w:spacing w:after="0"/>
            </w:pPr>
            <w:r>
              <w:rPr>
                <w:sz w:val="17"/>
              </w:rPr>
              <w:t>Network science, control theory, simulation, validation studies</w:t>
            </w:r>
          </w:p>
        </w:tc>
        <w:tc>
          <w:tcPr>
            <w:tcW w:type="dxa" w:w="2448"/>
            <w:tcMar>
              <w:top w:w="80" w:type="dxa"/>
              <w:start w:w="100" w:type="dxa"/>
              <w:bottom w:w="80" w:type="dxa"/>
              <w:end w:w="100" w:type="dxa"/>
            </w:tcMar>
            <w:shd w:fill="F5F8F9"/>
            <w:vAlign w:val="top"/>
          </w:tcPr>
          <w:p>
            <w:pPr>
              <w:spacing w:after="0"/>
            </w:pPr>
            <w:r>
              <w:rPr>
                <w:sz w:val="17"/>
              </w:rPr>
              <w:t>Useful for peer review, faculty expertise, capstone work, and research-method discipline.</w:t>
            </w:r>
          </w:p>
        </w:tc>
      </w:tr>
      <w:tr>
        <w:tc>
          <w:tcPr>
            <w:tcW w:type="dxa" w:w="1944"/>
            <w:tcMar>
              <w:top w:w="80" w:type="dxa"/>
              <w:start w:w="100" w:type="dxa"/>
              <w:bottom w:w="80" w:type="dxa"/>
              <w:end w:w="100" w:type="dxa"/>
            </w:tcMar>
            <w:vAlign w:val="top"/>
          </w:tcPr>
          <w:p>
            <w:pPr>
              <w:spacing w:after="0"/>
            </w:pPr>
            <w:r>
              <w:rPr>
                <w:sz w:val="17"/>
              </w:rPr>
              <w:t>Federal small-business R&amp;D programs</w:t>
            </w:r>
          </w:p>
        </w:tc>
        <w:tc>
          <w:tcPr>
            <w:tcW w:type="dxa" w:w="2088"/>
            <w:tcMar>
              <w:top w:w="80" w:type="dxa"/>
              <w:start w:w="100" w:type="dxa"/>
              <w:bottom w:w="80" w:type="dxa"/>
              <w:end w:w="100" w:type="dxa"/>
            </w:tcMar>
            <w:vAlign w:val="top"/>
          </w:tcPr>
          <w:p>
            <w:pPr>
              <w:spacing w:after="0"/>
            </w:pPr>
            <w:r>
              <w:rPr>
                <w:sz w:val="17"/>
              </w:rPr>
              <w:t>Translational simulation technology</w:t>
            </w:r>
          </w:p>
        </w:tc>
        <w:tc>
          <w:tcPr>
            <w:tcW w:type="dxa" w:w="3024"/>
            <w:tcMar>
              <w:top w:w="80" w:type="dxa"/>
              <w:start w:w="100" w:type="dxa"/>
              <w:bottom w:w="80" w:type="dxa"/>
              <w:end w:w="100" w:type="dxa"/>
            </w:tcMar>
            <w:vAlign w:val="top"/>
          </w:tcPr>
          <w:p>
            <w:pPr>
              <w:spacing w:after="0"/>
            </w:pPr>
            <w:r>
              <w:rPr>
                <w:sz w:val="17"/>
              </w:rPr>
              <w:t>Prototype engineering, technical risk reduction, commercialization feasibility</w:t>
            </w:r>
          </w:p>
        </w:tc>
        <w:tc>
          <w:tcPr>
            <w:tcW w:type="dxa" w:w="2448"/>
            <w:tcMar>
              <w:top w:w="80" w:type="dxa"/>
              <w:start w:w="100" w:type="dxa"/>
              <w:bottom w:w="80" w:type="dxa"/>
              <w:end w:w="100" w:type="dxa"/>
            </w:tcMar>
            <w:vAlign w:val="top"/>
          </w:tcPr>
          <w:p>
            <w:pPr>
              <w:spacing w:after="0"/>
            </w:pPr>
            <w:r>
              <w:rPr>
                <w:sz w:val="17"/>
              </w:rPr>
              <w:t>Potential examples include SBIR/STTR-style programs; eligibility, agency fit, and current solicitations must be verified before application.</w:t>
            </w:r>
          </w:p>
        </w:tc>
      </w:tr>
      <w:tr>
        <w:tc>
          <w:tcPr>
            <w:tcW w:type="dxa" w:w="1944"/>
            <w:tcMar>
              <w:top w:w="80" w:type="dxa"/>
              <w:start w:w="100" w:type="dxa"/>
              <w:bottom w:w="80" w:type="dxa"/>
              <w:end w:w="100" w:type="dxa"/>
            </w:tcMar>
            <w:shd w:fill="F5F8F9"/>
            <w:vAlign w:val="top"/>
          </w:tcPr>
          <w:p>
            <w:pPr>
              <w:spacing w:after="0"/>
            </w:pPr>
            <w:r>
              <w:rPr>
                <w:sz w:val="17"/>
              </w:rPr>
              <w:t>Science and engineering research grants</w:t>
            </w:r>
          </w:p>
        </w:tc>
        <w:tc>
          <w:tcPr>
            <w:tcW w:type="dxa" w:w="2088"/>
            <w:tcMar>
              <w:top w:w="80" w:type="dxa"/>
              <w:start w:w="100" w:type="dxa"/>
              <w:bottom w:w="80" w:type="dxa"/>
              <w:end w:w="100" w:type="dxa"/>
            </w:tcMar>
            <w:shd w:fill="F5F8F9"/>
            <w:vAlign w:val="top"/>
          </w:tcPr>
          <w:p>
            <w:pPr>
              <w:spacing w:after="0"/>
            </w:pPr>
            <w:r>
              <w:rPr>
                <w:sz w:val="17"/>
              </w:rPr>
              <w:t>Foundational methods</w:t>
            </w:r>
          </w:p>
        </w:tc>
        <w:tc>
          <w:tcPr>
            <w:tcW w:type="dxa" w:w="3024"/>
            <w:tcMar>
              <w:top w:w="80" w:type="dxa"/>
              <w:start w:w="100" w:type="dxa"/>
              <w:bottom w:w="80" w:type="dxa"/>
              <w:end w:w="100" w:type="dxa"/>
            </w:tcMar>
            <w:shd w:fill="F5F8F9"/>
            <w:vAlign w:val="top"/>
          </w:tcPr>
          <w:p>
            <w:pPr>
              <w:spacing w:after="0"/>
            </w:pPr>
            <w:r>
              <w:rPr>
                <w:sz w:val="17"/>
              </w:rPr>
              <w:t>Cross-domain modeling, graph theory, control, uncertainty, simulation science</w:t>
            </w:r>
          </w:p>
        </w:tc>
        <w:tc>
          <w:tcPr>
            <w:tcW w:type="dxa" w:w="2448"/>
            <w:tcMar>
              <w:top w:w="80" w:type="dxa"/>
              <w:start w:w="100" w:type="dxa"/>
              <w:bottom w:w="80" w:type="dxa"/>
              <w:end w:w="100" w:type="dxa"/>
            </w:tcMar>
            <w:shd w:fill="F5F8F9"/>
            <w:vAlign w:val="top"/>
          </w:tcPr>
          <w:p>
            <w:pPr>
              <w:spacing w:after="0"/>
            </w:pPr>
            <w:r>
              <w:rPr>
                <w:sz w:val="17"/>
              </w:rPr>
              <w:t>Potential fit with agencies supporting computing, engineering, complex systems, or biological modeling; proposal must be domain-specific rather than broadly metaphorical.</w:t>
            </w:r>
          </w:p>
        </w:tc>
      </w:tr>
      <w:tr>
        <w:tc>
          <w:tcPr>
            <w:tcW w:type="dxa" w:w="1944"/>
            <w:tcMar>
              <w:top w:w="80" w:type="dxa"/>
              <w:start w:w="100" w:type="dxa"/>
              <w:bottom w:w="80" w:type="dxa"/>
              <w:end w:w="100" w:type="dxa"/>
            </w:tcMar>
            <w:vAlign w:val="top"/>
          </w:tcPr>
          <w:p>
            <w:pPr>
              <w:spacing w:after="0"/>
            </w:pPr>
            <w:r>
              <w:rPr>
                <w:sz w:val="17"/>
              </w:rPr>
              <w:t>Health/biomedical research pathways</w:t>
            </w:r>
          </w:p>
        </w:tc>
        <w:tc>
          <w:tcPr>
            <w:tcW w:type="dxa" w:w="2088"/>
            <w:tcMar>
              <w:top w:w="80" w:type="dxa"/>
              <w:start w:w="100" w:type="dxa"/>
              <w:bottom w:w="80" w:type="dxa"/>
              <w:end w:w="100" w:type="dxa"/>
            </w:tcMar>
            <w:vAlign w:val="top"/>
          </w:tcPr>
          <w:p>
            <w:pPr>
              <w:spacing w:after="0"/>
            </w:pPr>
            <w:r>
              <w:rPr>
                <w:sz w:val="17"/>
              </w:rPr>
              <w:t>Future non-clinical simulation work</w:t>
            </w:r>
          </w:p>
        </w:tc>
        <w:tc>
          <w:tcPr>
            <w:tcW w:type="dxa" w:w="3024"/>
            <w:tcMar>
              <w:top w:w="80" w:type="dxa"/>
              <w:start w:w="100" w:type="dxa"/>
              <w:bottom w:w="80" w:type="dxa"/>
              <w:end w:w="100" w:type="dxa"/>
            </w:tcMar>
            <w:vAlign w:val="top"/>
          </w:tcPr>
          <w:p>
            <w:pPr>
              <w:spacing w:after="0"/>
            </w:pPr>
            <w:r>
              <w:rPr>
                <w:sz w:val="17"/>
              </w:rPr>
              <w:t>Difficult-access training simulations, uncertainty-aware decision research, digital-twin methods</w:t>
            </w:r>
          </w:p>
        </w:tc>
        <w:tc>
          <w:tcPr>
            <w:tcW w:type="dxa" w:w="2448"/>
            <w:tcMar>
              <w:top w:w="80" w:type="dxa"/>
              <w:start w:w="100" w:type="dxa"/>
              <w:bottom w:w="80" w:type="dxa"/>
              <w:end w:w="100" w:type="dxa"/>
            </w:tcMar>
            <w:vAlign w:val="top"/>
          </w:tcPr>
          <w:p>
            <w:pPr>
              <w:spacing w:after="0"/>
            </w:pPr>
            <w:r>
              <w:rPr>
                <w:sz w:val="17"/>
              </w:rPr>
              <w:t>Requires strong separation from clinical recommendation and may require institutional review if human data are introduced.</w:t>
            </w:r>
          </w:p>
        </w:tc>
      </w:tr>
      <w:tr>
        <w:tc>
          <w:tcPr>
            <w:tcW w:type="dxa" w:w="1944"/>
            <w:tcMar>
              <w:top w:w="80" w:type="dxa"/>
              <w:start w:w="100" w:type="dxa"/>
              <w:bottom w:w="80" w:type="dxa"/>
              <w:end w:w="100" w:type="dxa"/>
            </w:tcMar>
            <w:shd w:fill="F5F8F9"/>
            <w:vAlign w:val="top"/>
          </w:tcPr>
          <w:p>
            <w:pPr>
              <w:spacing w:after="0"/>
            </w:pPr>
            <w:r>
              <w:rPr>
                <w:sz w:val="17"/>
              </w:rPr>
              <w:t>Foundations / philanthropic science</w:t>
            </w:r>
          </w:p>
        </w:tc>
        <w:tc>
          <w:tcPr>
            <w:tcW w:type="dxa" w:w="2088"/>
            <w:tcMar>
              <w:top w:w="80" w:type="dxa"/>
              <w:start w:w="100" w:type="dxa"/>
              <w:bottom w:w="80" w:type="dxa"/>
              <w:end w:w="100" w:type="dxa"/>
            </w:tcMar>
            <w:shd w:fill="F5F8F9"/>
            <w:vAlign w:val="top"/>
          </w:tcPr>
          <w:p>
            <w:pPr>
              <w:spacing w:after="0"/>
            </w:pPr>
            <w:r>
              <w:rPr>
                <w:sz w:val="17"/>
              </w:rPr>
              <w:t>High-risk interdisciplinary exploration</w:t>
            </w:r>
          </w:p>
        </w:tc>
        <w:tc>
          <w:tcPr>
            <w:tcW w:type="dxa" w:w="3024"/>
            <w:tcMar>
              <w:top w:w="80" w:type="dxa"/>
              <w:start w:w="100" w:type="dxa"/>
              <w:bottom w:w="80" w:type="dxa"/>
              <w:end w:w="100" w:type="dxa"/>
            </w:tcMar>
            <w:shd w:fill="F5F8F9"/>
            <w:vAlign w:val="top"/>
          </w:tcPr>
          <w:p>
            <w:pPr>
              <w:spacing w:after="0"/>
            </w:pPr>
            <w:r>
              <w:rPr>
                <w:sz w:val="17"/>
              </w:rPr>
              <w:t>Open research tooling, reproducibility, ethics, public-interest simulation</w:t>
            </w:r>
          </w:p>
        </w:tc>
        <w:tc>
          <w:tcPr>
            <w:tcW w:type="dxa" w:w="2448"/>
            <w:tcMar>
              <w:top w:w="80" w:type="dxa"/>
              <w:start w:w="100" w:type="dxa"/>
              <w:bottom w:w="80" w:type="dxa"/>
              <w:end w:w="100" w:type="dxa"/>
            </w:tcMar>
            <w:shd w:fill="F5F8F9"/>
            <w:vAlign w:val="top"/>
          </w:tcPr>
          <w:p>
            <w:pPr>
              <w:spacing w:after="0"/>
            </w:pPr>
            <w:r>
              <w:rPr>
                <w:sz w:val="17"/>
              </w:rPr>
              <w:t>Best suited where mission aligns with scientific openness, resilience, health equity, education, or responsible AI.</w:t>
            </w:r>
          </w:p>
        </w:tc>
      </w:tr>
      <w:tr>
        <w:tc>
          <w:tcPr>
            <w:tcW w:type="dxa" w:w="1944"/>
            <w:tcMar>
              <w:top w:w="80" w:type="dxa"/>
              <w:start w:w="100" w:type="dxa"/>
              <w:bottom w:w="80" w:type="dxa"/>
              <w:end w:w="100" w:type="dxa"/>
            </w:tcMar>
            <w:vAlign w:val="top"/>
          </w:tcPr>
          <w:p>
            <w:pPr>
              <w:spacing w:after="0"/>
            </w:pPr>
            <w:r>
              <w:rPr>
                <w:sz w:val="17"/>
              </w:rPr>
              <w:t>Corporate research partnerships</w:t>
            </w:r>
          </w:p>
        </w:tc>
        <w:tc>
          <w:tcPr>
            <w:tcW w:type="dxa" w:w="2088"/>
            <w:tcMar>
              <w:top w:w="80" w:type="dxa"/>
              <w:start w:w="100" w:type="dxa"/>
              <w:bottom w:w="80" w:type="dxa"/>
              <w:end w:w="100" w:type="dxa"/>
            </w:tcMar>
            <w:vAlign w:val="top"/>
          </w:tcPr>
          <w:p>
            <w:pPr>
              <w:spacing w:after="0"/>
            </w:pPr>
            <w:r>
              <w:rPr>
                <w:sz w:val="17"/>
              </w:rPr>
              <w:t>Domain adapters and validation</w:t>
            </w:r>
          </w:p>
        </w:tc>
        <w:tc>
          <w:tcPr>
            <w:tcW w:type="dxa" w:w="3024"/>
            <w:tcMar>
              <w:top w:w="80" w:type="dxa"/>
              <w:start w:w="100" w:type="dxa"/>
              <w:bottom w:w="80" w:type="dxa"/>
              <w:end w:w="100" w:type="dxa"/>
            </w:tcMar>
            <w:vAlign w:val="top"/>
          </w:tcPr>
          <w:p>
            <w:pPr>
              <w:spacing w:after="0"/>
            </w:pPr>
            <w:r>
              <w:rPr>
                <w:sz w:val="17"/>
              </w:rPr>
              <w:t>Infrastructure, logistics, cloud, networking, digital twins, simulation tooling</w:t>
            </w:r>
          </w:p>
        </w:tc>
        <w:tc>
          <w:tcPr>
            <w:tcW w:type="dxa" w:w="2448"/>
            <w:tcMar>
              <w:top w:w="80" w:type="dxa"/>
              <w:start w:w="100" w:type="dxa"/>
              <w:bottom w:w="80" w:type="dxa"/>
              <w:end w:w="100" w:type="dxa"/>
            </w:tcMar>
            <w:vAlign w:val="top"/>
          </w:tcPr>
          <w:p>
            <w:pPr>
              <w:spacing w:after="0"/>
            </w:pPr>
            <w:r>
              <w:rPr>
                <w:sz w:val="17"/>
              </w:rPr>
              <w:t>Use contract terms that protect research independence, publication rights, and data boundaries.</w:t>
            </w:r>
          </w:p>
        </w:tc>
      </w:tr>
      <w:tr>
        <w:tc>
          <w:tcPr>
            <w:tcW w:type="dxa" w:w="1944"/>
            <w:tcMar>
              <w:top w:w="80" w:type="dxa"/>
              <w:start w:w="100" w:type="dxa"/>
              <w:bottom w:w="80" w:type="dxa"/>
              <w:end w:w="100" w:type="dxa"/>
            </w:tcMar>
            <w:shd w:fill="F5F8F9"/>
            <w:vAlign w:val="top"/>
          </w:tcPr>
          <w:p>
            <w:pPr>
              <w:spacing w:after="0"/>
            </w:pPr>
            <w:r>
              <w:rPr>
                <w:sz w:val="17"/>
              </w:rPr>
              <w:t>Cloud / compute credits</w:t>
            </w:r>
          </w:p>
        </w:tc>
        <w:tc>
          <w:tcPr>
            <w:tcW w:type="dxa" w:w="2088"/>
            <w:tcMar>
              <w:top w:w="80" w:type="dxa"/>
              <w:start w:w="100" w:type="dxa"/>
              <w:bottom w:w="80" w:type="dxa"/>
              <w:end w:w="100" w:type="dxa"/>
            </w:tcMar>
            <w:shd w:fill="F5F8F9"/>
            <w:vAlign w:val="top"/>
          </w:tcPr>
          <w:p>
            <w:pPr>
              <w:spacing w:after="0"/>
            </w:pPr>
            <w:r>
              <w:rPr>
                <w:sz w:val="17"/>
              </w:rPr>
              <w:t>Infrastructure support</w:t>
            </w:r>
          </w:p>
        </w:tc>
        <w:tc>
          <w:tcPr>
            <w:tcW w:type="dxa" w:w="3024"/>
            <w:tcMar>
              <w:top w:w="80" w:type="dxa"/>
              <w:start w:w="100" w:type="dxa"/>
              <w:bottom w:w="80" w:type="dxa"/>
              <w:end w:w="100" w:type="dxa"/>
            </w:tcMar>
            <w:shd w:fill="F5F8F9"/>
            <w:vAlign w:val="top"/>
          </w:tcPr>
          <w:p>
            <w:pPr>
              <w:spacing w:after="0"/>
            </w:pPr>
            <w:r>
              <w:rPr>
                <w:sz w:val="17"/>
              </w:rPr>
              <w:t>Batch experiments, storage, CI, visualization hosting</w:t>
            </w:r>
          </w:p>
        </w:tc>
        <w:tc>
          <w:tcPr>
            <w:tcW w:type="dxa" w:w="2448"/>
            <w:tcMar>
              <w:top w:w="80" w:type="dxa"/>
              <w:start w:w="100" w:type="dxa"/>
              <w:bottom w:w="80" w:type="dxa"/>
              <w:end w:w="100" w:type="dxa"/>
            </w:tcMar>
            <w:shd w:fill="F5F8F9"/>
            <w:vAlign w:val="top"/>
          </w:tcPr>
          <w:p>
            <w:pPr>
              <w:spacing w:after="0"/>
            </w:pPr>
            <w:r>
              <w:rPr>
                <w:sz w:val="17"/>
              </w:rPr>
              <w:t>Non-dilutive; useful after MVP when parameter sweeps scale.</w:t>
            </w:r>
          </w:p>
        </w:tc>
      </w:tr>
      <w:tr>
        <w:tc>
          <w:tcPr>
            <w:tcW w:type="dxa" w:w="1944"/>
            <w:tcMar>
              <w:top w:w="80" w:type="dxa"/>
              <w:start w:w="100" w:type="dxa"/>
              <w:bottom w:w="80" w:type="dxa"/>
              <w:end w:w="100" w:type="dxa"/>
            </w:tcMar>
            <w:vAlign w:val="top"/>
          </w:tcPr>
          <w:p>
            <w:pPr>
              <w:spacing w:after="0"/>
            </w:pPr>
            <w:r>
              <w:rPr>
                <w:sz w:val="17"/>
              </w:rPr>
              <w:t>Open-source sponsorship</w:t>
            </w:r>
          </w:p>
        </w:tc>
        <w:tc>
          <w:tcPr>
            <w:tcW w:type="dxa" w:w="2088"/>
            <w:tcMar>
              <w:top w:w="80" w:type="dxa"/>
              <w:start w:w="100" w:type="dxa"/>
              <w:bottom w:w="80" w:type="dxa"/>
              <w:end w:w="100" w:type="dxa"/>
            </w:tcMar>
            <w:vAlign w:val="top"/>
          </w:tcPr>
          <w:p>
            <w:pPr>
              <w:spacing w:after="0"/>
            </w:pPr>
            <w:r>
              <w:rPr>
                <w:sz w:val="17"/>
              </w:rPr>
              <w:t>Tooling and community growth</w:t>
            </w:r>
          </w:p>
        </w:tc>
        <w:tc>
          <w:tcPr>
            <w:tcW w:type="dxa" w:w="3024"/>
            <w:tcMar>
              <w:top w:w="80" w:type="dxa"/>
              <w:start w:w="100" w:type="dxa"/>
              <w:bottom w:w="80" w:type="dxa"/>
              <w:end w:w="100" w:type="dxa"/>
            </w:tcMar>
            <w:vAlign w:val="top"/>
          </w:tcPr>
          <w:p>
            <w:pPr>
              <w:spacing w:after="0"/>
            </w:pPr>
            <w:r>
              <w:rPr>
                <w:sz w:val="17"/>
              </w:rPr>
              <w:t>Documentation, plugins, benchmarking, maintenance</w:t>
            </w:r>
          </w:p>
        </w:tc>
        <w:tc>
          <w:tcPr>
            <w:tcW w:type="dxa" w:w="2448"/>
            <w:tcMar>
              <w:top w:w="80" w:type="dxa"/>
              <w:start w:w="100" w:type="dxa"/>
              <w:bottom w:w="80" w:type="dxa"/>
              <w:end w:w="100" w:type="dxa"/>
            </w:tcMar>
            <w:vAlign w:val="top"/>
          </w:tcPr>
          <w:p>
            <w:pPr>
              <w:spacing w:after="0"/>
            </w:pPr>
            <w:r>
              <w:rPr>
                <w:sz w:val="17"/>
              </w:rPr>
              <w:t>Appropriate once a stable public core exists.</w:t>
            </w:r>
          </w:p>
        </w:tc>
      </w:tr>
      <w:tr>
        <w:tc>
          <w:tcPr>
            <w:tcW w:type="dxa" w:w="1944"/>
            <w:tcMar>
              <w:top w:w="80" w:type="dxa"/>
              <w:start w:w="100" w:type="dxa"/>
              <w:bottom w:w="80" w:type="dxa"/>
              <w:end w:w="100" w:type="dxa"/>
            </w:tcMar>
            <w:shd w:fill="F5F8F9"/>
            <w:vAlign w:val="top"/>
          </w:tcPr>
          <w:p>
            <w:pPr>
              <w:spacing w:after="0"/>
            </w:pPr>
            <w:r>
              <w:rPr>
                <w:sz w:val="17"/>
              </w:rPr>
              <w:t>Consortium model</w:t>
            </w:r>
          </w:p>
        </w:tc>
        <w:tc>
          <w:tcPr>
            <w:tcW w:type="dxa" w:w="2088"/>
            <w:tcMar>
              <w:top w:w="80" w:type="dxa"/>
              <w:start w:w="100" w:type="dxa"/>
              <w:bottom w:w="80" w:type="dxa"/>
              <w:end w:w="100" w:type="dxa"/>
            </w:tcMar>
            <w:shd w:fill="F5F8F9"/>
            <w:vAlign w:val="top"/>
          </w:tcPr>
          <w:p>
            <w:pPr>
              <w:spacing w:after="0"/>
            </w:pPr>
            <w:r>
              <w:rPr>
                <w:sz w:val="17"/>
              </w:rPr>
              <w:t>Multi-domain expansion</w:t>
            </w:r>
          </w:p>
        </w:tc>
        <w:tc>
          <w:tcPr>
            <w:tcW w:type="dxa" w:w="3024"/>
            <w:tcMar>
              <w:top w:w="80" w:type="dxa"/>
              <w:start w:w="100" w:type="dxa"/>
              <w:bottom w:w="80" w:type="dxa"/>
              <w:end w:w="100" w:type="dxa"/>
            </w:tcMar>
            <w:shd w:fill="F5F8F9"/>
            <w:vAlign w:val="top"/>
          </w:tcPr>
          <w:p>
            <w:pPr>
              <w:spacing w:after="0"/>
            </w:pPr>
            <w:r>
              <w:rPr>
                <w:sz w:val="17"/>
              </w:rPr>
              <w:t>Shared benchmark suite and adapter ecosystem</w:t>
            </w:r>
          </w:p>
        </w:tc>
        <w:tc>
          <w:tcPr>
            <w:tcW w:type="dxa" w:w="2448"/>
            <w:tcMar>
              <w:top w:w="80" w:type="dxa"/>
              <w:start w:w="100" w:type="dxa"/>
              <w:bottom w:w="80" w:type="dxa"/>
              <w:end w:w="100" w:type="dxa"/>
            </w:tcMar>
            <w:shd w:fill="F5F8F9"/>
            <w:vAlign w:val="top"/>
          </w:tcPr>
          <w:p>
            <w:pPr>
              <w:spacing w:after="0"/>
            </w:pPr>
            <w:r>
              <w:rPr>
                <w:sz w:val="17"/>
              </w:rPr>
              <w:t>Longer-term pathway once the common schema proves useful across several domains.</w:t>
            </w:r>
          </w:p>
        </w:tc>
      </w:tr>
      <w:tr>
        <w:tc>
          <w:tcPr>
            <w:tcW w:type="dxa" w:w="1944"/>
            <w:tcMar>
              <w:top w:w="80" w:type="dxa"/>
              <w:start w:w="100" w:type="dxa"/>
              <w:bottom w:w="80" w:type="dxa"/>
              <w:end w:w="100" w:type="dxa"/>
            </w:tcMar>
            <w:vAlign w:val="top"/>
          </w:tcPr>
          <w:p>
            <w:pPr>
              <w:spacing w:after="0"/>
            </w:pPr>
            <w:r>
              <w:rPr>
                <w:sz w:val="17"/>
              </w:rPr>
              <w:t>Licensing / commercial pilots</w:t>
            </w:r>
          </w:p>
        </w:tc>
        <w:tc>
          <w:tcPr>
            <w:tcW w:type="dxa" w:w="2088"/>
            <w:tcMar>
              <w:top w:w="80" w:type="dxa"/>
              <w:start w:w="100" w:type="dxa"/>
              <w:bottom w:w="80" w:type="dxa"/>
              <w:end w:w="100" w:type="dxa"/>
            </w:tcMar>
            <w:vAlign w:val="top"/>
          </w:tcPr>
          <w:p>
            <w:pPr>
              <w:spacing w:after="0"/>
            </w:pPr>
            <w:r>
              <w:rPr>
                <w:sz w:val="17"/>
              </w:rPr>
              <w:t>Applied sustainability</w:t>
            </w:r>
          </w:p>
        </w:tc>
        <w:tc>
          <w:tcPr>
            <w:tcW w:type="dxa" w:w="3024"/>
            <w:tcMar>
              <w:top w:w="80" w:type="dxa"/>
              <w:start w:w="100" w:type="dxa"/>
              <w:bottom w:w="80" w:type="dxa"/>
              <w:end w:w="100" w:type="dxa"/>
            </w:tcMar>
            <w:vAlign w:val="top"/>
          </w:tcPr>
          <w:p>
            <w:pPr>
              <w:spacing w:after="0"/>
            </w:pPr>
            <w:r>
              <w:rPr>
                <w:sz w:val="17"/>
              </w:rPr>
              <w:t>Private adapters, enterprise scenario packs, validation dashboards</w:t>
            </w:r>
          </w:p>
        </w:tc>
        <w:tc>
          <w:tcPr>
            <w:tcW w:type="dxa" w:w="2448"/>
            <w:tcMar>
              <w:top w:w="80" w:type="dxa"/>
              <w:start w:w="100" w:type="dxa"/>
              <w:bottom w:w="80" w:type="dxa"/>
              <w:end w:w="100" w:type="dxa"/>
            </w:tcMar>
            <w:vAlign w:val="top"/>
          </w:tcPr>
          <w:p>
            <w:pPr>
              <w:spacing w:after="0"/>
            </w:pPr>
            <w:r>
              <w:rPr>
                <w:sz w:val="17"/>
              </w:rPr>
              <w:t>Should follow—not precede—proof that transfer metrics are meaningful and reproducible.</w:t>
            </w:r>
          </w:p>
        </w:tc>
      </w:tr>
    </w:tbl>
    <w:p/>
    <w:p>
      <w:pPr>
        <w:pStyle w:val="Heading2"/>
      </w:pPr>
      <w:r>
        <w:t>17.1 Funding Sequence</w:t>
      </w:r>
    </w:p>
    <w:p>
      <w:pPr>
        <w:pStyle w:val="ListNumber"/>
      </w:pPr>
      <w:r>
        <w:t>Phase A: self-funded or internal R&amp;D for schema, synthetic scenarios, and reproducibility.</w:t>
      </w:r>
    </w:p>
    <w:p>
      <w:pPr>
        <w:pStyle w:val="ListNumber"/>
      </w:pPr>
      <w:r>
        <w:t>Phase B: university / academic collaborators for method critique and validation.</w:t>
      </w:r>
    </w:p>
    <w:p>
      <w:pPr>
        <w:pStyle w:val="ListNumber"/>
      </w:pPr>
      <w:r>
        <w:t>Phase C: targeted non-dilutive grants for simulation methods, digital twins, uncertainty, or domain-specific applications.</w:t>
      </w:r>
    </w:p>
    <w:p>
      <w:pPr>
        <w:pStyle w:val="ListNumber"/>
      </w:pPr>
      <w:r>
        <w:t>Phase D: domain partnerships for infrastructure, logistics, education, or biomedical training adapters.</w:t>
      </w:r>
    </w:p>
    <w:p>
      <w:pPr>
        <w:pStyle w:val="ListNumber"/>
      </w:pPr>
      <w:r>
        <w:t>Phase E: consortium or commercial support for maintaining the common platform and benchmark suite.</w:t>
      </w:r>
    </w:p>
    <w:p>
      <w:pPr>
        <w:pStyle w:val="Heading2"/>
      </w:pPr>
      <w:r>
        <w:t>17.2 Funding Guardrails</w:t>
      </w:r>
    </w:p>
    <w:p>
      <w:pPr>
        <w:pStyle w:val="ListBullet"/>
      </w:pPr>
      <w:r>
        <w:t>No funding agreement may require the laboratory to suppress null results or negative transfer findings.</w:t>
      </w:r>
    </w:p>
    <w:p>
      <w:pPr>
        <w:pStyle w:val="ListBullet"/>
      </w:pPr>
      <w:r>
        <w:t>Sponsors may fund domain adapters but may not redefine the common validity standard for their own products.</w:t>
      </w:r>
    </w:p>
    <w:p>
      <w:pPr>
        <w:pStyle w:val="ListBullet"/>
      </w:pPr>
      <w:r>
        <w:t>Human biological-data programs require a separate governance review and cannot be smuggled into the synthetic MVP scope.</w:t>
      </w:r>
    </w:p>
    <w:p>
      <w:pPr>
        <w:pStyle w:val="ListBullet"/>
      </w:pPr>
      <w:r>
        <w:t>Funding-source metadata should be attached to experiments where conflicts of interest could matter.</w:t>
      </w:r>
    </w:p>
    <w:p>
      <w:pPr>
        <w:pStyle w:val="ListBullet"/>
      </w:pPr>
      <w:r>
        <w:t>Open benchmark results should remain reproducible even when proprietary adapters are developed.</w:t>
      </w:r>
    </w:p>
    <w:p>
      <w:pPr>
        <w:pStyle w:val="Heading1"/>
      </w:pPr>
      <w:r>
        <w:t>18. Staffing and Roles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92"/>
            <w:shd w:fill="133B4A"/>
            <w:tcMar>
              <w:top w:w="90" w:type="dxa"/>
              <w:start w:w="100" w:type="dxa"/>
              <w:bottom w:w="90" w:type="dxa"/>
              <w:end w:w="100" w:type="dxa"/>
            </w:tcMar>
            <w:vAlign w:val="center"/>
          </w:tcPr>
          <w:p>
            <w:r>
              <w:rPr>
                <w:b/>
                <w:color w:val="FFFFFF"/>
                <w:sz w:val="19"/>
              </w:rPr>
              <w:t>Role</w:t>
            </w:r>
          </w:p>
        </w:tc>
        <w:tc>
          <w:tcPr>
            <w:tcW w:type="dxa" w:w="6912"/>
            <w:shd w:fill="133B4A"/>
            <w:tcMar>
              <w:top w:w="90" w:type="dxa"/>
              <w:start w:w="100" w:type="dxa"/>
              <w:bottom w:w="90" w:type="dxa"/>
              <w:end w:w="100" w:type="dxa"/>
            </w:tcMar>
            <w:vAlign w:val="center"/>
          </w:tcPr>
          <w:p>
            <w:r>
              <w:rPr>
                <w:b/>
                <w:color w:val="FFFFFF"/>
                <w:sz w:val="19"/>
              </w:rPr>
              <w:t>Primary responsibility</w:t>
            </w:r>
          </w:p>
        </w:tc>
      </w:tr>
      <w:tr>
        <w:tc>
          <w:tcPr>
            <w:tcW w:type="dxa" w:w="2592"/>
            <w:tcMar>
              <w:top w:w="80" w:type="dxa"/>
              <w:start w:w="100" w:type="dxa"/>
              <w:bottom w:w="80" w:type="dxa"/>
              <w:end w:w="100" w:type="dxa"/>
            </w:tcMar>
            <w:vAlign w:val="top"/>
          </w:tcPr>
          <w:p>
            <w:pPr>
              <w:spacing w:after="0"/>
            </w:pPr>
            <w:r>
              <w:rPr>
                <w:sz w:val="18"/>
              </w:rPr>
              <w:t>Laboratory architect / PI</w:t>
            </w:r>
          </w:p>
        </w:tc>
        <w:tc>
          <w:tcPr>
            <w:tcW w:type="dxa" w:w="6912"/>
            <w:tcMar>
              <w:top w:w="80" w:type="dxa"/>
              <w:start w:w="100" w:type="dxa"/>
              <w:bottom w:w="80" w:type="dxa"/>
              <w:end w:w="100" w:type="dxa"/>
            </w:tcMar>
            <w:vAlign w:val="top"/>
          </w:tcPr>
          <w:p>
            <w:pPr>
              <w:spacing w:after="0"/>
            </w:pPr>
            <w:r>
              <w:rPr>
                <w:sz w:val="18"/>
              </w:rPr>
              <w:t>Own mission, scope, experiment integrity, cross-domain standards, and change control.</w:t>
            </w:r>
          </w:p>
        </w:tc>
      </w:tr>
      <w:tr>
        <w:tc>
          <w:tcPr>
            <w:tcW w:type="dxa" w:w="2592"/>
            <w:tcMar>
              <w:top w:w="80" w:type="dxa"/>
              <w:start w:w="100" w:type="dxa"/>
              <w:bottom w:w="80" w:type="dxa"/>
              <w:end w:w="100" w:type="dxa"/>
            </w:tcMar>
            <w:shd w:fill="F5F8F9"/>
            <w:vAlign w:val="top"/>
          </w:tcPr>
          <w:p>
            <w:pPr>
              <w:spacing w:after="0"/>
            </w:pPr>
            <w:r>
              <w:rPr>
                <w:sz w:val="18"/>
              </w:rPr>
              <w:t>Simulation engineer</w:t>
            </w:r>
          </w:p>
        </w:tc>
        <w:tc>
          <w:tcPr>
            <w:tcW w:type="dxa" w:w="6912"/>
            <w:tcMar>
              <w:top w:w="80" w:type="dxa"/>
              <w:start w:w="100" w:type="dxa"/>
              <w:bottom w:w="80" w:type="dxa"/>
              <w:end w:w="100" w:type="dxa"/>
            </w:tcMar>
            <w:shd w:fill="F5F8F9"/>
            <w:vAlign w:val="top"/>
          </w:tcPr>
          <w:p>
            <w:pPr>
              <w:spacing w:after="0"/>
            </w:pPr>
            <w:r>
              <w:rPr>
                <w:sz w:val="18"/>
              </w:rPr>
              <w:t>Build state engines, scenario framework, deterministic replay, and performance infrastructure.</w:t>
            </w:r>
          </w:p>
        </w:tc>
      </w:tr>
      <w:tr>
        <w:tc>
          <w:tcPr>
            <w:tcW w:type="dxa" w:w="2592"/>
            <w:tcMar>
              <w:top w:w="80" w:type="dxa"/>
              <w:start w:w="100" w:type="dxa"/>
              <w:bottom w:w="80" w:type="dxa"/>
              <w:end w:w="100" w:type="dxa"/>
            </w:tcMar>
            <w:vAlign w:val="top"/>
          </w:tcPr>
          <w:p>
            <w:pPr>
              <w:spacing w:after="0"/>
            </w:pPr>
            <w:r>
              <w:rPr>
                <w:sz w:val="18"/>
              </w:rPr>
              <w:t>Network/control scientist</w:t>
            </w:r>
          </w:p>
        </w:tc>
        <w:tc>
          <w:tcPr>
            <w:tcW w:type="dxa" w:w="6912"/>
            <w:tcMar>
              <w:top w:w="80" w:type="dxa"/>
              <w:start w:w="100" w:type="dxa"/>
              <w:bottom w:w="80" w:type="dxa"/>
              <w:end w:w="100" w:type="dxa"/>
            </w:tcMar>
            <w:vAlign w:val="top"/>
          </w:tcPr>
          <w:p>
            <w:pPr>
              <w:spacing w:after="0"/>
            </w:pPr>
            <w:r>
              <w:rPr>
                <w:sz w:val="18"/>
              </w:rPr>
              <w:t>Define metrics, perturbation regimes, observability/controllability concepts, and validity tests.</w:t>
            </w:r>
          </w:p>
        </w:tc>
      </w:tr>
      <w:tr>
        <w:tc>
          <w:tcPr>
            <w:tcW w:type="dxa" w:w="2592"/>
            <w:tcMar>
              <w:top w:w="80" w:type="dxa"/>
              <w:start w:w="100" w:type="dxa"/>
              <w:bottom w:w="80" w:type="dxa"/>
              <w:end w:w="100" w:type="dxa"/>
            </w:tcMar>
            <w:shd w:fill="F5F8F9"/>
            <w:vAlign w:val="top"/>
          </w:tcPr>
          <w:p>
            <w:pPr>
              <w:spacing w:after="0"/>
            </w:pPr>
            <w:r>
              <w:rPr>
                <w:sz w:val="18"/>
              </w:rPr>
              <w:t>Domain specialists</w:t>
            </w:r>
          </w:p>
        </w:tc>
        <w:tc>
          <w:tcPr>
            <w:tcW w:type="dxa" w:w="6912"/>
            <w:tcMar>
              <w:top w:w="80" w:type="dxa"/>
              <w:start w:w="100" w:type="dxa"/>
              <w:bottom w:w="80" w:type="dxa"/>
              <w:end w:w="100" w:type="dxa"/>
            </w:tcMar>
            <w:shd w:fill="F5F8F9"/>
            <w:vAlign w:val="top"/>
          </w:tcPr>
          <w:p>
            <w:pPr>
              <w:spacing w:after="0"/>
            </w:pPr>
            <w:r>
              <w:rPr>
                <w:sz w:val="18"/>
              </w:rPr>
              <w:t>Validate adapters for biology, infrastructure, computation, education, or other domains.</w:t>
            </w:r>
          </w:p>
        </w:tc>
      </w:tr>
      <w:tr>
        <w:tc>
          <w:tcPr>
            <w:tcW w:type="dxa" w:w="2592"/>
            <w:tcMar>
              <w:top w:w="80" w:type="dxa"/>
              <w:start w:w="100" w:type="dxa"/>
              <w:bottom w:w="80" w:type="dxa"/>
              <w:end w:w="100" w:type="dxa"/>
            </w:tcMar>
            <w:vAlign w:val="top"/>
          </w:tcPr>
          <w:p>
            <w:pPr>
              <w:spacing w:after="0"/>
            </w:pPr>
            <w:r>
              <w:rPr>
                <w:sz w:val="18"/>
              </w:rPr>
              <w:t>Research-methods lead</w:t>
            </w:r>
          </w:p>
        </w:tc>
        <w:tc>
          <w:tcPr>
            <w:tcW w:type="dxa" w:w="6912"/>
            <w:tcMar>
              <w:top w:w="80" w:type="dxa"/>
              <w:start w:w="100" w:type="dxa"/>
              <w:bottom w:w="80" w:type="dxa"/>
              <w:end w:w="100" w:type="dxa"/>
            </w:tcMar>
            <w:vAlign w:val="top"/>
          </w:tcPr>
          <w:p>
            <w:pPr>
              <w:spacing w:after="0"/>
            </w:pPr>
            <w:r>
              <w:rPr>
                <w:sz w:val="18"/>
              </w:rPr>
              <w:t>Design controls, replication, parameter sweeps, statistical interpretation, and falsification tests.</w:t>
            </w:r>
          </w:p>
        </w:tc>
      </w:tr>
      <w:tr>
        <w:tc>
          <w:tcPr>
            <w:tcW w:type="dxa" w:w="2592"/>
            <w:tcMar>
              <w:top w:w="80" w:type="dxa"/>
              <w:start w:w="100" w:type="dxa"/>
              <w:bottom w:w="80" w:type="dxa"/>
              <w:end w:w="100" w:type="dxa"/>
            </w:tcMar>
            <w:shd w:fill="F5F8F9"/>
            <w:vAlign w:val="top"/>
          </w:tcPr>
          <w:p>
            <w:pPr>
              <w:spacing w:after="0"/>
            </w:pPr>
            <w:r>
              <w:rPr>
                <w:sz w:val="18"/>
              </w:rPr>
              <w:t>Data/governance lead</w:t>
            </w:r>
          </w:p>
        </w:tc>
        <w:tc>
          <w:tcPr>
            <w:tcW w:type="dxa" w:w="6912"/>
            <w:tcMar>
              <w:top w:w="80" w:type="dxa"/>
              <w:start w:w="100" w:type="dxa"/>
              <w:bottom w:w="80" w:type="dxa"/>
              <w:end w:w="100" w:type="dxa"/>
            </w:tcMar>
            <w:shd w:fill="F5F8F9"/>
            <w:vAlign w:val="top"/>
          </w:tcPr>
          <w:p>
            <w:pPr>
              <w:spacing w:after="0"/>
            </w:pPr>
            <w:r>
              <w:rPr>
                <w:sz w:val="18"/>
              </w:rPr>
              <w:t>Privacy, provenance, consent, ownership, access, and ethics review.</w:t>
            </w:r>
          </w:p>
        </w:tc>
      </w:tr>
      <w:tr>
        <w:tc>
          <w:tcPr>
            <w:tcW w:type="dxa" w:w="2592"/>
            <w:tcMar>
              <w:top w:w="80" w:type="dxa"/>
              <w:start w:w="100" w:type="dxa"/>
              <w:bottom w:w="80" w:type="dxa"/>
              <w:end w:w="100" w:type="dxa"/>
            </w:tcMar>
            <w:vAlign w:val="top"/>
          </w:tcPr>
          <w:p>
            <w:pPr>
              <w:spacing w:after="0"/>
            </w:pPr>
            <w:r>
              <w:rPr>
                <w:sz w:val="18"/>
              </w:rPr>
              <w:t>Visualization designer</w:t>
            </w:r>
          </w:p>
        </w:tc>
        <w:tc>
          <w:tcPr>
            <w:tcW w:type="dxa" w:w="6912"/>
            <w:tcMar>
              <w:top w:w="80" w:type="dxa"/>
              <w:start w:w="100" w:type="dxa"/>
              <w:bottom w:w="80" w:type="dxa"/>
              <w:end w:w="100" w:type="dxa"/>
            </w:tcMar>
            <w:vAlign w:val="top"/>
          </w:tcPr>
          <w:p>
            <w:pPr>
              <w:spacing w:after="0"/>
            </w:pPr>
            <w:r>
              <w:rPr>
                <w:sz w:val="18"/>
              </w:rPr>
              <w:t>Make ground truth, belief state, uncertainty, and transfer boundaries understandable.</w:t>
            </w:r>
          </w:p>
        </w:tc>
      </w:tr>
      <w:tr>
        <w:tc>
          <w:tcPr>
            <w:tcW w:type="dxa" w:w="2592"/>
            <w:tcMar>
              <w:top w:w="80" w:type="dxa"/>
              <w:start w:w="100" w:type="dxa"/>
              <w:bottom w:w="80" w:type="dxa"/>
              <w:end w:w="100" w:type="dxa"/>
            </w:tcMar>
            <w:shd w:fill="F5F8F9"/>
            <w:vAlign w:val="top"/>
          </w:tcPr>
          <w:p>
            <w:pPr>
              <w:spacing w:after="0"/>
            </w:pPr>
            <w:r>
              <w:rPr>
                <w:sz w:val="18"/>
              </w:rPr>
              <w:t>AI collaboration coordinator</w:t>
            </w:r>
          </w:p>
        </w:tc>
        <w:tc>
          <w:tcPr>
            <w:tcW w:type="dxa" w:w="6912"/>
            <w:tcMar>
              <w:top w:w="80" w:type="dxa"/>
              <w:start w:w="100" w:type="dxa"/>
              <w:bottom w:w="80" w:type="dxa"/>
              <w:end w:w="100" w:type="dxa"/>
            </w:tcMar>
            <w:shd w:fill="F5F8F9"/>
            <w:vAlign w:val="top"/>
          </w:tcPr>
          <w:p>
            <w:pPr>
              <w:spacing w:after="0"/>
            </w:pPr>
            <w:r>
              <w:rPr>
                <w:sz w:val="18"/>
              </w:rPr>
              <w:t>Maintain multi-model dissent, source attribution, prompt protocols, and synthesis records.</w:t>
            </w:r>
          </w:p>
        </w:tc>
      </w:tr>
      <w:tr>
        <w:tc>
          <w:tcPr>
            <w:tcW w:type="dxa" w:w="2592"/>
            <w:tcMar>
              <w:top w:w="80" w:type="dxa"/>
              <w:start w:w="100" w:type="dxa"/>
              <w:bottom w:w="80" w:type="dxa"/>
              <w:end w:w="100" w:type="dxa"/>
            </w:tcMar>
            <w:vAlign w:val="top"/>
          </w:tcPr>
          <w:p>
            <w:pPr>
              <w:spacing w:after="0"/>
            </w:pPr>
            <w:r>
              <w:rPr>
                <w:sz w:val="18"/>
              </w:rPr>
              <w:t>Technical writer / archivist</w:t>
            </w:r>
          </w:p>
        </w:tc>
        <w:tc>
          <w:tcPr>
            <w:tcW w:type="dxa" w:w="6912"/>
            <w:tcMar>
              <w:top w:w="80" w:type="dxa"/>
              <w:start w:w="100" w:type="dxa"/>
              <w:bottom w:w="80" w:type="dxa"/>
              <w:end w:w="100" w:type="dxa"/>
            </w:tcMar>
            <w:vAlign w:val="top"/>
          </w:tcPr>
          <w:p>
            <w:pPr>
              <w:spacing w:after="0"/>
            </w:pPr>
            <w:r>
              <w:rPr>
                <w:sz w:val="18"/>
              </w:rPr>
              <w:t>Version laboratory specifications, experiment records, and handoff packages.</w:t>
            </w:r>
          </w:p>
        </w:tc>
      </w:tr>
    </w:tbl>
    <w:p/>
    <w:p>
      <w:pPr>
        <w:pStyle w:val="Heading1"/>
      </w:pPr>
      <w:r>
        <w:t>19. Development Roadmap</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232"/>
            <w:shd w:fill="133B4A"/>
            <w:tcMar>
              <w:top w:w="90" w:type="dxa"/>
              <w:start w:w="100" w:type="dxa"/>
              <w:bottom w:w="90" w:type="dxa"/>
              <w:end w:w="100" w:type="dxa"/>
            </w:tcMar>
            <w:vAlign w:val="center"/>
          </w:tcPr>
          <w:p>
            <w:r>
              <w:rPr>
                <w:b/>
                <w:color w:val="FFFFFF"/>
                <w:sz w:val="18"/>
              </w:rPr>
              <w:t>Milestone</w:t>
            </w:r>
          </w:p>
        </w:tc>
        <w:tc>
          <w:tcPr>
            <w:tcW w:type="dxa" w:w="1656"/>
            <w:shd w:fill="133B4A"/>
            <w:tcMar>
              <w:top w:w="90" w:type="dxa"/>
              <w:start w:w="100" w:type="dxa"/>
              <w:bottom w:w="90" w:type="dxa"/>
              <w:end w:w="100" w:type="dxa"/>
            </w:tcMar>
            <w:vAlign w:val="center"/>
          </w:tcPr>
          <w:p>
            <w:r>
              <w:rPr>
                <w:b/>
                <w:color w:val="FFFFFF"/>
                <w:sz w:val="18"/>
              </w:rPr>
              <w:t>Indicative duration</w:t>
            </w:r>
          </w:p>
        </w:tc>
        <w:tc>
          <w:tcPr>
            <w:tcW w:type="dxa" w:w="5760"/>
            <w:shd w:fill="133B4A"/>
            <w:tcMar>
              <w:top w:w="90" w:type="dxa"/>
              <w:start w:w="100" w:type="dxa"/>
              <w:bottom w:w="90" w:type="dxa"/>
              <w:end w:w="100" w:type="dxa"/>
            </w:tcMar>
            <w:vAlign w:val="center"/>
          </w:tcPr>
          <w:p>
            <w:r>
              <w:rPr>
                <w:b/>
                <w:color w:val="FFFFFF"/>
                <w:sz w:val="18"/>
              </w:rPr>
              <w:t>Exit criteria</w:t>
            </w:r>
          </w:p>
        </w:tc>
      </w:tr>
      <w:tr>
        <w:tc>
          <w:tcPr>
            <w:tcW w:type="dxa" w:w="2232"/>
            <w:tcMar>
              <w:top w:w="80" w:type="dxa"/>
              <w:start w:w="100" w:type="dxa"/>
              <w:bottom w:w="80" w:type="dxa"/>
              <w:end w:w="100" w:type="dxa"/>
            </w:tcMar>
            <w:vAlign w:val="top"/>
          </w:tcPr>
          <w:p>
            <w:pPr>
              <w:spacing w:after="0"/>
            </w:pPr>
            <w:r>
              <w:rPr>
                <w:sz w:val="17"/>
              </w:rPr>
              <w:t>v0.1 - Schema &amp; Replay</w:t>
            </w:r>
          </w:p>
        </w:tc>
        <w:tc>
          <w:tcPr>
            <w:tcW w:type="dxa" w:w="1656"/>
            <w:tcMar>
              <w:top w:w="80" w:type="dxa"/>
              <w:start w:w="100" w:type="dxa"/>
              <w:bottom w:w="80" w:type="dxa"/>
              <w:end w:w="100" w:type="dxa"/>
            </w:tcMar>
            <w:vAlign w:val="top"/>
          </w:tcPr>
          <w:p>
            <w:pPr>
              <w:spacing w:after="0"/>
            </w:pPr>
            <w:r>
              <w:rPr>
                <w:sz w:val="17"/>
              </w:rPr>
              <w:t>2-4 weeks</w:t>
            </w:r>
          </w:p>
        </w:tc>
        <w:tc>
          <w:tcPr>
            <w:tcW w:type="dxa" w:w="5760"/>
            <w:tcMar>
              <w:top w:w="80" w:type="dxa"/>
              <w:start w:w="100" w:type="dxa"/>
              <w:bottom w:w="80" w:type="dxa"/>
              <w:end w:w="100" w:type="dxa"/>
            </w:tcMar>
            <w:vAlign w:val="top"/>
          </w:tcPr>
          <w:p>
            <w:pPr>
              <w:spacing w:after="0"/>
            </w:pPr>
            <w:r>
              <w:rPr>
                <w:sz w:val="17"/>
              </w:rPr>
              <w:t>Data schema, provenance, deterministic synthetic graph simulation, ground-truth vs belief separation.</w:t>
            </w:r>
          </w:p>
        </w:tc>
      </w:tr>
      <w:tr>
        <w:tc>
          <w:tcPr>
            <w:tcW w:type="dxa" w:w="2232"/>
            <w:tcMar>
              <w:top w:w="80" w:type="dxa"/>
              <w:start w:w="100" w:type="dxa"/>
              <w:bottom w:w="80" w:type="dxa"/>
              <w:end w:w="100" w:type="dxa"/>
            </w:tcMar>
            <w:shd w:fill="F5F8F9"/>
            <w:vAlign w:val="top"/>
          </w:tcPr>
          <w:p>
            <w:pPr>
              <w:spacing w:after="0"/>
            </w:pPr>
            <w:r>
              <w:rPr>
                <w:sz w:val="17"/>
              </w:rPr>
              <w:t>v0.2 - Observer &amp; Controller</w:t>
            </w:r>
          </w:p>
        </w:tc>
        <w:tc>
          <w:tcPr>
            <w:tcW w:type="dxa" w:w="1656"/>
            <w:tcMar>
              <w:top w:w="80" w:type="dxa"/>
              <w:start w:w="100" w:type="dxa"/>
              <w:bottom w:w="80" w:type="dxa"/>
              <w:end w:w="100" w:type="dxa"/>
            </w:tcMar>
            <w:shd w:fill="F5F8F9"/>
            <w:vAlign w:val="top"/>
          </w:tcPr>
          <w:p>
            <w:pPr>
              <w:spacing w:after="0"/>
            </w:pPr>
            <w:r>
              <w:rPr>
                <w:sz w:val="17"/>
              </w:rPr>
              <w:t>3-5 weeks</w:t>
            </w:r>
          </w:p>
        </w:tc>
        <w:tc>
          <w:tcPr>
            <w:tcW w:type="dxa" w:w="5760"/>
            <w:tcMar>
              <w:top w:w="80" w:type="dxa"/>
              <w:start w:w="100" w:type="dxa"/>
              <w:bottom w:w="80" w:type="dxa"/>
              <w:end w:w="100" w:type="dxa"/>
            </w:tcMar>
            <w:shd w:fill="F5F8F9"/>
            <w:vAlign w:val="top"/>
          </w:tcPr>
          <w:p>
            <w:pPr>
              <w:spacing w:after="0"/>
            </w:pPr>
            <w:r>
              <w:rPr>
                <w:sz w:val="17"/>
              </w:rPr>
              <w:t>Partial maps, uncertainty, sensing, intervention policies, escalation rules.</w:t>
            </w:r>
          </w:p>
        </w:tc>
      </w:tr>
      <w:tr>
        <w:tc>
          <w:tcPr>
            <w:tcW w:type="dxa" w:w="2232"/>
            <w:tcMar>
              <w:top w:w="80" w:type="dxa"/>
              <w:start w:w="100" w:type="dxa"/>
              <w:bottom w:w="80" w:type="dxa"/>
              <w:end w:w="100" w:type="dxa"/>
            </w:tcMar>
            <w:vAlign w:val="top"/>
          </w:tcPr>
          <w:p>
            <w:pPr>
              <w:spacing w:after="0"/>
            </w:pPr>
            <w:r>
              <w:rPr>
                <w:sz w:val="17"/>
              </w:rPr>
              <w:t>v0.3 - Translation Engine</w:t>
            </w:r>
          </w:p>
        </w:tc>
        <w:tc>
          <w:tcPr>
            <w:tcW w:type="dxa" w:w="1656"/>
            <w:tcMar>
              <w:top w:w="80" w:type="dxa"/>
              <w:start w:w="100" w:type="dxa"/>
              <w:bottom w:w="80" w:type="dxa"/>
              <w:end w:w="100" w:type="dxa"/>
            </w:tcMar>
            <w:vAlign w:val="top"/>
          </w:tcPr>
          <w:p>
            <w:pPr>
              <w:spacing w:after="0"/>
            </w:pPr>
            <w:r>
              <w:rPr>
                <w:sz w:val="17"/>
              </w:rPr>
              <w:t>3-5 weeks</w:t>
            </w:r>
          </w:p>
        </w:tc>
        <w:tc>
          <w:tcPr>
            <w:tcW w:type="dxa" w:w="5760"/>
            <w:tcMar>
              <w:top w:w="80" w:type="dxa"/>
              <w:start w:w="100" w:type="dxa"/>
              <w:bottom w:w="80" w:type="dxa"/>
              <w:end w:w="100" w:type="dxa"/>
            </w:tcMar>
            <w:vAlign w:val="top"/>
          </w:tcPr>
          <w:p>
            <w:pPr>
              <w:spacing w:after="0"/>
            </w:pPr>
            <w:r>
              <w:rPr>
                <w:sz w:val="17"/>
              </w:rPr>
              <w:t>Source abstraction, destination mapping, Transfer Certificate generation.</w:t>
            </w:r>
          </w:p>
        </w:tc>
      </w:tr>
      <w:tr>
        <w:tc>
          <w:tcPr>
            <w:tcW w:type="dxa" w:w="2232"/>
            <w:tcMar>
              <w:top w:w="80" w:type="dxa"/>
              <w:start w:w="100" w:type="dxa"/>
              <w:bottom w:w="80" w:type="dxa"/>
              <w:end w:w="100" w:type="dxa"/>
            </w:tcMar>
            <w:shd w:fill="F5F8F9"/>
            <w:vAlign w:val="top"/>
          </w:tcPr>
          <w:p>
            <w:pPr>
              <w:spacing w:after="0"/>
            </w:pPr>
            <w:r>
              <w:rPr>
                <w:sz w:val="17"/>
              </w:rPr>
              <w:t>v0.4 - Analogy Breaker</w:t>
            </w:r>
          </w:p>
        </w:tc>
        <w:tc>
          <w:tcPr>
            <w:tcW w:type="dxa" w:w="1656"/>
            <w:tcMar>
              <w:top w:w="80" w:type="dxa"/>
              <w:start w:w="100" w:type="dxa"/>
              <w:bottom w:w="80" w:type="dxa"/>
              <w:end w:w="100" w:type="dxa"/>
            </w:tcMar>
            <w:shd w:fill="F5F8F9"/>
            <w:vAlign w:val="top"/>
          </w:tcPr>
          <w:p>
            <w:pPr>
              <w:spacing w:after="0"/>
            </w:pPr>
            <w:r>
              <w:rPr>
                <w:sz w:val="17"/>
              </w:rPr>
              <w:t>3-5 weeks</w:t>
            </w:r>
          </w:p>
        </w:tc>
        <w:tc>
          <w:tcPr>
            <w:tcW w:type="dxa" w:w="5760"/>
            <w:tcMar>
              <w:top w:w="80" w:type="dxa"/>
              <w:start w:w="100" w:type="dxa"/>
              <w:bottom w:w="80" w:type="dxa"/>
              <w:end w:w="100" w:type="dxa"/>
            </w:tcMar>
            <w:shd w:fill="F5F8F9"/>
            <w:vAlign w:val="top"/>
          </w:tcPr>
          <w:p>
            <w:pPr>
              <w:spacing w:after="0"/>
            </w:pPr>
            <w:r>
              <w:rPr>
                <w:sz w:val="17"/>
              </w:rPr>
              <w:t>Adversarial perturbations, scale/time stress tests, discarded-variable checks.</w:t>
            </w:r>
          </w:p>
        </w:tc>
      </w:tr>
      <w:tr>
        <w:tc>
          <w:tcPr>
            <w:tcW w:type="dxa" w:w="2232"/>
            <w:tcMar>
              <w:top w:w="80" w:type="dxa"/>
              <w:start w:w="100" w:type="dxa"/>
              <w:bottom w:w="80" w:type="dxa"/>
              <w:end w:w="100" w:type="dxa"/>
            </w:tcMar>
            <w:vAlign w:val="top"/>
          </w:tcPr>
          <w:p>
            <w:pPr>
              <w:spacing w:after="0"/>
            </w:pPr>
            <w:r>
              <w:rPr>
                <w:sz w:val="17"/>
              </w:rPr>
              <w:t>v0.5 - Experiment Pack</w:t>
            </w:r>
          </w:p>
        </w:tc>
        <w:tc>
          <w:tcPr>
            <w:tcW w:type="dxa" w:w="1656"/>
            <w:tcMar>
              <w:top w:w="80" w:type="dxa"/>
              <w:start w:w="100" w:type="dxa"/>
              <w:bottom w:w="80" w:type="dxa"/>
              <w:end w:w="100" w:type="dxa"/>
            </w:tcMar>
            <w:vAlign w:val="top"/>
          </w:tcPr>
          <w:p>
            <w:pPr>
              <w:spacing w:after="0"/>
            </w:pPr>
            <w:r>
              <w:rPr>
                <w:sz w:val="17"/>
              </w:rPr>
              <w:t>4-6 weeks</w:t>
            </w:r>
          </w:p>
        </w:tc>
        <w:tc>
          <w:tcPr>
            <w:tcW w:type="dxa" w:w="5760"/>
            <w:tcMar>
              <w:top w:w="80" w:type="dxa"/>
              <w:start w:w="100" w:type="dxa"/>
              <w:bottom w:w="80" w:type="dxa"/>
              <w:end w:w="100" w:type="dxa"/>
            </w:tcMar>
            <w:vAlign w:val="top"/>
          </w:tcPr>
          <w:p>
            <w:pPr>
              <w:spacing w:after="0"/>
            </w:pPr>
            <w:r>
              <w:rPr>
                <w:sz w:val="17"/>
              </w:rPr>
              <w:t>Experiments 1-3 implemented with repeatable parameter sweeps.</w:t>
            </w:r>
          </w:p>
        </w:tc>
      </w:tr>
      <w:tr>
        <w:tc>
          <w:tcPr>
            <w:tcW w:type="dxa" w:w="2232"/>
            <w:tcMar>
              <w:top w:w="80" w:type="dxa"/>
              <w:start w:w="100" w:type="dxa"/>
              <w:bottom w:w="80" w:type="dxa"/>
              <w:end w:w="100" w:type="dxa"/>
            </w:tcMar>
            <w:shd w:fill="F5F8F9"/>
            <w:vAlign w:val="top"/>
          </w:tcPr>
          <w:p>
            <w:pPr>
              <w:spacing w:after="0"/>
            </w:pPr>
            <w:r>
              <w:rPr>
                <w:sz w:val="17"/>
              </w:rPr>
              <w:t>v0.6 - Boundary Metrics</w:t>
            </w:r>
          </w:p>
        </w:tc>
        <w:tc>
          <w:tcPr>
            <w:tcW w:type="dxa" w:w="1656"/>
            <w:tcMar>
              <w:top w:w="80" w:type="dxa"/>
              <w:start w:w="100" w:type="dxa"/>
              <w:bottom w:w="80" w:type="dxa"/>
              <w:end w:w="100" w:type="dxa"/>
            </w:tcMar>
            <w:shd w:fill="F5F8F9"/>
            <w:vAlign w:val="top"/>
          </w:tcPr>
          <w:p>
            <w:pPr>
              <w:spacing w:after="0"/>
            </w:pPr>
            <w:r>
              <w:rPr>
                <w:sz w:val="17"/>
              </w:rPr>
              <w:t>3-5 weeks</w:t>
            </w:r>
          </w:p>
        </w:tc>
        <w:tc>
          <w:tcPr>
            <w:tcW w:type="dxa" w:w="5760"/>
            <w:tcMar>
              <w:top w:w="80" w:type="dxa"/>
              <w:start w:w="100" w:type="dxa"/>
              <w:bottom w:w="80" w:type="dxa"/>
              <w:end w:w="100" w:type="dxa"/>
            </w:tcMar>
            <w:shd w:fill="F5F8F9"/>
            <w:vAlign w:val="top"/>
          </w:tcPr>
          <w:p>
            <w:pPr>
              <w:spacing w:after="0"/>
            </w:pPr>
            <w:r>
              <w:rPr>
                <w:sz w:val="17"/>
              </w:rPr>
              <w:t>Validity envelopes, breakpoints, null-transfer records, calibration metrics.</w:t>
            </w:r>
          </w:p>
        </w:tc>
      </w:tr>
      <w:tr>
        <w:tc>
          <w:tcPr>
            <w:tcW w:type="dxa" w:w="2232"/>
            <w:tcMar>
              <w:top w:w="80" w:type="dxa"/>
              <w:start w:w="100" w:type="dxa"/>
              <w:bottom w:w="80" w:type="dxa"/>
              <w:end w:w="100" w:type="dxa"/>
            </w:tcMar>
            <w:vAlign w:val="top"/>
          </w:tcPr>
          <w:p>
            <w:pPr>
              <w:spacing w:after="0"/>
            </w:pPr>
            <w:r>
              <w:rPr>
                <w:sz w:val="17"/>
              </w:rPr>
              <w:t>v0.7 - Multi-Domain Adapters</w:t>
            </w:r>
          </w:p>
        </w:tc>
        <w:tc>
          <w:tcPr>
            <w:tcW w:type="dxa" w:w="1656"/>
            <w:tcMar>
              <w:top w:w="80" w:type="dxa"/>
              <w:start w:w="100" w:type="dxa"/>
              <w:bottom w:w="80" w:type="dxa"/>
              <w:end w:w="100" w:type="dxa"/>
            </w:tcMar>
            <w:vAlign w:val="top"/>
          </w:tcPr>
          <w:p>
            <w:pPr>
              <w:spacing w:after="0"/>
            </w:pPr>
            <w:r>
              <w:rPr>
                <w:sz w:val="17"/>
              </w:rPr>
              <w:t>6-10 weeks</w:t>
            </w:r>
          </w:p>
        </w:tc>
        <w:tc>
          <w:tcPr>
            <w:tcW w:type="dxa" w:w="5760"/>
            <w:tcMar>
              <w:top w:w="80" w:type="dxa"/>
              <w:start w:w="100" w:type="dxa"/>
              <w:bottom w:w="80" w:type="dxa"/>
              <w:end w:w="100" w:type="dxa"/>
            </w:tcMar>
            <w:vAlign w:val="top"/>
          </w:tcPr>
          <w:p>
            <w:pPr>
              <w:spacing w:after="0"/>
            </w:pPr>
            <w:r>
              <w:rPr>
                <w:sz w:val="17"/>
              </w:rPr>
              <w:t>Fluid-like, digital-routing, and abstract-resource adapters; optional plant-hydraulic model.</w:t>
            </w:r>
          </w:p>
        </w:tc>
      </w:tr>
      <w:tr>
        <w:tc>
          <w:tcPr>
            <w:tcW w:type="dxa" w:w="2232"/>
            <w:tcMar>
              <w:top w:w="80" w:type="dxa"/>
              <w:start w:w="100" w:type="dxa"/>
              <w:bottom w:w="80" w:type="dxa"/>
              <w:end w:w="100" w:type="dxa"/>
            </w:tcMar>
            <w:shd w:fill="F5F8F9"/>
            <w:vAlign w:val="top"/>
          </w:tcPr>
          <w:p>
            <w:pPr>
              <w:spacing w:after="0"/>
            </w:pPr>
            <w:r>
              <w:rPr>
                <w:sz w:val="17"/>
              </w:rPr>
              <w:t>v0.8 - Collaboration Layer</w:t>
            </w:r>
          </w:p>
        </w:tc>
        <w:tc>
          <w:tcPr>
            <w:tcW w:type="dxa" w:w="1656"/>
            <w:tcMar>
              <w:top w:w="80" w:type="dxa"/>
              <w:start w:w="100" w:type="dxa"/>
              <w:bottom w:w="80" w:type="dxa"/>
              <w:end w:w="100" w:type="dxa"/>
            </w:tcMar>
            <w:shd w:fill="F5F8F9"/>
            <w:vAlign w:val="top"/>
          </w:tcPr>
          <w:p>
            <w:pPr>
              <w:spacing w:after="0"/>
            </w:pPr>
            <w:r>
              <w:rPr>
                <w:sz w:val="17"/>
              </w:rPr>
              <w:t>4-6 weeks</w:t>
            </w:r>
          </w:p>
        </w:tc>
        <w:tc>
          <w:tcPr>
            <w:tcW w:type="dxa" w:w="5760"/>
            <w:tcMar>
              <w:top w:w="80" w:type="dxa"/>
              <w:start w:w="100" w:type="dxa"/>
              <w:bottom w:w="80" w:type="dxa"/>
              <w:end w:w="100" w:type="dxa"/>
            </w:tcMar>
            <w:shd w:fill="F5F8F9"/>
            <w:vAlign w:val="top"/>
          </w:tcPr>
          <w:p>
            <w:pPr>
              <w:spacing w:after="0"/>
            </w:pPr>
            <w:r>
              <w:rPr>
                <w:sz w:val="17"/>
              </w:rPr>
              <w:t>Dissent Objects, alternate-mechanism tracking, cross-AI handoff and report tooling.</w:t>
            </w:r>
          </w:p>
        </w:tc>
      </w:tr>
      <w:tr>
        <w:tc>
          <w:tcPr>
            <w:tcW w:type="dxa" w:w="2232"/>
            <w:tcMar>
              <w:top w:w="80" w:type="dxa"/>
              <w:start w:w="100" w:type="dxa"/>
              <w:bottom w:w="80" w:type="dxa"/>
              <w:end w:w="100" w:type="dxa"/>
            </w:tcMar>
            <w:vAlign w:val="top"/>
          </w:tcPr>
          <w:p>
            <w:pPr>
              <w:spacing w:after="0"/>
            </w:pPr>
            <w:r>
              <w:rPr>
                <w:sz w:val="17"/>
              </w:rPr>
              <w:t>v0.9 - External Review</w:t>
            </w:r>
          </w:p>
        </w:tc>
        <w:tc>
          <w:tcPr>
            <w:tcW w:type="dxa" w:w="1656"/>
            <w:tcMar>
              <w:top w:w="80" w:type="dxa"/>
              <w:start w:w="100" w:type="dxa"/>
              <w:bottom w:w="80" w:type="dxa"/>
              <w:end w:w="100" w:type="dxa"/>
            </w:tcMar>
            <w:vAlign w:val="top"/>
          </w:tcPr>
          <w:p>
            <w:pPr>
              <w:spacing w:after="0"/>
            </w:pPr>
            <w:r>
              <w:rPr>
                <w:sz w:val="17"/>
              </w:rPr>
              <w:t>Variable</w:t>
            </w:r>
          </w:p>
        </w:tc>
        <w:tc>
          <w:tcPr>
            <w:tcW w:type="dxa" w:w="5760"/>
            <w:tcMar>
              <w:top w:w="80" w:type="dxa"/>
              <w:start w:w="100" w:type="dxa"/>
              <w:bottom w:w="80" w:type="dxa"/>
              <w:end w:w="100" w:type="dxa"/>
            </w:tcMar>
            <w:vAlign w:val="top"/>
          </w:tcPr>
          <w:p>
            <w:pPr>
              <w:spacing w:after="0"/>
            </w:pPr>
            <w:r>
              <w:rPr>
                <w:sz w:val="17"/>
              </w:rPr>
              <w:t>Academic/domain review, benchmark challenge set, reproducibility audit.</w:t>
            </w:r>
          </w:p>
        </w:tc>
      </w:tr>
      <w:tr>
        <w:tc>
          <w:tcPr>
            <w:tcW w:type="dxa" w:w="2232"/>
            <w:tcMar>
              <w:top w:w="80" w:type="dxa"/>
              <w:start w:w="100" w:type="dxa"/>
              <w:bottom w:w="80" w:type="dxa"/>
              <w:end w:w="100" w:type="dxa"/>
            </w:tcMar>
            <w:shd w:fill="F5F8F9"/>
            <w:vAlign w:val="top"/>
          </w:tcPr>
          <w:p>
            <w:pPr>
              <w:spacing w:after="0"/>
            </w:pPr>
            <w:r>
              <w:rPr>
                <w:sz w:val="17"/>
              </w:rPr>
              <w:t>v1.0 - Research Release</w:t>
            </w:r>
          </w:p>
        </w:tc>
        <w:tc>
          <w:tcPr>
            <w:tcW w:type="dxa" w:w="1656"/>
            <w:tcMar>
              <w:top w:w="80" w:type="dxa"/>
              <w:start w:w="100" w:type="dxa"/>
              <w:bottom w:w="80" w:type="dxa"/>
              <w:end w:w="100" w:type="dxa"/>
            </w:tcMar>
            <w:shd w:fill="F5F8F9"/>
            <w:vAlign w:val="top"/>
          </w:tcPr>
          <w:p>
            <w:pPr>
              <w:spacing w:after="0"/>
            </w:pPr>
            <w:r>
              <w:rPr>
                <w:sz w:val="17"/>
              </w:rPr>
              <w:t>After review</w:t>
            </w:r>
          </w:p>
        </w:tc>
        <w:tc>
          <w:tcPr>
            <w:tcW w:type="dxa" w:w="5760"/>
            <w:tcMar>
              <w:top w:w="80" w:type="dxa"/>
              <w:start w:w="100" w:type="dxa"/>
              <w:bottom w:w="80" w:type="dxa"/>
              <w:end w:w="100" w:type="dxa"/>
            </w:tcMar>
            <w:shd w:fill="F5F8F9"/>
            <w:vAlign w:val="top"/>
          </w:tcPr>
          <w:p>
            <w:pPr>
              <w:spacing w:after="0"/>
            </w:pPr>
            <w:r>
              <w:rPr>
                <w:sz w:val="17"/>
              </w:rPr>
              <w:t>Stable documented platform, benchmark scenarios, governance package, funding-ready technical narrative.</w:t>
            </w:r>
          </w:p>
        </w:tc>
      </w:tr>
    </w:tbl>
    <w:p/>
    <w:p>
      <w:pPr>
        <w:pStyle w:val="Heading1"/>
      </w:pPr>
      <w:r>
        <w:t>20. Risk Register</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72"/>
            <w:shd w:fill="133B4A"/>
            <w:tcMar>
              <w:top w:w="90" w:type="dxa"/>
              <w:start w:w="100" w:type="dxa"/>
              <w:bottom w:w="90" w:type="dxa"/>
              <w:end w:w="100" w:type="dxa"/>
            </w:tcMar>
            <w:vAlign w:val="center"/>
          </w:tcPr>
          <w:p>
            <w:r>
              <w:rPr>
                <w:b/>
                <w:color w:val="FFFFFF"/>
                <w:sz w:val="18"/>
              </w:rPr>
              <w:t>Risk</w:t>
            </w:r>
          </w:p>
        </w:tc>
        <w:tc>
          <w:tcPr>
            <w:tcW w:type="dxa" w:w="3816"/>
            <w:shd w:fill="133B4A"/>
            <w:tcMar>
              <w:top w:w="90" w:type="dxa"/>
              <w:start w:w="100" w:type="dxa"/>
              <w:bottom w:w="90" w:type="dxa"/>
              <w:end w:w="100" w:type="dxa"/>
            </w:tcMar>
            <w:vAlign w:val="center"/>
          </w:tcPr>
          <w:p>
            <w:r>
              <w:rPr>
                <w:b/>
                <w:color w:val="FFFFFF"/>
                <w:sz w:val="18"/>
              </w:rPr>
              <w:t>Failure mode</w:t>
            </w:r>
          </w:p>
        </w:tc>
        <w:tc>
          <w:tcPr>
            <w:tcW w:type="dxa" w:w="3960"/>
            <w:shd w:fill="133B4A"/>
            <w:tcMar>
              <w:top w:w="90" w:type="dxa"/>
              <w:start w:w="100" w:type="dxa"/>
              <w:bottom w:w="90" w:type="dxa"/>
              <w:end w:w="100" w:type="dxa"/>
            </w:tcMar>
            <w:vAlign w:val="center"/>
          </w:tcPr>
          <w:p>
            <w:r>
              <w:rPr>
                <w:b/>
                <w:color w:val="FFFFFF"/>
                <w:sz w:val="18"/>
              </w:rPr>
              <w:t>Mitigation</w:t>
            </w:r>
          </w:p>
        </w:tc>
      </w:tr>
      <w:tr>
        <w:tc>
          <w:tcPr>
            <w:tcW w:type="dxa" w:w="1872"/>
            <w:tcMar>
              <w:top w:w="80" w:type="dxa"/>
              <w:start w:w="100" w:type="dxa"/>
              <w:bottom w:w="80" w:type="dxa"/>
              <w:end w:w="100" w:type="dxa"/>
            </w:tcMar>
            <w:vAlign w:val="top"/>
          </w:tcPr>
          <w:p>
            <w:pPr>
              <w:spacing w:after="0"/>
            </w:pPr>
            <w:r>
              <w:rPr>
                <w:sz w:val="17"/>
              </w:rPr>
              <w:t>Over-abstraction</w:t>
            </w:r>
          </w:p>
        </w:tc>
        <w:tc>
          <w:tcPr>
            <w:tcW w:type="dxa" w:w="3816"/>
            <w:tcMar>
              <w:top w:w="80" w:type="dxa"/>
              <w:start w:w="100" w:type="dxa"/>
              <w:bottom w:w="80" w:type="dxa"/>
              <w:end w:w="100" w:type="dxa"/>
            </w:tcMar>
            <w:vAlign w:val="top"/>
          </w:tcPr>
          <w:p>
            <w:pPr>
              <w:spacing w:after="0"/>
            </w:pPr>
            <w:r>
              <w:rPr>
                <w:sz w:val="17"/>
              </w:rPr>
              <w:t>Common schema erases variables that determine actual behavior.</w:t>
            </w:r>
          </w:p>
        </w:tc>
        <w:tc>
          <w:tcPr>
            <w:tcW w:type="dxa" w:w="3960"/>
            <w:tcMar>
              <w:top w:w="80" w:type="dxa"/>
              <w:start w:w="100" w:type="dxa"/>
              <w:bottom w:w="80" w:type="dxa"/>
              <w:end w:w="100" w:type="dxa"/>
            </w:tcMar>
            <w:vAlign w:val="top"/>
          </w:tcPr>
          <w:p>
            <w:pPr>
              <w:spacing w:after="0"/>
            </w:pPr>
            <w:r>
              <w:rPr>
                <w:sz w:val="17"/>
              </w:rPr>
              <w:t>Domain Contracts; Analogy Breaker; mandatory discarded-variable list.</w:t>
            </w:r>
          </w:p>
        </w:tc>
      </w:tr>
      <w:tr>
        <w:tc>
          <w:tcPr>
            <w:tcW w:type="dxa" w:w="1872"/>
            <w:tcMar>
              <w:top w:w="80" w:type="dxa"/>
              <w:start w:w="100" w:type="dxa"/>
              <w:bottom w:w="80" w:type="dxa"/>
              <w:end w:w="100" w:type="dxa"/>
            </w:tcMar>
            <w:shd w:fill="F5F8F9"/>
            <w:vAlign w:val="top"/>
          </w:tcPr>
          <w:p>
            <w:pPr>
              <w:spacing w:after="0"/>
            </w:pPr>
            <w:r>
              <w:rPr>
                <w:sz w:val="17"/>
              </w:rPr>
              <w:t>Metaphor inflation</w:t>
            </w:r>
          </w:p>
        </w:tc>
        <w:tc>
          <w:tcPr>
            <w:tcW w:type="dxa" w:w="3816"/>
            <w:tcMar>
              <w:top w:w="80" w:type="dxa"/>
              <w:start w:w="100" w:type="dxa"/>
              <w:bottom w:w="80" w:type="dxa"/>
              <w:end w:w="100" w:type="dxa"/>
            </w:tcMar>
            <w:shd w:fill="F5F8F9"/>
            <w:vAlign w:val="top"/>
          </w:tcPr>
          <w:p>
            <w:pPr>
              <w:spacing w:after="0"/>
            </w:pPr>
            <w:r>
              <w:rPr>
                <w:sz w:val="17"/>
              </w:rPr>
              <w:t>A useful analogy is reported as a causal equivalence.</w:t>
            </w:r>
          </w:p>
        </w:tc>
        <w:tc>
          <w:tcPr>
            <w:tcW w:type="dxa" w:w="3960"/>
            <w:tcMar>
              <w:top w:w="80" w:type="dxa"/>
              <w:start w:w="100" w:type="dxa"/>
              <w:bottom w:w="80" w:type="dxa"/>
              <w:end w:w="100" w:type="dxa"/>
            </w:tcMar>
            <w:shd w:fill="F5F8F9"/>
            <w:vAlign w:val="top"/>
          </w:tcPr>
          <w:p>
            <w:pPr>
              <w:spacing w:after="0"/>
            </w:pPr>
            <w:r>
              <w:rPr>
                <w:sz w:val="17"/>
              </w:rPr>
              <w:t>Typed similarity labels and destination-domain validation.</w:t>
            </w:r>
          </w:p>
        </w:tc>
      </w:tr>
      <w:tr>
        <w:tc>
          <w:tcPr>
            <w:tcW w:type="dxa" w:w="1872"/>
            <w:tcMar>
              <w:top w:w="80" w:type="dxa"/>
              <w:start w:w="100" w:type="dxa"/>
              <w:bottom w:w="80" w:type="dxa"/>
              <w:end w:w="100" w:type="dxa"/>
            </w:tcMar>
            <w:vAlign w:val="top"/>
          </w:tcPr>
          <w:p>
            <w:pPr>
              <w:spacing w:after="0"/>
            </w:pPr>
            <w:r>
              <w:rPr>
                <w:sz w:val="17"/>
              </w:rPr>
              <w:t>Visualization bias</w:t>
            </w:r>
          </w:p>
        </w:tc>
        <w:tc>
          <w:tcPr>
            <w:tcW w:type="dxa" w:w="3816"/>
            <w:tcMar>
              <w:top w:w="80" w:type="dxa"/>
              <w:start w:w="100" w:type="dxa"/>
              <w:bottom w:w="80" w:type="dxa"/>
              <w:end w:w="100" w:type="dxa"/>
            </w:tcMar>
            <w:vAlign w:val="top"/>
          </w:tcPr>
          <w:p>
            <w:pPr>
              <w:spacing w:after="0"/>
            </w:pPr>
            <w:r>
              <w:rPr>
                <w:sz w:val="17"/>
              </w:rPr>
              <w:t>Users trust visually similar networks more than tested mechanisms.</w:t>
            </w:r>
          </w:p>
        </w:tc>
        <w:tc>
          <w:tcPr>
            <w:tcW w:type="dxa" w:w="3960"/>
            <w:tcMar>
              <w:top w:w="80" w:type="dxa"/>
              <w:start w:w="100" w:type="dxa"/>
              <w:bottom w:w="80" w:type="dxa"/>
              <w:end w:w="100" w:type="dxa"/>
            </w:tcMar>
            <w:vAlign w:val="top"/>
          </w:tcPr>
          <w:p>
            <w:pPr>
              <w:spacing w:after="0"/>
            </w:pPr>
            <w:r>
              <w:rPr>
                <w:sz w:val="17"/>
              </w:rPr>
              <w:t>Hide geometry in some experiments; compare graph metrics and outcomes separately.</w:t>
            </w:r>
          </w:p>
        </w:tc>
      </w:tr>
      <w:tr>
        <w:tc>
          <w:tcPr>
            <w:tcW w:type="dxa" w:w="1872"/>
            <w:tcMar>
              <w:top w:w="80" w:type="dxa"/>
              <w:start w:w="100" w:type="dxa"/>
              <w:bottom w:w="80" w:type="dxa"/>
              <w:end w:w="100" w:type="dxa"/>
            </w:tcMar>
            <w:shd w:fill="F5F8F9"/>
            <w:vAlign w:val="top"/>
          </w:tcPr>
          <w:p>
            <w:pPr>
              <w:spacing w:after="0"/>
            </w:pPr>
            <w:r>
              <w:rPr>
                <w:sz w:val="17"/>
              </w:rPr>
              <w:t>False certainty</w:t>
            </w:r>
          </w:p>
        </w:tc>
        <w:tc>
          <w:tcPr>
            <w:tcW w:type="dxa" w:w="3816"/>
            <w:tcMar>
              <w:top w:w="80" w:type="dxa"/>
              <w:start w:w="100" w:type="dxa"/>
              <w:bottom w:w="80" w:type="dxa"/>
              <w:end w:w="100" w:type="dxa"/>
            </w:tcMar>
            <w:shd w:fill="F5F8F9"/>
            <w:vAlign w:val="top"/>
          </w:tcPr>
          <w:p>
            <w:pPr>
              <w:spacing w:after="0"/>
            </w:pPr>
            <w:r>
              <w:rPr>
                <w:sz w:val="17"/>
              </w:rPr>
              <w:t>Controller believes a stale or partial map is exact.</w:t>
            </w:r>
          </w:p>
        </w:tc>
        <w:tc>
          <w:tcPr>
            <w:tcW w:type="dxa" w:w="3960"/>
            <w:tcMar>
              <w:top w:w="80" w:type="dxa"/>
              <w:start w:w="100" w:type="dxa"/>
              <w:bottom w:w="80" w:type="dxa"/>
              <w:end w:w="100" w:type="dxa"/>
            </w:tcMar>
            <w:shd w:fill="F5F8F9"/>
            <w:vAlign w:val="top"/>
          </w:tcPr>
          <w:p>
            <w:pPr>
              <w:spacing w:after="0"/>
            </w:pPr>
            <w:r>
              <w:rPr>
                <w:sz w:val="17"/>
              </w:rPr>
              <w:t>Explicit belief state, confidence calibration, and map-reality distance experiments.</w:t>
            </w:r>
          </w:p>
        </w:tc>
      </w:tr>
      <w:tr>
        <w:tc>
          <w:tcPr>
            <w:tcW w:type="dxa" w:w="1872"/>
            <w:tcMar>
              <w:top w:w="80" w:type="dxa"/>
              <w:start w:w="100" w:type="dxa"/>
              <w:bottom w:w="80" w:type="dxa"/>
              <w:end w:w="100" w:type="dxa"/>
            </w:tcMar>
            <w:vAlign w:val="top"/>
          </w:tcPr>
          <w:p>
            <w:pPr>
              <w:spacing w:after="0"/>
            </w:pPr>
            <w:r>
              <w:rPr>
                <w:sz w:val="17"/>
              </w:rPr>
              <w:t>Scope explosion</w:t>
            </w:r>
          </w:p>
        </w:tc>
        <w:tc>
          <w:tcPr>
            <w:tcW w:type="dxa" w:w="3816"/>
            <w:tcMar>
              <w:top w:w="80" w:type="dxa"/>
              <w:start w:w="100" w:type="dxa"/>
              <w:bottom w:w="80" w:type="dxa"/>
              <w:end w:w="100" w:type="dxa"/>
            </w:tcMar>
            <w:vAlign w:val="top"/>
          </w:tcPr>
          <w:p>
            <w:pPr>
              <w:spacing w:after="0"/>
            </w:pPr>
            <w:r>
              <w:rPr>
                <w:sz w:val="17"/>
              </w:rPr>
              <w:t>Too many domains are added before the common layer is stable.</w:t>
            </w:r>
          </w:p>
        </w:tc>
        <w:tc>
          <w:tcPr>
            <w:tcW w:type="dxa" w:w="3960"/>
            <w:tcMar>
              <w:top w:w="80" w:type="dxa"/>
              <w:start w:w="100" w:type="dxa"/>
              <w:bottom w:w="80" w:type="dxa"/>
              <w:end w:w="100" w:type="dxa"/>
            </w:tcMar>
            <w:vAlign w:val="top"/>
          </w:tcPr>
          <w:p>
            <w:pPr>
              <w:spacing w:after="0"/>
            </w:pPr>
            <w:r>
              <w:rPr>
                <w:sz w:val="17"/>
              </w:rPr>
              <w:t>MVP capped at three synthetic domains plus one fictional state-space scenario.</w:t>
            </w:r>
          </w:p>
        </w:tc>
      </w:tr>
      <w:tr>
        <w:tc>
          <w:tcPr>
            <w:tcW w:type="dxa" w:w="1872"/>
            <w:tcMar>
              <w:top w:w="80" w:type="dxa"/>
              <w:start w:w="100" w:type="dxa"/>
              <w:bottom w:w="80" w:type="dxa"/>
              <w:end w:w="100" w:type="dxa"/>
            </w:tcMar>
            <w:shd w:fill="F5F8F9"/>
            <w:vAlign w:val="top"/>
          </w:tcPr>
          <w:p>
            <w:pPr>
              <w:spacing w:after="0"/>
            </w:pPr>
            <w:r>
              <w:rPr>
                <w:sz w:val="17"/>
              </w:rPr>
              <w:t>Funding capture</w:t>
            </w:r>
          </w:p>
        </w:tc>
        <w:tc>
          <w:tcPr>
            <w:tcW w:type="dxa" w:w="3816"/>
            <w:tcMar>
              <w:top w:w="80" w:type="dxa"/>
              <w:start w:w="100" w:type="dxa"/>
              <w:bottom w:w="80" w:type="dxa"/>
              <w:end w:w="100" w:type="dxa"/>
            </w:tcMar>
            <w:shd w:fill="F5F8F9"/>
            <w:vAlign w:val="top"/>
          </w:tcPr>
          <w:p>
            <w:pPr>
              <w:spacing w:after="0"/>
            </w:pPr>
            <w:r>
              <w:rPr>
                <w:sz w:val="17"/>
              </w:rPr>
              <w:t>Sponsor incentives distort success criteria.</w:t>
            </w:r>
          </w:p>
        </w:tc>
        <w:tc>
          <w:tcPr>
            <w:tcW w:type="dxa" w:w="3960"/>
            <w:tcMar>
              <w:top w:w="80" w:type="dxa"/>
              <w:start w:w="100" w:type="dxa"/>
              <w:bottom w:w="80" w:type="dxa"/>
              <w:end w:w="100" w:type="dxa"/>
            </w:tcMar>
            <w:shd w:fill="F5F8F9"/>
            <w:vAlign w:val="top"/>
          </w:tcPr>
          <w:p>
            <w:pPr>
              <w:spacing w:after="0"/>
            </w:pPr>
            <w:r>
              <w:rPr>
                <w:sz w:val="17"/>
              </w:rPr>
              <w:t>Pre-registered metrics, null-result protection, funding provenance.</w:t>
            </w:r>
          </w:p>
        </w:tc>
      </w:tr>
      <w:tr>
        <w:tc>
          <w:tcPr>
            <w:tcW w:type="dxa" w:w="1872"/>
            <w:tcMar>
              <w:top w:w="80" w:type="dxa"/>
              <w:start w:w="100" w:type="dxa"/>
              <w:bottom w:w="80" w:type="dxa"/>
              <w:end w:w="100" w:type="dxa"/>
            </w:tcMar>
            <w:vAlign w:val="top"/>
          </w:tcPr>
          <w:p>
            <w:pPr>
              <w:spacing w:after="0"/>
            </w:pPr>
            <w:r>
              <w:rPr>
                <w:sz w:val="17"/>
              </w:rPr>
              <w:t>Sensitive-data creep</w:t>
            </w:r>
          </w:p>
        </w:tc>
        <w:tc>
          <w:tcPr>
            <w:tcW w:type="dxa" w:w="3816"/>
            <w:tcMar>
              <w:top w:w="80" w:type="dxa"/>
              <w:start w:w="100" w:type="dxa"/>
              <w:bottom w:w="80" w:type="dxa"/>
              <w:end w:w="100" w:type="dxa"/>
            </w:tcMar>
            <w:vAlign w:val="top"/>
          </w:tcPr>
          <w:p>
            <w:pPr>
              <w:spacing w:after="0"/>
            </w:pPr>
            <w:r>
              <w:rPr>
                <w:sz w:val="17"/>
              </w:rPr>
              <w:t>Prototype gradually begins using real human data.</w:t>
            </w:r>
          </w:p>
        </w:tc>
        <w:tc>
          <w:tcPr>
            <w:tcW w:type="dxa" w:w="3960"/>
            <w:tcMar>
              <w:top w:w="80" w:type="dxa"/>
              <w:start w:w="100" w:type="dxa"/>
              <w:bottom w:w="80" w:type="dxa"/>
              <w:end w:w="100" w:type="dxa"/>
            </w:tcMar>
            <w:vAlign w:val="top"/>
          </w:tcPr>
          <w:p>
            <w:pPr>
              <w:spacing w:after="0"/>
            </w:pPr>
            <w:r>
              <w:rPr>
                <w:sz w:val="17"/>
              </w:rPr>
              <w:t>Synthetic-first governance gate and separate approval track.</w:t>
            </w:r>
          </w:p>
        </w:tc>
      </w:tr>
      <w:tr>
        <w:tc>
          <w:tcPr>
            <w:tcW w:type="dxa" w:w="1872"/>
            <w:tcMar>
              <w:top w:w="80" w:type="dxa"/>
              <w:start w:w="100" w:type="dxa"/>
              <w:bottom w:w="80" w:type="dxa"/>
              <w:end w:w="100" w:type="dxa"/>
            </w:tcMar>
            <w:shd w:fill="F5F8F9"/>
            <w:vAlign w:val="top"/>
          </w:tcPr>
          <w:p>
            <w:pPr>
              <w:spacing w:after="0"/>
            </w:pPr>
            <w:r>
              <w:rPr>
                <w:sz w:val="17"/>
              </w:rPr>
              <w:t>AI consensus bias</w:t>
            </w:r>
          </w:p>
        </w:tc>
        <w:tc>
          <w:tcPr>
            <w:tcW w:type="dxa" w:w="3816"/>
            <w:tcMar>
              <w:top w:w="80" w:type="dxa"/>
              <w:start w:w="100" w:type="dxa"/>
              <w:bottom w:w="80" w:type="dxa"/>
              <w:end w:w="100" w:type="dxa"/>
            </w:tcMar>
            <w:shd w:fill="F5F8F9"/>
            <w:vAlign w:val="top"/>
          </w:tcPr>
          <w:p>
            <w:pPr>
              <w:spacing w:after="0"/>
            </w:pPr>
            <w:r>
              <w:rPr>
                <w:sz w:val="17"/>
              </w:rPr>
              <w:t>Collaborating models converge rhetorically without independent testing.</w:t>
            </w:r>
          </w:p>
        </w:tc>
        <w:tc>
          <w:tcPr>
            <w:tcW w:type="dxa" w:w="3960"/>
            <w:tcMar>
              <w:top w:w="80" w:type="dxa"/>
              <w:start w:w="100" w:type="dxa"/>
              <w:bottom w:w="80" w:type="dxa"/>
              <w:end w:w="100" w:type="dxa"/>
            </w:tcMar>
            <w:shd w:fill="F5F8F9"/>
            <w:vAlign w:val="top"/>
          </w:tcPr>
          <w:p>
            <w:pPr>
              <w:spacing w:after="0"/>
            </w:pPr>
            <w:r>
              <w:rPr>
                <w:sz w:val="17"/>
              </w:rPr>
              <w:t>Dissent Objects, independent lab missions, and discriminating experiments.</w:t>
            </w:r>
          </w:p>
        </w:tc>
      </w:tr>
      <w:tr>
        <w:tc>
          <w:tcPr>
            <w:tcW w:type="dxa" w:w="1872"/>
            <w:tcMar>
              <w:top w:w="80" w:type="dxa"/>
              <w:start w:w="100" w:type="dxa"/>
              <w:bottom w:w="80" w:type="dxa"/>
              <w:end w:w="100" w:type="dxa"/>
            </w:tcMar>
            <w:vAlign w:val="top"/>
          </w:tcPr>
          <w:p>
            <w:pPr>
              <w:spacing w:after="0"/>
            </w:pPr>
            <w:r>
              <w:rPr>
                <w:sz w:val="17"/>
              </w:rPr>
              <w:t>Non-reproducible simulation</w:t>
            </w:r>
          </w:p>
        </w:tc>
        <w:tc>
          <w:tcPr>
            <w:tcW w:type="dxa" w:w="3816"/>
            <w:tcMar>
              <w:top w:w="80" w:type="dxa"/>
              <w:start w:w="100" w:type="dxa"/>
              <w:bottom w:w="80" w:type="dxa"/>
              <w:end w:w="100" w:type="dxa"/>
            </w:tcMar>
            <w:vAlign w:val="top"/>
          </w:tcPr>
          <w:p>
            <w:pPr>
              <w:spacing w:after="0"/>
            </w:pPr>
            <w:r>
              <w:rPr>
                <w:sz w:val="17"/>
              </w:rPr>
              <w:t>Results depend on undocumented settings.</w:t>
            </w:r>
          </w:p>
        </w:tc>
        <w:tc>
          <w:tcPr>
            <w:tcW w:type="dxa" w:w="3960"/>
            <w:tcMar>
              <w:top w:w="80" w:type="dxa"/>
              <w:start w:w="100" w:type="dxa"/>
              <w:bottom w:w="80" w:type="dxa"/>
              <w:end w:w="100" w:type="dxa"/>
            </w:tcMar>
            <w:vAlign w:val="top"/>
          </w:tcPr>
          <w:p>
            <w:pPr>
              <w:spacing w:after="0"/>
            </w:pPr>
            <w:r>
              <w:rPr>
                <w:sz w:val="17"/>
              </w:rPr>
              <w:t>Versioned configs, seeds, replay bundles, automated regression tests.</w:t>
            </w:r>
          </w:p>
        </w:tc>
      </w:tr>
    </w:tbl>
    <w:p/>
    <w:p>
      <w:pPr>
        <w:pStyle w:val="Heading1"/>
      </w:pPr>
      <w:r>
        <w:t>21. Success Criteria</w:t>
      </w:r>
    </w:p>
    <w:p>
      <w:pPr>
        <w:pStyle w:val="ListBullet"/>
      </w:pPr>
      <w:r>
        <w:t>The common schema represents at least three synthetic domains without forcing them into one physics.</w:t>
      </w:r>
    </w:p>
    <w:p>
      <w:pPr>
        <w:pStyle w:val="ListBullet"/>
      </w:pPr>
      <w:r>
        <w:t>The same transfer claim can be replayed from source model through destination result with complete provenance.</w:t>
      </w:r>
    </w:p>
    <w:p>
      <w:pPr>
        <w:pStyle w:val="ListBullet"/>
      </w:pPr>
      <w:r>
        <w:t>The Analogy Breaker produces at least one valid failure case for an initially plausible transfer.</w:t>
      </w:r>
    </w:p>
    <w:p>
      <w:pPr>
        <w:pStyle w:val="ListBullet"/>
      </w:pPr>
      <w:r>
        <w:t>Null Transfer is accepted as a normal laboratory result rather than treated as project failure.</w:t>
      </w:r>
    </w:p>
    <w:p>
      <w:pPr>
        <w:pStyle w:val="ListBullet"/>
      </w:pPr>
      <w:r>
        <w:t>Map-reality distance predicts measurable degradation in at least one intervention experiment.</w:t>
      </w:r>
    </w:p>
    <w:p>
      <w:pPr>
        <w:pStyle w:val="ListBullet"/>
      </w:pPr>
      <w:r>
        <w:t>Confidence calibration changes controller behavior and prevents at least one avoidable high-cost action in a synthetic scenario.</w:t>
      </w:r>
    </w:p>
    <w:p>
      <w:pPr>
        <w:pStyle w:val="ListBullet"/>
      </w:pPr>
      <w:r>
        <w:t>Validity envelopes identify conditions where a supported transfer stops working.</w:t>
      </w:r>
    </w:p>
    <w:p>
      <w:pPr>
        <w:pStyle w:val="ListBullet"/>
      </w:pPr>
      <w:r>
        <w:t>Dissent Objects generate discriminating experiments rather than being archived as unresolved prose only.</w:t>
      </w:r>
    </w:p>
    <w:p>
      <w:pPr>
        <w:pStyle w:val="ListBullet"/>
      </w:pPr>
      <w:r>
        <w:t>External reviewers can reproduce benchmark outcomes using the released experiment package.</w:t>
      </w:r>
    </w:p>
    <w:p>
      <w:pPr>
        <w:pStyle w:val="ListBullet"/>
      </w:pPr>
      <w:r>
        <w:t>No MVP result depends on identifiable human biological, neural, or genetic data.</w:t>
      </w:r>
    </w:p>
    <w:p>
      <w:pPr>
        <w:pStyle w:val="Heading1"/>
      </w:pPr>
      <w:r>
        <w:t>22. Claim Lifecycle and Version Control</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944"/>
            <w:shd w:fill="133B4A"/>
            <w:tcMar>
              <w:top w:w="90" w:type="dxa"/>
              <w:start w:w="100" w:type="dxa"/>
              <w:bottom w:w="90" w:type="dxa"/>
              <w:end w:w="100" w:type="dxa"/>
            </w:tcMar>
            <w:vAlign w:val="center"/>
          </w:tcPr>
          <w:p>
            <w:r>
              <w:rPr>
                <w:b/>
                <w:color w:val="FFFFFF"/>
                <w:sz w:val="19"/>
              </w:rPr>
              <w:t>Stage</w:t>
            </w:r>
          </w:p>
        </w:tc>
        <w:tc>
          <w:tcPr>
            <w:tcW w:type="dxa" w:w="3024"/>
            <w:shd w:fill="133B4A"/>
            <w:tcMar>
              <w:top w:w="90" w:type="dxa"/>
              <w:start w:w="100" w:type="dxa"/>
              <w:bottom w:w="90" w:type="dxa"/>
              <w:end w:w="100" w:type="dxa"/>
            </w:tcMar>
            <w:vAlign w:val="center"/>
          </w:tcPr>
          <w:p>
            <w:r>
              <w:rPr>
                <w:b/>
                <w:color w:val="FFFFFF"/>
                <w:sz w:val="19"/>
              </w:rPr>
              <w:t>Required artifact</w:t>
            </w:r>
          </w:p>
        </w:tc>
        <w:tc>
          <w:tcPr>
            <w:tcW w:type="dxa" w:w="4680"/>
            <w:shd w:fill="133B4A"/>
            <w:tcMar>
              <w:top w:w="90" w:type="dxa"/>
              <w:start w:w="100" w:type="dxa"/>
              <w:bottom w:w="90" w:type="dxa"/>
              <w:end w:w="100" w:type="dxa"/>
            </w:tcMar>
            <w:vAlign w:val="center"/>
          </w:tcPr>
          <w:p>
            <w:r>
              <w:rPr>
                <w:b/>
                <w:color w:val="FFFFFF"/>
                <w:sz w:val="19"/>
              </w:rPr>
              <w:t>Promotion condition</w:t>
            </w:r>
          </w:p>
        </w:tc>
      </w:tr>
      <w:tr>
        <w:tc>
          <w:tcPr>
            <w:tcW w:type="dxa" w:w="1944"/>
            <w:tcMar>
              <w:top w:w="80" w:type="dxa"/>
              <w:start w:w="100" w:type="dxa"/>
              <w:bottom w:w="80" w:type="dxa"/>
              <w:end w:w="100" w:type="dxa"/>
            </w:tcMar>
            <w:vAlign w:val="top"/>
          </w:tcPr>
          <w:p>
            <w:pPr>
              <w:spacing w:after="0"/>
            </w:pPr>
            <w:r>
              <w:rPr>
                <w:sz w:val="18"/>
              </w:rPr>
              <w:t>Observation</w:t>
            </w:r>
          </w:p>
        </w:tc>
        <w:tc>
          <w:tcPr>
            <w:tcW w:type="dxa" w:w="3024"/>
            <w:tcMar>
              <w:top w:w="80" w:type="dxa"/>
              <w:start w:w="100" w:type="dxa"/>
              <w:bottom w:w="80" w:type="dxa"/>
              <w:end w:w="100" w:type="dxa"/>
            </w:tcMar>
            <w:vAlign w:val="top"/>
          </w:tcPr>
          <w:p>
            <w:pPr>
              <w:spacing w:after="0"/>
            </w:pPr>
            <w:r>
              <w:rPr>
                <w:sz w:val="18"/>
              </w:rPr>
              <w:t>Experiment record</w:t>
            </w:r>
          </w:p>
        </w:tc>
        <w:tc>
          <w:tcPr>
            <w:tcW w:type="dxa" w:w="4680"/>
            <w:tcMar>
              <w:top w:w="80" w:type="dxa"/>
              <w:start w:w="100" w:type="dxa"/>
              <w:bottom w:w="80" w:type="dxa"/>
              <w:end w:w="100" w:type="dxa"/>
            </w:tcMar>
            <w:vAlign w:val="top"/>
          </w:tcPr>
          <w:p>
            <w:pPr>
              <w:spacing w:after="0"/>
            </w:pPr>
            <w:r>
              <w:rPr>
                <w:sz w:val="18"/>
              </w:rPr>
              <w:t>Reproducible result with configuration and metrics.</w:t>
            </w:r>
          </w:p>
        </w:tc>
      </w:tr>
      <w:tr>
        <w:tc>
          <w:tcPr>
            <w:tcW w:type="dxa" w:w="1944"/>
            <w:tcMar>
              <w:top w:w="80" w:type="dxa"/>
              <w:start w:w="100" w:type="dxa"/>
              <w:bottom w:w="80" w:type="dxa"/>
              <w:end w:w="100" w:type="dxa"/>
            </w:tcMar>
            <w:shd w:fill="F5F8F9"/>
            <w:vAlign w:val="top"/>
          </w:tcPr>
          <w:p>
            <w:pPr>
              <w:spacing w:after="0"/>
            </w:pPr>
            <w:r>
              <w:rPr>
                <w:sz w:val="18"/>
              </w:rPr>
              <w:t>Candidate analogy</w:t>
            </w:r>
          </w:p>
        </w:tc>
        <w:tc>
          <w:tcPr>
            <w:tcW w:type="dxa" w:w="3024"/>
            <w:tcMar>
              <w:top w:w="80" w:type="dxa"/>
              <w:start w:w="100" w:type="dxa"/>
              <w:bottom w:w="80" w:type="dxa"/>
              <w:end w:w="100" w:type="dxa"/>
            </w:tcMar>
            <w:shd w:fill="F5F8F9"/>
            <w:vAlign w:val="top"/>
          </w:tcPr>
          <w:p>
            <w:pPr>
              <w:spacing w:after="0"/>
            </w:pPr>
            <w:r>
              <w:rPr>
                <w:sz w:val="18"/>
              </w:rPr>
              <w:t>Typed similarity claim</w:t>
            </w:r>
          </w:p>
        </w:tc>
        <w:tc>
          <w:tcPr>
            <w:tcW w:type="dxa" w:w="4680"/>
            <w:tcMar>
              <w:top w:w="80" w:type="dxa"/>
              <w:start w:w="100" w:type="dxa"/>
              <w:bottom w:w="80" w:type="dxa"/>
              <w:end w:w="100" w:type="dxa"/>
            </w:tcMar>
            <w:shd w:fill="F5F8F9"/>
            <w:vAlign w:val="top"/>
          </w:tcPr>
          <w:p>
            <w:pPr>
              <w:spacing w:after="0"/>
            </w:pPr>
            <w:r>
              <w:rPr>
                <w:sz w:val="18"/>
              </w:rPr>
              <w:t>Source and destination mechanisms explicitly named.</w:t>
            </w:r>
          </w:p>
        </w:tc>
      </w:tr>
      <w:tr>
        <w:tc>
          <w:tcPr>
            <w:tcW w:type="dxa" w:w="1944"/>
            <w:tcMar>
              <w:top w:w="80" w:type="dxa"/>
              <w:start w:w="100" w:type="dxa"/>
              <w:bottom w:w="80" w:type="dxa"/>
              <w:end w:w="100" w:type="dxa"/>
            </w:tcMar>
            <w:vAlign w:val="top"/>
          </w:tcPr>
          <w:p>
            <w:pPr>
              <w:spacing w:after="0"/>
            </w:pPr>
            <w:r>
              <w:rPr>
                <w:sz w:val="18"/>
              </w:rPr>
              <w:t>Hypothesized transfer</w:t>
            </w:r>
          </w:p>
        </w:tc>
        <w:tc>
          <w:tcPr>
            <w:tcW w:type="dxa" w:w="3024"/>
            <w:tcMar>
              <w:top w:w="80" w:type="dxa"/>
              <w:start w:w="100" w:type="dxa"/>
              <w:bottom w:w="80" w:type="dxa"/>
              <w:end w:w="100" w:type="dxa"/>
            </w:tcMar>
            <w:vAlign w:val="top"/>
          </w:tcPr>
          <w:p>
            <w:pPr>
              <w:spacing w:after="0"/>
            </w:pPr>
            <w:r>
              <w:rPr>
                <w:sz w:val="18"/>
              </w:rPr>
              <w:t>Translation object</w:t>
            </w:r>
          </w:p>
        </w:tc>
        <w:tc>
          <w:tcPr>
            <w:tcW w:type="dxa" w:w="4680"/>
            <w:tcMar>
              <w:top w:w="80" w:type="dxa"/>
              <w:start w:w="100" w:type="dxa"/>
              <w:bottom w:w="80" w:type="dxa"/>
              <w:end w:w="100" w:type="dxa"/>
            </w:tcMar>
            <w:vAlign w:val="top"/>
          </w:tcPr>
          <w:p>
            <w:pPr>
              <w:spacing w:after="0"/>
            </w:pPr>
            <w:r>
              <w:rPr>
                <w:sz w:val="18"/>
              </w:rPr>
              <w:t>Preserved/discarded variables documented.</w:t>
            </w:r>
          </w:p>
        </w:tc>
      </w:tr>
      <w:tr>
        <w:tc>
          <w:tcPr>
            <w:tcW w:type="dxa" w:w="1944"/>
            <w:tcMar>
              <w:top w:w="80" w:type="dxa"/>
              <w:start w:w="100" w:type="dxa"/>
              <w:bottom w:w="80" w:type="dxa"/>
              <w:end w:w="100" w:type="dxa"/>
            </w:tcMar>
            <w:shd w:fill="F5F8F9"/>
            <w:vAlign w:val="top"/>
          </w:tcPr>
          <w:p>
            <w:pPr>
              <w:spacing w:after="0"/>
            </w:pPr>
            <w:r>
              <w:rPr>
                <w:sz w:val="18"/>
              </w:rPr>
              <w:t>Tested transfer</w:t>
            </w:r>
          </w:p>
        </w:tc>
        <w:tc>
          <w:tcPr>
            <w:tcW w:type="dxa" w:w="3024"/>
            <w:tcMar>
              <w:top w:w="80" w:type="dxa"/>
              <w:start w:w="100" w:type="dxa"/>
              <w:bottom w:w="80" w:type="dxa"/>
              <w:end w:w="100" w:type="dxa"/>
            </w:tcMar>
            <w:shd w:fill="F5F8F9"/>
            <w:vAlign w:val="top"/>
          </w:tcPr>
          <w:p>
            <w:pPr>
              <w:spacing w:after="0"/>
            </w:pPr>
            <w:r>
              <w:rPr>
                <w:sz w:val="18"/>
              </w:rPr>
              <w:t>Transfer Certificate</w:t>
            </w:r>
          </w:p>
        </w:tc>
        <w:tc>
          <w:tcPr>
            <w:tcW w:type="dxa" w:w="4680"/>
            <w:tcMar>
              <w:top w:w="80" w:type="dxa"/>
              <w:start w:w="100" w:type="dxa"/>
              <w:bottom w:w="80" w:type="dxa"/>
              <w:end w:w="100" w:type="dxa"/>
            </w:tcMar>
            <w:shd w:fill="F5F8F9"/>
            <w:vAlign w:val="top"/>
          </w:tcPr>
          <w:p>
            <w:pPr>
              <w:spacing w:after="0"/>
            </w:pPr>
            <w:r>
              <w:rPr>
                <w:sz w:val="18"/>
              </w:rPr>
              <w:t>Destination experiment completed.</w:t>
            </w:r>
          </w:p>
        </w:tc>
      </w:tr>
      <w:tr>
        <w:tc>
          <w:tcPr>
            <w:tcW w:type="dxa" w:w="1944"/>
            <w:tcMar>
              <w:top w:w="80" w:type="dxa"/>
              <w:start w:w="100" w:type="dxa"/>
              <w:bottom w:w="80" w:type="dxa"/>
              <w:end w:w="100" w:type="dxa"/>
            </w:tcMar>
            <w:vAlign w:val="top"/>
          </w:tcPr>
          <w:p>
            <w:pPr>
              <w:spacing w:after="0"/>
            </w:pPr>
            <w:r>
              <w:rPr>
                <w:sz w:val="18"/>
              </w:rPr>
              <w:t>Conditional principle</w:t>
            </w:r>
          </w:p>
        </w:tc>
        <w:tc>
          <w:tcPr>
            <w:tcW w:type="dxa" w:w="3024"/>
            <w:tcMar>
              <w:top w:w="80" w:type="dxa"/>
              <w:start w:w="100" w:type="dxa"/>
              <w:bottom w:w="80" w:type="dxa"/>
              <w:end w:w="100" w:type="dxa"/>
            </w:tcMar>
            <w:vAlign w:val="top"/>
          </w:tcPr>
          <w:p>
            <w:pPr>
              <w:spacing w:after="0"/>
            </w:pPr>
            <w:r>
              <w:rPr>
                <w:sz w:val="18"/>
              </w:rPr>
              <w:t>Validity Envelope</w:t>
            </w:r>
          </w:p>
        </w:tc>
        <w:tc>
          <w:tcPr>
            <w:tcW w:type="dxa" w:w="4680"/>
            <w:tcMar>
              <w:top w:w="80" w:type="dxa"/>
              <w:start w:w="100" w:type="dxa"/>
              <w:bottom w:w="80" w:type="dxa"/>
              <w:end w:w="100" w:type="dxa"/>
            </w:tcMar>
            <w:vAlign w:val="top"/>
          </w:tcPr>
          <w:p>
            <w:pPr>
              <w:spacing w:after="0"/>
            </w:pPr>
            <w:r>
              <w:rPr>
                <w:sz w:val="18"/>
              </w:rPr>
              <w:t>Operating range and failure regime mapped.</w:t>
            </w:r>
          </w:p>
        </w:tc>
      </w:tr>
      <w:tr>
        <w:tc>
          <w:tcPr>
            <w:tcW w:type="dxa" w:w="1944"/>
            <w:tcMar>
              <w:top w:w="80" w:type="dxa"/>
              <w:start w:w="100" w:type="dxa"/>
              <w:bottom w:w="80" w:type="dxa"/>
              <w:end w:w="100" w:type="dxa"/>
            </w:tcMar>
            <w:shd w:fill="F5F8F9"/>
            <w:vAlign w:val="top"/>
          </w:tcPr>
          <w:p>
            <w:pPr>
              <w:spacing w:after="0"/>
            </w:pPr>
            <w:r>
              <w:rPr>
                <w:sz w:val="18"/>
              </w:rPr>
              <w:t>Reusable pattern</w:t>
            </w:r>
          </w:p>
        </w:tc>
        <w:tc>
          <w:tcPr>
            <w:tcW w:type="dxa" w:w="3024"/>
            <w:tcMar>
              <w:top w:w="80" w:type="dxa"/>
              <w:start w:w="100" w:type="dxa"/>
              <w:bottom w:w="80" w:type="dxa"/>
              <w:end w:w="100" w:type="dxa"/>
            </w:tcMar>
            <w:shd w:fill="F5F8F9"/>
            <w:vAlign w:val="top"/>
          </w:tcPr>
          <w:p>
            <w:pPr>
              <w:spacing w:after="0"/>
            </w:pPr>
            <w:r>
              <w:rPr>
                <w:sz w:val="18"/>
              </w:rPr>
              <w:t>Reviewed architecture primitive</w:t>
            </w:r>
          </w:p>
        </w:tc>
        <w:tc>
          <w:tcPr>
            <w:tcW w:type="dxa" w:w="4680"/>
            <w:tcMar>
              <w:top w:w="80" w:type="dxa"/>
              <w:start w:w="100" w:type="dxa"/>
              <w:bottom w:w="80" w:type="dxa"/>
              <w:end w:w="100" w:type="dxa"/>
            </w:tcMar>
            <w:shd w:fill="F5F8F9"/>
            <w:vAlign w:val="top"/>
          </w:tcPr>
          <w:p>
            <w:pPr>
              <w:spacing w:after="0"/>
            </w:pPr>
            <w:r>
              <w:rPr>
                <w:sz w:val="18"/>
              </w:rPr>
              <w:t>Replicated across scenarios and reviewed by relevant domain expertise.</w:t>
            </w:r>
          </w:p>
        </w:tc>
      </w:tr>
      <w:tr>
        <w:tc>
          <w:tcPr>
            <w:tcW w:type="dxa" w:w="1944"/>
            <w:tcMar>
              <w:top w:w="80" w:type="dxa"/>
              <w:start w:w="100" w:type="dxa"/>
              <w:bottom w:w="80" w:type="dxa"/>
              <w:end w:w="100" w:type="dxa"/>
            </w:tcMar>
            <w:vAlign w:val="top"/>
          </w:tcPr>
          <w:p>
            <w:pPr>
              <w:spacing w:after="0"/>
            </w:pPr>
            <w:r>
              <w:rPr>
                <w:sz w:val="18"/>
              </w:rPr>
              <w:t>Program-level canon</w:t>
            </w:r>
          </w:p>
        </w:tc>
        <w:tc>
          <w:tcPr>
            <w:tcW w:type="dxa" w:w="3024"/>
            <w:tcMar>
              <w:top w:w="80" w:type="dxa"/>
              <w:start w:w="100" w:type="dxa"/>
              <w:bottom w:w="80" w:type="dxa"/>
              <w:end w:w="100" w:type="dxa"/>
            </w:tcMar>
            <w:vAlign w:val="top"/>
          </w:tcPr>
          <w:p>
            <w:pPr>
              <w:spacing w:after="0"/>
            </w:pPr>
            <w:r>
              <w:rPr>
                <w:sz w:val="18"/>
              </w:rPr>
              <w:t>Change-controlled record</w:t>
            </w:r>
          </w:p>
        </w:tc>
        <w:tc>
          <w:tcPr>
            <w:tcW w:type="dxa" w:w="4680"/>
            <w:tcMar>
              <w:top w:w="80" w:type="dxa"/>
              <w:start w:w="100" w:type="dxa"/>
              <w:bottom w:w="80" w:type="dxa"/>
              <w:end w:w="100" w:type="dxa"/>
            </w:tcMar>
            <w:vAlign w:val="top"/>
          </w:tcPr>
          <w:p>
            <w:pPr>
              <w:spacing w:after="0"/>
            </w:pPr>
            <w:r>
              <w:rPr>
                <w:sz w:val="18"/>
              </w:rPr>
              <w:t>Explicit project-owner approval; provenance and dissent retained.</w:t>
            </w:r>
          </w:p>
        </w:tc>
      </w:tr>
    </w:tbl>
    <w:p/>
    <w:p>
      <w:pPr>
        <w:pStyle w:val="Heading1"/>
      </w:pPr>
      <w:r>
        <w:t>23. Cross-AI Collaboration Protocol</w:t>
      </w:r>
    </w:p>
    <w:p>
      <w:r>
        <w:t>Because the larger program intentionally uses multiple AI collaborators, ATBL treats model disagreement as a research input. Each AI handoff should preserve independent mission design rather than forcing convergence.</w:t>
      </w:r>
    </w:p>
    <w:p>
      <w:pPr>
        <w:pStyle w:val="ListNumber"/>
      </w:pPr>
      <w:r>
        <w:t>Restate the transfer claim without the originating anecdotes.</w:t>
      </w:r>
    </w:p>
    <w:p>
      <w:pPr>
        <w:pStyle w:val="ListNumber"/>
      </w:pPr>
      <w:r>
        <w:t>Identify the strongest hidden assumption in the claim.</w:t>
      </w:r>
    </w:p>
    <w:p>
      <w:pPr>
        <w:pStyle w:val="ListNumber"/>
      </w:pPr>
      <w:r>
        <w:t>Name one variable the abstraction discarded that may matter.</w:t>
      </w:r>
    </w:p>
    <w:p>
      <w:pPr>
        <w:pStyle w:val="ListNumber"/>
      </w:pPr>
      <w:r>
        <w:t>Propose one adversarial test likely to break the transfer.</w:t>
      </w:r>
    </w:p>
    <w:p>
      <w:pPr>
        <w:pStyle w:val="ListNumber"/>
      </w:pPr>
      <w:r>
        <w:t>Propose one condition under which the transfer might become stronger.</w:t>
      </w:r>
    </w:p>
    <w:p>
      <w:pPr>
        <w:pStyle w:val="ListNumber"/>
      </w:pPr>
      <w:r>
        <w:t>Provide one alternative mechanism that could explain the same observed result.</w:t>
      </w:r>
    </w:p>
    <w:p>
      <w:pPr>
        <w:pStyle w:val="ListNumber"/>
      </w:pPr>
      <w:r>
        <w:t>Declare a transfer status: supported, conditional, modified, descriptive-only, inconclusive, or null.</w:t>
      </w:r>
    </w:p>
    <w:p>
      <w:pPr>
        <w:pStyle w:val="ListNumber"/>
      </w:pPr>
      <w:r>
        <w:t>Identify whether the result should remain independent, merge into a shared object, or trigger a changelog review.</w:t>
      </w:r>
    </w:p>
    <w:p>
      <w:pPr>
        <w:pStyle w:val="Heading1"/>
      </w:pPr>
      <w:r>
        <w:t>24. Open Research Questions</w:t>
      </w:r>
    </w:p>
    <w:p>
      <w:pPr>
        <w:pStyle w:val="ListBullet"/>
      </w:pPr>
      <w:r>
        <w:t>What is the most useful mathematically tractable definition of map-reality distance when systems differ in topology as well as state?</w:t>
      </w:r>
    </w:p>
    <w:p>
      <w:pPr>
        <w:pStyle w:val="ListBullet"/>
      </w:pPr>
      <w:r>
        <w:t>Can validity envelopes be compared across domains without introducing another layer of false equivalence?</w:t>
      </w:r>
    </w:p>
    <w:p>
      <w:pPr>
        <w:pStyle w:val="ListBullet"/>
      </w:pPr>
      <w:r>
        <w:t>How should the Analogy Breaker rank assumptions by likely impact?</w:t>
      </w:r>
    </w:p>
    <w:p>
      <w:pPr>
        <w:pStyle w:val="ListBullet"/>
      </w:pPr>
      <w:r>
        <w:t>When does a control policy itself become the transferable object rather than the architecture?</w:t>
      </w:r>
    </w:p>
    <w:p>
      <w:pPr>
        <w:pStyle w:val="ListBullet"/>
      </w:pPr>
      <w:r>
        <w:t>Can observer-model mismatch explain more failures than architecture mismatch in some domains?</w:t>
      </w:r>
    </w:p>
    <w:p>
      <w:pPr>
        <w:pStyle w:val="ListBullet"/>
      </w:pPr>
      <w:r>
        <w:t>How should adaptive systems be compared when they modify their own topology during the experiment?</w:t>
      </w:r>
    </w:p>
    <w:p>
      <w:pPr>
        <w:pStyle w:val="ListBullet"/>
      </w:pPr>
      <w:r>
        <w:t>What is the correct unit of transfer for fictional systems: mechanism, policy, state-transition rule, or narrative design primitive?</w:t>
      </w:r>
    </w:p>
    <w:p>
      <w:pPr>
        <w:pStyle w:val="ListBullet"/>
      </w:pPr>
      <w:r>
        <w:t>How should OAL distinguish exploratory analogies from claims that are ready for engineering validation?</w:t>
      </w:r>
    </w:p>
    <w:p>
      <w:pPr>
        <w:pStyle w:val="ListBullet"/>
      </w:pPr>
      <w:r>
        <w:t>Which benchmark challenges are difficult enough to prevent superficial models from appearing successful?</w:t>
      </w:r>
    </w:p>
    <w:p>
      <w:pPr>
        <w:pStyle w:val="ListBullet"/>
      </w:pPr>
      <w:r>
        <w:t>What governance model is appropriate if future individual-level digital twins or persistent maps are introduced?</w:t>
      </w:r>
    </w:p>
    <w:p>
      <w:pPr>
        <w:pStyle w:val="Heading1"/>
      </w:pPr>
      <w:r>
        <w:t>25. Proposal Framing for Future Funding</w:t>
      </w:r>
    </w:p>
    <w:p>
      <w:r>
        <w:t>The strongest external funding narrative is not “we compare veins to computer networks.” A rigorous proposal should frame ATBL as a simulation-methods and model-validation platform for cross-domain transfer, uncertainty-aware control, digital-twin mismatch, and reproducible boundary testing. Biological examples can motivate the work, but proposals should be tailored to the funding body and should use the vocabulary, metrics, and validation standards of the target domain.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92"/>
            <w:shd w:fill="133B4A"/>
            <w:tcMar>
              <w:top w:w="90" w:type="dxa"/>
              <w:start w:w="100" w:type="dxa"/>
              <w:bottom w:w="90" w:type="dxa"/>
              <w:end w:w="100" w:type="dxa"/>
            </w:tcMar>
            <w:vAlign w:val="center"/>
          </w:tcPr>
          <w:p>
            <w:r>
              <w:rPr>
                <w:b/>
                <w:color w:val="FFFFFF"/>
                <w:sz w:val="19"/>
              </w:rPr>
              <w:t>Proposal family</w:t>
            </w:r>
          </w:p>
        </w:tc>
        <w:tc>
          <w:tcPr>
            <w:tcW w:type="dxa" w:w="6912"/>
            <w:shd w:fill="133B4A"/>
            <w:tcMar>
              <w:top w:w="90" w:type="dxa"/>
              <w:start w:w="100" w:type="dxa"/>
              <w:bottom w:w="90" w:type="dxa"/>
              <w:end w:w="100" w:type="dxa"/>
            </w:tcMar>
            <w:vAlign w:val="center"/>
          </w:tcPr>
          <w:p>
            <w:r>
              <w:rPr>
                <w:b/>
                <w:color w:val="FFFFFF"/>
                <w:sz w:val="19"/>
              </w:rPr>
              <w:t>Suggested framing</w:t>
            </w:r>
          </w:p>
        </w:tc>
      </w:tr>
      <w:tr>
        <w:tc>
          <w:tcPr>
            <w:tcW w:type="dxa" w:w="2592"/>
            <w:tcMar>
              <w:top w:w="80" w:type="dxa"/>
              <w:start w:w="100" w:type="dxa"/>
              <w:bottom w:w="80" w:type="dxa"/>
              <w:end w:w="100" w:type="dxa"/>
            </w:tcMar>
            <w:vAlign w:val="top"/>
          </w:tcPr>
          <w:p>
            <w:pPr>
              <w:spacing w:after="0"/>
            </w:pPr>
            <w:r>
              <w:rPr>
                <w:sz w:val="18"/>
              </w:rPr>
              <w:t>Simulation science</w:t>
            </w:r>
          </w:p>
        </w:tc>
        <w:tc>
          <w:tcPr>
            <w:tcW w:type="dxa" w:w="6912"/>
            <w:tcMar>
              <w:top w:w="80" w:type="dxa"/>
              <w:start w:w="100" w:type="dxa"/>
              <w:bottom w:w="80" w:type="dxa"/>
              <w:end w:w="100" w:type="dxa"/>
            </w:tcMar>
            <w:vAlign w:val="top"/>
          </w:tcPr>
          <w:p>
            <w:pPr>
              <w:spacing w:after="0"/>
            </w:pPr>
            <w:r>
              <w:rPr>
                <w:sz w:val="18"/>
              </w:rPr>
              <w:t>A general platform for validating abstraction and transfer across heterogeneous simulators.</w:t>
            </w:r>
          </w:p>
        </w:tc>
      </w:tr>
      <w:tr>
        <w:tc>
          <w:tcPr>
            <w:tcW w:type="dxa" w:w="2592"/>
            <w:tcMar>
              <w:top w:w="80" w:type="dxa"/>
              <w:start w:w="100" w:type="dxa"/>
              <w:bottom w:w="80" w:type="dxa"/>
              <w:end w:w="100" w:type="dxa"/>
            </w:tcMar>
            <w:shd w:fill="F5F8F9"/>
            <w:vAlign w:val="top"/>
          </w:tcPr>
          <w:p>
            <w:pPr>
              <w:spacing w:after="0"/>
            </w:pPr>
            <w:r>
              <w:rPr>
                <w:sz w:val="18"/>
              </w:rPr>
              <w:t>Digital twins</w:t>
            </w:r>
          </w:p>
        </w:tc>
        <w:tc>
          <w:tcPr>
            <w:tcW w:type="dxa" w:w="6912"/>
            <w:tcMar>
              <w:top w:w="80" w:type="dxa"/>
              <w:start w:w="100" w:type="dxa"/>
              <w:bottom w:w="80" w:type="dxa"/>
              <w:end w:w="100" w:type="dxa"/>
            </w:tcMar>
            <w:shd w:fill="F5F8F9"/>
            <w:vAlign w:val="top"/>
          </w:tcPr>
          <w:p>
            <w:pPr>
              <w:spacing w:after="0"/>
            </w:pPr>
            <w:r>
              <w:rPr>
                <w:sz w:val="18"/>
              </w:rPr>
              <w:t>Quantifying the operational consequences of model drift between a digital twin and its physical counterpart.</w:t>
            </w:r>
          </w:p>
        </w:tc>
      </w:tr>
      <w:tr>
        <w:tc>
          <w:tcPr>
            <w:tcW w:type="dxa" w:w="2592"/>
            <w:tcMar>
              <w:top w:w="80" w:type="dxa"/>
              <w:start w:w="100" w:type="dxa"/>
              <w:bottom w:w="80" w:type="dxa"/>
              <w:end w:w="100" w:type="dxa"/>
            </w:tcMar>
            <w:vAlign w:val="top"/>
          </w:tcPr>
          <w:p>
            <w:pPr>
              <w:spacing w:after="0"/>
            </w:pPr>
            <w:r>
              <w:rPr>
                <w:sz w:val="18"/>
              </w:rPr>
              <w:t>Control / autonomy</w:t>
            </w:r>
          </w:p>
        </w:tc>
        <w:tc>
          <w:tcPr>
            <w:tcW w:type="dxa" w:w="6912"/>
            <w:tcMar>
              <w:top w:w="80" w:type="dxa"/>
              <w:start w:w="100" w:type="dxa"/>
              <w:bottom w:w="80" w:type="dxa"/>
              <w:end w:w="100" w:type="dxa"/>
            </w:tcMar>
            <w:vAlign w:val="top"/>
          </w:tcPr>
          <w:p>
            <w:pPr>
              <w:spacing w:after="0"/>
            </w:pPr>
            <w:r>
              <w:rPr>
                <w:sz w:val="18"/>
              </w:rPr>
              <w:t>Observer-model mismatch, confidence calibration, safe intervention, and graceful escalation.</w:t>
            </w:r>
          </w:p>
        </w:tc>
      </w:tr>
      <w:tr>
        <w:tc>
          <w:tcPr>
            <w:tcW w:type="dxa" w:w="2592"/>
            <w:tcMar>
              <w:top w:w="80" w:type="dxa"/>
              <w:start w:w="100" w:type="dxa"/>
              <w:bottom w:w="80" w:type="dxa"/>
              <w:end w:w="100" w:type="dxa"/>
            </w:tcMar>
            <w:shd w:fill="F5F8F9"/>
            <w:vAlign w:val="top"/>
          </w:tcPr>
          <w:p>
            <w:pPr>
              <w:spacing w:after="0"/>
            </w:pPr>
            <w:r>
              <w:rPr>
                <w:sz w:val="18"/>
              </w:rPr>
              <w:t>Network science</w:t>
            </w:r>
          </w:p>
        </w:tc>
        <w:tc>
          <w:tcPr>
            <w:tcW w:type="dxa" w:w="6912"/>
            <w:tcMar>
              <w:top w:w="80" w:type="dxa"/>
              <w:start w:w="100" w:type="dxa"/>
              <w:bottom w:w="80" w:type="dxa"/>
              <w:end w:w="100" w:type="dxa"/>
            </w:tcMar>
            <w:shd w:fill="F5F8F9"/>
            <w:vAlign w:val="top"/>
          </w:tcPr>
          <w:p>
            <w:pPr>
              <w:spacing w:after="0"/>
            </w:pPr>
            <w:r>
              <w:rPr>
                <w:sz w:val="18"/>
              </w:rPr>
              <w:t>Boundary conditions for transferring structural resilience principles across network classes.</w:t>
            </w:r>
          </w:p>
        </w:tc>
      </w:tr>
      <w:tr>
        <w:tc>
          <w:tcPr>
            <w:tcW w:type="dxa" w:w="2592"/>
            <w:tcMar>
              <w:top w:w="80" w:type="dxa"/>
              <w:start w:w="100" w:type="dxa"/>
              <w:bottom w:w="80" w:type="dxa"/>
              <w:end w:w="100" w:type="dxa"/>
            </w:tcMar>
            <w:vAlign w:val="top"/>
          </w:tcPr>
          <w:p>
            <w:pPr>
              <w:spacing w:after="0"/>
            </w:pPr>
            <w:r>
              <w:rPr>
                <w:sz w:val="18"/>
              </w:rPr>
              <w:t>Responsible AI</w:t>
            </w:r>
          </w:p>
        </w:tc>
        <w:tc>
          <w:tcPr>
            <w:tcW w:type="dxa" w:w="6912"/>
            <w:tcMar>
              <w:top w:w="80" w:type="dxa"/>
              <w:start w:w="100" w:type="dxa"/>
              <w:bottom w:w="80" w:type="dxa"/>
              <w:end w:w="100" w:type="dxa"/>
            </w:tcMar>
            <w:vAlign w:val="top"/>
          </w:tcPr>
          <w:p>
            <w:pPr>
              <w:spacing w:after="0"/>
            </w:pPr>
            <w:r>
              <w:rPr>
                <w:sz w:val="18"/>
              </w:rPr>
              <w:t>Testing when learned analogies or abstractions generalize, fail, or become overconfident.</w:t>
            </w:r>
          </w:p>
        </w:tc>
      </w:tr>
      <w:tr>
        <w:tc>
          <w:tcPr>
            <w:tcW w:type="dxa" w:w="2592"/>
            <w:tcMar>
              <w:top w:w="80" w:type="dxa"/>
              <w:start w:w="100" w:type="dxa"/>
              <w:bottom w:w="80" w:type="dxa"/>
              <w:end w:w="100" w:type="dxa"/>
            </w:tcMar>
            <w:shd w:fill="F5F8F9"/>
            <w:vAlign w:val="top"/>
          </w:tcPr>
          <w:p>
            <w:pPr>
              <w:spacing w:after="0"/>
            </w:pPr>
            <w:r>
              <w:rPr>
                <w:sz w:val="18"/>
              </w:rPr>
              <w:t>Education / adaptive systems</w:t>
            </w:r>
          </w:p>
        </w:tc>
        <w:tc>
          <w:tcPr>
            <w:tcW w:type="dxa" w:w="6912"/>
            <w:tcMar>
              <w:top w:w="80" w:type="dxa"/>
              <w:start w:w="100" w:type="dxa"/>
              <w:bottom w:w="80" w:type="dxa"/>
              <w:end w:w="100" w:type="dxa"/>
            </w:tcMar>
            <w:shd w:fill="F5F8F9"/>
            <w:vAlign w:val="top"/>
          </w:tcPr>
          <w:p>
            <w:pPr>
              <w:spacing w:after="0"/>
            </w:pPr>
            <w:r>
              <w:rPr>
                <w:sz w:val="18"/>
              </w:rPr>
              <w:t>State-reachability and personalized guidance using non-invasive performance data rather than deterministic biological inference.</w:t>
            </w:r>
          </w:p>
        </w:tc>
      </w:tr>
      <w:tr>
        <w:tc>
          <w:tcPr>
            <w:tcW w:type="dxa" w:w="2592"/>
            <w:tcMar>
              <w:top w:w="80" w:type="dxa"/>
              <w:start w:w="100" w:type="dxa"/>
              <w:bottom w:w="80" w:type="dxa"/>
              <w:end w:w="100" w:type="dxa"/>
            </w:tcMar>
            <w:vAlign w:val="top"/>
          </w:tcPr>
          <w:p>
            <w:pPr>
              <w:spacing w:after="0"/>
            </w:pPr>
            <w:r>
              <w:rPr>
                <w:sz w:val="18"/>
              </w:rPr>
              <w:t>Biomedical simulation</w:t>
            </w:r>
          </w:p>
        </w:tc>
        <w:tc>
          <w:tcPr>
            <w:tcW w:type="dxa" w:w="6912"/>
            <w:tcMar>
              <w:top w:w="80" w:type="dxa"/>
              <w:start w:w="100" w:type="dxa"/>
              <w:bottom w:w="80" w:type="dxa"/>
              <w:end w:w="100" w:type="dxa"/>
            </w:tcMar>
            <w:vAlign w:val="top"/>
          </w:tcPr>
          <w:p>
            <w:pPr>
              <w:spacing w:after="0"/>
            </w:pPr>
            <w:r>
              <w:rPr>
                <w:sz w:val="18"/>
              </w:rPr>
              <w:t>Synthetic difficult-access training, uncertainty-aware mapping, and procedure-simulation research without clinical recommendation.</w:t>
            </w:r>
          </w:p>
        </w:tc>
      </w:tr>
      <w:tr>
        <w:tc>
          <w:tcPr>
            <w:tcW w:type="dxa" w:w="2592"/>
            <w:tcMar>
              <w:top w:w="80" w:type="dxa"/>
              <w:start w:w="100" w:type="dxa"/>
              <w:bottom w:w="80" w:type="dxa"/>
              <w:end w:w="100" w:type="dxa"/>
            </w:tcMar>
            <w:shd w:fill="F5F8F9"/>
            <w:vAlign w:val="top"/>
          </w:tcPr>
          <w:p>
            <w:pPr>
              <w:spacing w:after="0"/>
            </w:pPr>
            <w:r>
              <w:rPr>
                <w:sz w:val="18"/>
              </w:rPr>
              <w:t>Infrastructure resilience</w:t>
            </w:r>
          </w:p>
        </w:tc>
        <w:tc>
          <w:tcPr>
            <w:tcW w:type="dxa" w:w="6912"/>
            <w:tcMar>
              <w:top w:w="80" w:type="dxa"/>
              <w:start w:w="100" w:type="dxa"/>
              <w:bottom w:w="80" w:type="dxa"/>
              <w:end w:w="100" w:type="dxa"/>
            </w:tcMar>
            <w:shd w:fill="F5F8F9"/>
            <w:vAlign w:val="top"/>
          </w:tcPr>
          <w:p>
            <w:pPr>
              <w:spacing w:after="0"/>
            </w:pPr>
            <w:r>
              <w:rPr>
                <w:sz w:val="18"/>
              </w:rPr>
              <w:t>Testing whether biological or abstract routing principles survive translation into constrained engineered networks.</w:t>
            </w:r>
          </w:p>
        </w:tc>
      </w:tr>
    </w:tbl>
    <w:p/>
    <w:p>
      <w:pPr>
        <w:pStyle w:val="Heading1"/>
      </w:pPr>
      <w:r>
        <w:t>Appendix A - Standard Experiment Template</w:t>
      </w:r>
    </w:p>
    <w:p>
      <w:r>
        <w:rPr>
          <w:b/>
        </w:rPr>
        <w:t>Experiment ID / version:</w:t>
      </w:r>
      <w:r>
        <w:t xml:space="preserve"> ________________________________________________</w:t>
      </w:r>
    </w:p>
    <w:p>
      <w:r>
        <w:rPr>
          <w:b/>
        </w:rPr>
        <w:t>Research question:</w:t>
      </w:r>
      <w:r>
        <w:t xml:space="preserve"> ________________________________________________</w:t>
      </w:r>
    </w:p>
    <w:p>
      <w:r>
        <w:rPr>
          <w:b/>
        </w:rPr>
        <w:t>Source system:</w:t>
      </w:r>
      <w:r>
        <w:t xml:space="preserve"> ________________________________________________</w:t>
      </w:r>
    </w:p>
    <w:p>
      <w:r>
        <w:rPr>
          <w:b/>
        </w:rPr>
        <w:t>Source mechanism:</w:t>
      </w:r>
      <w:r>
        <w:t xml:space="preserve"> ________________________________________________</w:t>
      </w:r>
    </w:p>
    <w:p>
      <w:r>
        <w:rPr>
          <w:b/>
        </w:rPr>
        <w:t>Observed behavior:</w:t>
      </w:r>
      <w:r>
        <w:t xml:space="preserve"> ________________________________________________</w:t>
      </w:r>
    </w:p>
    <w:p>
      <w:r>
        <w:rPr>
          <w:b/>
        </w:rPr>
        <w:t>Candidate abstraction:</w:t>
      </w:r>
      <w:r>
        <w:t xml:space="preserve"> ________________________________________________</w:t>
      </w:r>
    </w:p>
    <w:p>
      <w:r>
        <w:rPr>
          <w:b/>
        </w:rPr>
        <w:t>Destination system:</w:t>
      </w:r>
      <w:r>
        <w:t xml:space="preserve"> ________________________________________________</w:t>
      </w:r>
    </w:p>
    <w:p>
      <w:r>
        <w:rPr>
          <w:b/>
        </w:rPr>
        <w:t>Destination mechanism:</w:t>
      </w:r>
      <w:r>
        <w:t xml:space="preserve"> ________________________________________________</w:t>
      </w:r>
    </w:p>
    <w:p>
      <w:r>
        <w:rPr>
          <w:b/>
        </w:rPr>
        <w:t>Preserved variables:</w:t>
      </w:r>
      <w:r>
        <w:t xml:space="preserve"> ________________________________________________</w:t>
      </w:r>
    </w:p>
    <w:p>
      <w:r>
        <w:rPr>
          <w:b/>
        </w:rPr>
        <w:t>Discarded variables:</w:t>
      </w:r>
      <w:r>
        <w:t xml:space="preserve"> ________________________________________________</w:t>
      </w:r>
    </w:p>
    <w:p>
      <w:r>
        <w:rPr>
          <w:b/>
        </w:rPr>
        <w:t>Controlled variables:</w:t>
      </w:r>
      <w:r>
        <w:t xml:space="preserve"> ________________________________________________</w:t>
      </w:r>
    </w:p>
    <w:p>
      <w:r>
        <w:rPr>
          <w:b/>
        </w:rPr>
        <w:t>Independent variables:</w:t>
      </w:r>
      <w:r>
        <w:t xml:space="preserve"> ________________________________________________</w:t>
      </w:r>
    </w:p>
    <w:p>
      <w:r>
        <w:rPr>
          <w:b/>
        </w:rPr>
        <w:t>Dependent variables:</w:t>
      </w:r>
      <w:r>
        <w:t xml:space="preserve"> ________________________________________________</w:t>
      </w:r>
    </w:p>
    <w:p>
      <w:r>
        <w:rPr>
          <w:b/>
        </w:rPr>
        <w:t>Observer model:</w:t>
      </w:r>
      <w:r>
        <w:t xml:space="preserve"> ________________________________________________</w:t>
      </w:r>
    </w:p>
    <w:p>
      <w:r>
        <w:rPr>
          <w:b/>
        </w:rPr>
        <w:t>Controller policy:</w:t>
      </w:r>
      <w:r>
        <w:t xml:space="preserve"> ________________________________________________</w:t>
      </w:r>
    </w:p>
    <w:p>
      <w:r>
        <w:rPr>
          <w:b/>
        </w:rPr>
        <w:t>Perturbation:</w:t>
      </w:r>
      <w:r>
        <w:t xml:space="preserve"> ________________________________________________</w:t>
      </w:r>
    </w:p>
    <w:p>
      <w:r>
        <w:rPr>
          <w:b/>
        </w:rPr>
        <w:t>Uncertainty model:</w:t>
      </w:r>
      <w:r>
        <w:t xml:space="preserve"> ________________________________________________</w:t>
      </w:r>
    </w:p>
    <w:p>
      <w:r>
        <w:rPr>
          <w:b/>
        </w:rPr>
        <w:t>Scale / time horizon:</w:t>
      </w:r>
      <w:r>
        <w:t xml:space="preserve"> ________________________________________________</w:t>
      </w:r>
    </w:p>
    <w:p>
      <w:r>
        <w:rPr>
          <w:b/>
        </w:rPr>
        <w:t>Replications / seeds:</w:t>
      </w:r>
      <w:r>
        <w:t xml:space="preserve"> ________________________________________________</w:t>
      </w:r>
    </w:p>
    <w:p>
      <w:r>
        <w:rPr>
          <w:b/>
        </w:rPr>
        <w:t>Primary metrics:</w:t>
      </w:r>
      <w:r>
        <w:t xml:space="preserve"> ________________________________________________</w:t>
      </w:r>
    </w:p>
    <w:p>
      <w:r>
        <w:rPr>
          <w:b/>
        </w:rPr>
        <w:t>Failure criteria:</w:t>
      </w:r>
      <w:r>
        <w:t xml:space="preserve"> ________________________________________________</w:t>
      </w:r>
    </w:p>
    <w:p>
      <w:r>
        <w:rPr>
          <w:b/>
        </w:rPr>
        <w:t>Alternative mechanisms:</w:t>
      </w:r>
      <w:r>
        <w:t xml:space="preserve"> ________________________________________________</w:t>
      </w:r>
    </w:p>
    <w:p>
      <w:r>
        <w:rPr>
          <w:b/>
        </w:rPr>
        <w:t>Analogy Breaker tests:</w:t>
      </w:r>
      <w:r>
        <w:t xml:space="preserve"> ________________________________________________</w:t>
      </w:r>
    </w:p>
    <w:p>
      <w:r>
        <w:rPr>
          <w:b/>
        </w:rPr>
        <w:t>Result:</w:t>
      </w:r>
      <w:r>
        <w:t xml:space="preserve"> ________________________________________________</w:t>
      </w:r>
    </w:p>
    <w:p>
      <w:r>
        <w:rPr>
          <w:b/>
        </w:rPr>
        <w:t>Transfer status:</w:t>
      </w:r>
      <w:r>
        <w:t xml:space="preserve"> ________________________________________________</w:t>
      </w:r>
    </w:p>
    <w:p>
      <w:r>
        <w:rPr>
          <w:b/>
        </w:rPr>
        <w:t>Validity envelope:</w:t>
      </w:r>
      <w:r>
        <w:t xml:space="preserve"> ________________________________________________</w:t>
      </w:r>
    </w:p>
    <w:p>
      <w:r>
        <w:rPr>
          <w:b/>
        </w:rPr>
        <w:t>Null-transfer rationale if applicable:</w:t>
      </w:r>
      <w:r>
        <w:t xml:space="preserve"> ________________________________________________</w:t>
      </w:r>
    </w:p>
    <w:p>
      <w:r>
        <w:rPr>
          <w:b/>
        </w:rPr>
        <w:t>Dissent Objects:</w:t>
      </w:r>
      <w:r>
        <w:t xml:space="preserve"> ________________________________________________</w:t>
      </w:r>
    </w:p>
    <w:p>
      <w:r>
        <w:rPr>
          <w:b/>
        </w:rPr>
        <w:t>Provenance / preparer / date:</w:t>
      </w:r>
      <w:r>
        <w:t xml:space="preserve"> ________________________________________________</w:t>
      </w:r>
    </w:p>
    <w:p>
      <w:r>
        <w:rPr>
          <w:b/>
        </w:rPr>
        <w:t>Next discriminating experiment:</w:t>
      </w:r>
      <w:r>
        <w:t xml:space="preserve"> ________________________________________________</w:t>
      </w:r>
    </w:p>
    <w:p>
      <w:pPr>
        <w:pStyle w:val="Heading1"/>
      </w:pPr>
      <w:r>
        <w:t>Appendix B - Transfer Certificate Template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448"/>
            <w:shd w:fill="133B4A"/>
            <w:tcMar>
              <w:top w:w="90" w:type="dxa"/>
              <w:start w:w="100" w:type="dxa"/>
              <w:bottom w:w="90" w:type="dxa"/>
              <w:end w:w="100" w:type="dxa"/>
            </w:tcMar>
            <w:vAlign w:val="center"/>
          </w:tcPr>
          <w:p>
            <w:r>
              <w:rPr>
                <w:b/>
                <w:color w:val="FFFFFF"/>
                <w:sz w:val="19"/>
              </w:rPr>
              <w:t>Field</w:t>
            </w:r>
          </w:p>
        </w:tc>
        <w:tc>
          <w:tcPr>
            <w:tcW w:type="dxa" w:w="7056"/>
            <w:shd w:fill="133B4A"/>
            <w:tcMar>
              <w:top w:w="90" w:type="dxa"/>
              <w:start w:w="100" w:type="dxa"/>
              <w:bottom w:w="90" w:type="dxa"/>
              <w:end w:w="100" w:type="dxa"/>
            </w:tcMar>
            <w:vAlign w:val="center"/>
          </w:tcPr>
          <w:p>
            <w:r>
              <w:rPr>
                <w:b/>
                <w:color w:val="FFFFFF"/>
                <w:sz w:val="19"/>
              </w:rPr>
              <w:t>Required content</w:t>
            </w:r>
          </w:p>
        </w:tc>
      </w:tr>
      <w:tr>
        <w:tc>
          <w:tcPr>
            <w:tcW w:type="dxa" w:w="2448"/>
            <w:tcMar>
              <w:top w:w="80" w:type="dxa"/>
              <w:start w:w="100" w:type="dxa"/>
              <w:bottom w:w="80" w:type="dxa"/>
              <w:end w:w="100" w:type="dxa"/>
            </w:tcMar>
            <w:vAlign w:val="top"/>
          </w:tcPr>
          <w:p>
            <w:pPr>
              <w:spacing w:after="0"/>
            </w:pPr>
            <w:r>
              <w:rPr>
                <w:sz w:val="18"/>
              </w:rPr>
              <w:t>Transfer ID</w:t>
            </w:r>
          </w:p>
        </w:tc>
        <w:tc>
          <w:tcPr>
            <w:tcW w:type="dxa" w:w="7056"/>
            <w:tcMar>
              <w:top w:w="80" w:type="dxa"/>
              <w:start w:w="100" w:type="dxa"/>
              <w:bottom w:w="80" w:type="dxa"/>
              <w:end w:w="100" w:type="dxa"/>
            </w:tcMar>
            <w:vAlign w:val="top"/>
          </w:tcPr>
          <w:p>
            <w:pPr>
              <w:spacing w:after="0"/>
            </w:pPr>
            <w:r>
              <w:rPr>
                <w:sz w:val="18"/>
              </w:rPr>
              <w:t>Unique ID and version.</w:t>
            </w:r>
          </w:p>
        </w:tc>
      </w:tr>
      <w:tr>
        <w:tc>
          <w:tcPr>
            <w:tcW w:type="dxa" w:w="2448"/>
            <w:tcMar>
              <w:top w:w="80" w:type="dxa"/>
              <w:start w:w="100" w:type="dxa"/>
              <w:bottom w:w="80" w:type="dxa"/>
              <w:end w:w="100" w:type="dxa"/>
            </w:tcMar>
            <w:shd w:fill="F5F8F9"/>
            <w:vAlign w:val="top"/>
          </w:tcPr>
          <w:p>
            <w:pPr>
              <w:spacing w:after="0"/>
            </w:pPr>
            <w:r>
              <w:rPr>
                <w:sz w:val="18"/>
              </w:rPr>
              <w:t>Source</w:t>
            </w:r>
          </w:p>
        </w:tc>
        <w:tc>
          <w:tcPr>
            <w:tcW w:type="dxa" w:w="7056"/>
            <w:tcMar>
              <w:top w:w="80" w:type="dxa"/>
              <w:start w:w="100" w:type="dxa"/>
              <w:bottom w:w="80" w:type="dxa"/>
              <w:end w:w="100" w:type="dxa"/>
            </w:tcMar>
            <w:shd w:fill="F5F8F9"/>
            <w:vAlign w:val="top"/>
          </w:tcPr>
          <w:p>
            <w:pPr>
              <w:spacing w:after="0"/>
            </w:pPr>
            <w:r>
              <w:rPr>
                <w:sz w:val="18"/>
              </w:rPr>
              <w:t>Source system, mechanism, and evidence.</w:t>
            </w:r>
          </w:p>
        </w:tc>
      </w:tr>
      <w:tr>
        <w:tc>
          <w:tcPr>
            <w:tcW w:type="dxa" w:w="2448"/>
            <w:tcMar>
              <w:top w:w="80" w:type="dxa"/>
              <w:start w:w="100" w:type="dxa"/>
              <w:bottom w:w="80" w:type="dxa"/>
              <w:end w:w="100" w:type="dxa"/>
            </w:tcMar>
            <w:vAlign w:val="top"/>
          </w:tcPr>
          <w:p>
            <w:pPr>
              <w:spacing w:after="0"/>
            </w:pPr>
            <w:r>
              <w:rPr>
                <w:sz w:val="18"/>
              </w:rPr>
              <w:t>Candidate principle</w:t>
            </w:r>
          </w:p>
        </w:tc>
        <w:tc>
          <w:tcPr>
            <w:tcW w:type="dxa" w:w="7056"/>
            <w:tcMar>
              <w:top w:w="80" w:type="dxa"/>
              <w:start w:w="100" w:type="dxa"/>
              <w:bottom w:w="80" w:type="dxa"/>
              <w:end w:w="100" w:type="dxa"/>
            </w:tcMar>
            <w:vAlign w:val="top"/>
          </w:tcPr>
          <w:p>
            <w:pPr>
              <w:spacing w:after="0"/>
            </w:pPr>
            <w:r>
              <w:rPr>
                <w:sz w:val="18"/>
              </w:rPr>
              <w:t>Exact abstraction being transferred.</w:t>
            </w:r>
          </w:p>
        </w:tc>
      </w:tr>
      <w:tr>
        <w:tc>
          <w:tcPr>
            <w:tcW w:type="dxa" w:w="2448"/>
            <w:tcMar>
              <w:top w:w="80" w:type="dxa"/>
              <w:start w:w="100" w:type="dxa"/>
              <w:bottom w:w="80" w:type="dxa"/>
              <w:end w:w="100" w:type="dxa"/>
            </w:tcMar>
            <w:shd w:fill="F5F8F9"/>
            <w:vAlign w:val="top"/>
          </w:tcPr>
          <w:p>
            <w:pPr>
              <w:spacing w:after="0"/>
            </w:pPr>
            <w:r>
              <w:rPr>
                <w:sz w:val="18"/>
              </w:rPr>
              <w:t>Destination</w:t>
            </w:r>
          </w:p>
        </w:tc>
        <w:tc>
          <w:tcPr>
            <w:tcW w:type="dxa" w:w="7056"/>
            <w:tcMar>
              <w:top w:w="80" w:type="dxa"/>
              <w:start w:w="100" w:type="dxa"/>
              <w:bottom w:w="80" w:type="dxa"/>
              <w:end w:w="100" w:type="dxa"/>
            </w:tcMar>
            <w:shd w:fill="F5F8F9"/>
            <w:vAlign w:val="top"/>
          </w:tcPr>
          <w:p>
            <w:pPr>
              <w:spacing w:after="0"/>
            </w:pPr>
            <w:r>
              <w:rPr>
                <w:sz w:val="18"/>
              </w:rPr>
              <w:t>Destination system and implementation.</w:t>
            </w:r>
          </w:p>
        </w:tc>
      </w:tr>
      <w:tr>
        <w:tc>
          <w:tcPr>
            <w:tcW w:type="dxa" w:w="2448"/>
            <w:tcMar>
              <w:top w:w="80" w:type="dxa"/>
              <w:start w:w="100" w:type="dxa"/>
              <w:bottom w:w="80" w:type="dxa"/>
              <w:end w:w="100" w:type="dxa"/>
            </w:tcMar>
            <w:vAlign w:val="top"/>
          </w:tcPr>
          <w:p>
            <w:pPr>
              <w:spacing w:after="0"/>
            </w:pPr>
            <w:r>
              <w:rPr>
                <w:sz w:val="18"/>
              </w:rPr>
              <w:t>Similarity type</w:t>
            </w:r>
          </w:p>
        </w:tc>
        <w:tc>
          <w:tcPr>
            <w:tcW w:type="dxa" w:w="7056"/>
            <w:tcMar>
              <w:top w:w="80" w:type="dxa"/>
              <w:start w:w="100" w:type="dxa"/>
              <w:bottom w:w="80" w:type="dxa"/>
              <w:end w:w="100" w:type="dxa"/>
            </w:tcMar>
            <w:vAlign w:val="top"/>
          </w:tcPr>
          <w:p>
            <w:pPr>
              <w:spacing w:after="0"/>
            </w:pPr>
            <w:r>
              <w:rPr>
                <w:sz w:val="18"/>
              </w:rPr>
              <w:t>Topological, dynamic, functional, control, failure, developmental, temporal, or combination.</w:t>
            </w:r>
          </w:p>
        </w:tc>
      </w:tr>
      <w:tr>
        <w:tc>
          <w:tcPr>
            <w:tcW w:type="dxa" w:w="2448"/>
            <w:tcMar>
              <w:top w:w="80" w:type="dxa"/>
              <w:start w:w="100" w:type="dxa"/>
              <w:bottom w:w="80" w:type="dxa"/>
              <w:end w:w="100" w:type="dxa"/>
            </w:tcMar>
            <w:shd w:fill="F5F8F9"/>
            <w:vAlign w:val="top"/>
          </w:tcPr>
          <w:p>
            <w:pPr>
              <w:spacing w:after="0"/>
            </w:pPr>
            <w:r>
              <w:rPr>
                <w:sz w:val="18"/>
              </w:rPr>
              <w:t>Preserved features</w:t>
            </w:r>
          </w:p>
        </w:tc>
        <w:tc>
          <w:tcPr>
            <w:tcW w:type="dxa" w:w="7056"/>
            <w:tcMar>
              <w:top w:w="80" w:type="dxa"/>
              <w:start w:w="100" w:type="dxa"/>
              <w:bottom w:w="80" w:type="dxa"/>
              <w:end w:w="100" w:type="dxa"/>
            </w:tcMar>
            <w:shd w:fill="F5F8F9"/>
            <w:vAlign w:val="top"/>
          </w:tcPr>
          <w:p>
            <w:pPr>
              <w:spacing w:after="0"/>
            </w:pPr>
            <w:r>
              <w:rPr>
                <w:sz w:val="18"/>
              </w:rPr>
              <w:t>Variables deliberately retained.</w:t>
            </w:r>
          </w:p>
        </w:tc>
      </w:tr>
      <w:tr>
        <w:tc>
          <w:tcPr>
            <w:tcW w:type="dxa" w:w="2448"/>
            <w:tcMar>
              <w:top w:w="80" w:type="dxa"/>
              <w:start w:w="100" w:type="dxa"/>
              <w:bottom w:w="80" w:type="dxa"/>
              <w:end w:w="100" w:type="dxa"/>
            </w:tcMar>
            <w:vAlign w:val="top"/>
          </w:tcPr>
          <w:p>
            <w:pPr>
              <w:spacing w:after="0"/>
            </w:pPr>
            <w:r>
              <w:rPr>
                <w:sz w:val="18"/>
              </w:rPr>
              <w:t>Discarded features</w:t>
            </w:r>
          </w:p>
        </w:tc>
        <w:tc>
          <w:tcPr>
            <w:tcW w:type="dxa" w:w="7056"/>
            <w:tcMar>
              <w:top w:w="80" w:type="dxa"/>
              <w:start w:w="100" w:type="dxa"/>
              <w:bottom w:w="80" w:type="dxa"/>
              <w:end w:w="100" w:type="dxa"/>
            </w:tcMar>
            <w:vAlign w:val="top"/>
          </w:tcPr>
          <w:p>
            <w:pPr>
              <w:spacing w:after="0"/>
            </w:pPr>
            <w:r>
              <w:rPr>
                <w:sz w:val="18"/>
              </w:rPr>
              <w:t>Variables removed or ignored.</w:t>
            </w:r>
          </w:p>
        </w:tc>
      </w:tr>
      <w:tr>
        <w:tc>
          <w:tcPr>
            <w:tcW w:type="dxa" w:w="2448"/>
            <w:tcMar>
              <w:top w:w="80" w:type="dxa"/>
              <w:start w:w="100" w:type="dxa"/>
              <w:bottom w:w="80" w:type="dxa"/>
              <w:end w:w="100" w:type="dxa"/>
            </w:tcMar>
            <w:shd w:fill="F5F8F9"/>
            <w:vAlign w:val="top"/>
          </w:tcPr>
          <w:p>
            <w:pPr>
              <w:spacing w:after="0"/>
            </w:pPr>
            <w:r>
              <w:rPr>
                <w:sz w:val="18"/>
              </w:rPr>
              <w:t>Test conditions</w:t>
            </w:r>
          </w:p>
        </w:tc>
        <w:tc>
          <w:tcPr>
            <w:tcW w:type="dxa" w:w="7056"/>
            <w:tcMar>
              <w:top w:w="80" w:type="dxa"/>
              <w:start w:w="100" w:type="dxa"/>
              <w:bottom w:w="80" w:type="dxa"/>
              <w:end w:w="100" w:type="dxa"/>
            </w:tcMar>
            <w:shd w:fill="F5F8F9"/>
            <w:vAlign w:val="top"/>
          </w:tcPr>
          <w:p>
            <w:pPr>
              <w:spacing w:after="0"/>
            </w:pPr>
            <w:r>
              <w:rPr>
                <w:sz w:val="18"/>
              </w:rPr>
              <w:t>Loads, environment, scale, time, uncertainty, perturbation.</w:t>
            </w:r>
          </w:p>
        </w:tc>
      </w:tr>
      <w:tr>
        <w:tc>
          <w:tcPr>
            <w:tcW w:type="dxa" w:w="2448"/>
            <w:tcMar>
              <w:top w:w="80" w:type="dxa"/>
              <w:start w:w="100" w:type="dxa"/>
              <w:bottom w:w="80" w:type="dxa"/>
              <w:end w:w="100" w:type="dxa"/>
            </w:tcMar>
            <w:vAlign w:val="top"/>
          </w:tcPr>
          <w:p>
            <w:pPr>
              <w:spacing w:after="0"/>
            </w:pPr>
            <w:r>
              <w:rPr>
                <w:sz w:val="18"/>
              </w:rPr>
              <w:t>Result</w:t>
            </w:r>
          </w:p>
        </w:tc>
        <w:tc>
          <w:tcPr>
            <w:tcW w:type="dxa" w:w="7056"/>
            <w:tcMar>
              <w:top w:w="80" w:type="dxa"/>
              <w:start w:w="100" w:type="dxa"/>
              <w:bottom w:w="80" w:type="dxa"/>
              <w:end w:w="100" w:type="dxa"/>
            </w:tcMar>
            <w:vAlign w:val="top"/>
          </w:tcPr>
          <w:p>
            <w:pPr>
              <w:spacing w:after="0"/>
            </w:pPr>
            <w:r>
              <w:rPr>
                <w:sz w:val="18"/>
              </w:rPr>
              <w:t>Observed destination behavior.</w:t>
            </w:r>
          </w:p>
        </w:tc>
      </w:tr>
      <w:tr>
        <w:tc>
          <w:tcPr>
            <w:tcW w:type="dxa" w:w="2448"/>
            <w:tcMar>
              <w:top w:w="80" w:type="dxa"/>
              <w:start w:w="100" w:type="dxa"/>
              <w:bottom w:w="80" w:type="dxa"/>
              <w:end w:w="100" w:type="dxa"/>
            </w:tcMar>
            <w:shd w:fill="F5F8F9"/>
            <w:vAlign w:val="top"/>
          </w:tcPr>
          <w:p>
            <w:pPr>
              <w:spacing w:after="0"/>
            </w:pPr>
            <w:r>
              <w:rPr>
                <w:sz w:val="18"/>
              </w:rPr>
              <w:t>Transfer status</w:t>
            </w:r>
          </w:p>
        </w:tc>
        <w:tc>
          <w:tcPr>
            <w:tcW w:type="dxa" w:w="7056"/>
            <w:tcMar>
              <w:top w:w="80" w:type="dxa"/>
              <w:start w:w="100" w:type="dxa"/>
              <w:bottom w:w="80" w:type="dxa"/>
              <w:end w:w="100" w:type="dxa"/>
            </w:tcMar>
            <w:shd w:fill="F5F8F9"/>
            <w:vAlign w:val="top"/>
          </w:tcPr>
          <w:p>
            <w:pPr>
              <w:spacing w:after="0"/>
            </w:pPr>
            <w:r>
              <w:rPr>
                <w:sz w:val="18"/>
              </w:rPr>
              <w:t>Supported / conditional / modified / descriptive-only / inconclusive / null.</w:t>
            </w:r>
          </w:p>
        </w:tc>
      </w:tr>
      <w:tr>
        <w:tc>
          <w:tcPr>
            <w:tcW w:type="dxa" w:w="2448"/>
            <w:tcMar>
              <w:top w:w="80" w:type="dxa"/>
              <w:start w:w="100" w:type="dxa"/>
              <w:bottom w:w="80" w:type="dxa"/>
              <w:end w:w="100" w:type="dxa"/>
            </w:tcMar>
            <w:vAlign w:val="top"/>
          </w:tcPr>
          <w:p>
            <w:pPr>
              <w:spacing w:after="0"/>
            </w:pPr>
            <w:r>
              <w:rPr>
                <w:sz w:val="18"/>
              </w:rPr>
              <w:t>Validity envelope</w:t>
            </w:r>
          </w:p>
        </w:tc>
        <w:tc>
          <w:tcPr>
            <w:tcW w:type="dxa" w:w="7056"/>
            <w:tcMar>
              <w:top w:w="80" w:type="dxa"/>
              <w:start w:w="100" w:type="dxa"/>
              <w:bottom w:w="80" w:type="dxa"/>
              <w:end w:w="100" w:type="dxa"/>
            </w:tcMar>
            <w:vAlign w:val="top"/>
          </w:tcPr>
          <w:p>
            <w:pPr>
              <w:spacing w:after="0"/>
            </w:pPr>
            <w:r>
              <w:rPr>
                <w:sz w:val="18"/>
              </w:rPr>
              <w:t>Conditions where claim remains supported.</w:t>
            </w:r>
          </w:p>
        </w:tc>
      </w:tr>
      <w:tr>
        <w:tc>
          <w:tcPr>
            <w:tcW w:type="dxa" w:w="2448"/>
            <w:tcMar>
              <w:top w:w="80" w:type="dxa"/>
              <w:start w:w="100" w:type="dxa"/>
              <w:bottom w:w="80" w:type="dxa"/>
              <w:end w:w="100" w:type="dxa"/>
            </w:tcMar>
            <w:shd w:fill="F5F8F9"/>
            <w:vAlign w:val="top"/>
          </w:tcPr>
          <w:p>
            <w:pPr>
              <w:spacing w:after="0"/>
            </w:pPr>
            <w:r>
              <w:rPr>
                <w:sz w:val="18"/>
              </w:rPr>
              <w:t>Known failure regime</w:t>
            </w:r>
          </w:p>
        </w:tc>
        <w:tc>
          <w:tcPr>
            <w:tcW w:type="dxa" w:w="7056"/>
            <w:tcMar>
              <w:top w:w="80" w:type="dxa"/>
              <w:start w:w="100" w:type="dxa"/>
              <w:bottom w:w="80" w:type="dxa"/>
              <w:end w:w="100" w:type="dxa"/>
            </w:tcMar>
            <w:shd w:fill="F5F8F9"/>
            <w:vAlign w:val="top"/>
          </w:tcPr>
          <w:p>
            <w:pPr>
              <w:spacing w:after="0"/>
            </w:pPr>
            <w:r>
              <w:rPr>
                <w:sz w:val="18"/>
              </w:rPr>
              <w:t>Conditions where behavior breaks or reverses.</w:t>
            </w:r>
          </w:p>
        </w:tc>
      </w:tr>
      <w:tr>
        <w:tc>
          <w:tcPr>
            <w:tcW w:type="dxa" w:w="2448"/>
            <w:tcMar>
              <w:top w:w="80" w:type="dxa"/>
              <w:start w:w="100" w:type="dxa"/>
              <w:bottom w:w="80" w:type="dxa"/>
              <w:end w:w="100" w:type="dxa"/>
            </w:tcMar>
            <w:vAlign w:val="top"/>
          </w:tcPr>
          <w:p>
            <w:pPr>
              <w:spacing w:after="0"/>
            </w:pPr>
            <w:r>
              <w:rPr>
                <w:sz w:val="18"/>
              </w:rPr>
              <w:t>Alternative explanation</w:t>
            </w:r>
          </w:p>
        </w:tc>
        <w:tc>
          <w:tcPr>
            <w:tcW w:type="dxa" w:w="7056"/>
            <w:tcMar>
              <w:top w:w="80" w:type="dxa"/>
              <w:start w:w="100" w:type="dxa"/>
              <w:bottom w:w="80" w:type="dxa"/>
              <w:end w:w="100" w:type="dxa"/>
            </w:tcMar>
            <w:vAlign w:val="top"/>
          </w:tcPr>
          <w:p>
            <w:pPr>
              <w:spacing w:after="0"/>
            </w:pPr>
            <w:r>
              <w:rPr>
                <w:sz w:val="18"/>
              </w:rPr>
              <w:t>Competing mechanism if any.</w:t>
            </w:r>
          </w:p>
        </w:tc>
      </w:tr>
      <w:tr>
        <w:tc>
          <w:tcPr>
            <w:tcW w:type="dxa" w:w="2448"/>
            <w:tcMar>
              <w:top w:w="80" w:type="dxa"/>
              <w:start w:w="100" w:type="dxa"/>
              <w:bottom w:w="80" w:type="dxa"/>
              <w:end w:w="100" w:type="dxa"/>
            </w:tcMar>
            <w:shd w:fill="F5F8F9"/>
            <w:vAlign w:val="top"/>
          </w:tcPr>
          <w:p>
            <w:pPr>
              <w:spacing w:after="0"/>
            </w:pPr>
            <w:r>
              <w:rPr>
                <w:sz w:val="18"/>
              </w:rPr>
              <w:t>Provenance</w:t>
            </w:r>
          </w:p>
        </w:tc>
        <w:tc>
          <w:tcPr>
            <w:tcW w:type="dxa" w:w="7056"/>
            <w:tcMar>
              <w:top w:w="80" w:type="dxa"/>
              <w:start w:w="100" w:type="dxa"/>
              <w:bottom w:w="80" w:type="dxa"/>
              <w:end w:w="100" w:type="dxa"/>
            </w:tcMar>
            <w:shd w:fill="F5F8F9"/>
            <w:vAlign w:val="top"/>
          </w:tcPr>
          <w:p>
            <w:pPr>
              <w:spacing w:after="0"/>
            </w:pPr>
            <w:r>
              <w:rPr>
                <w:sz w:val="18"/>
              </w:rPr>
              <w:t>Experiment IDs, preparer, version, funding/source conflicts if relevant.</w:t>
            </w:r>
          </w:p>
        </w:tc>
      </w:tr>
    </w:tbl>
    <w:p/>
    <w:p>
      <w:pPr>
        <w:pStyle w:val="Heading1"/>
      </w:pPr>
      <w:r>
        <w:t>Appendix C - Working Glossary</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92"/>
            <w:shd w:fill="133B4A"/>
            <w:tcMar>
              <w:top w:w="90" w:type="dxa"/>
              <w:start w:w="100" w:type="dxa"/>
              <w:bottom w:w="90" w:type="dxa"/>
              <w:end w:w="100" w:type="dxa"/>
            </w:tcMar>
            <w:vAlign w:val="center"/>
          </w:tcPr>
          <w:p>
            <w:r>
              <w:rPr>
                <w:b/>
                <w:color w:val="FFFFFF"/>
                <w:sz w:val="19"/>
              </w:rPr>
              <w:t>Term</w:t>
            </w:r>
          </w:p>
        </w:tc>
        <w:tc>
          <w:tcPr>
            <w:tcW w:type="dxa" w:w="6912"/>
            <w:shd w:fill="133B4A"/>
            <w:tcMar>
              <w:top w:w="90" w:type="dxa"/>
              <w:start w:w="100" w:type="dxa"/>
              <w:bottom w:w="90" w:type="dxa"/>
              <w:end w:w="100" w:type="dxa"/>
            </w:tcMar>
            <w:vAlign w:val="center"/>
          </w:tcPr>
          <w:p>
            <w:r>
              <w:rPr>
                <w:b/>
                <w:color w:val="FFFFFF"/>
                <w:sz w:val="19"/>
              </w:rPr>
              <w:t>Working definition</w:t>
            </w:r>
          </w:p>
        </w:tc>
      </w:tr>
      <w:tr>
        <w:tc>
          <w:tcPr>
            <w:tcW w:type="dxa" w:w="2592"/>
            <w:tcMar>
              <w:top w:w="80" w:type="dxa"/>
              <w:start w:w="100" w:type="dxa"/>
              <w:bottom w:w="80" w:type="dxa"/>
              <w:end w:w="100" w:type="dxa"/>
            </w:tcMar>
            <w:vAlign w:val="top"/>
          </w:tcPr>
          <w:p>
            <w:pPr>
              <w:spacing w:after="0"/>
            </w:pPr>
            <w:r>
              <w:rPr>
                <w:sz w:val="18"/>
              </w:rPr>
              <w:t>Abstraction</w:t>
            </w:r>
          </w:p>
        </w:tc>
        <w:tc>
          <w:tcPr>
            <w:tcW w:type="dxa" w:w="6912"/>
            <w:tcMar>
              <w:top w:w="80" w:type="dxa"/>
              <w:start w:w="100" w:type="dxa"/>
              <w:bottom w:w="80" w:type="dxa"/>
              <w:end w:w="100" w:type="dxa"/>
            </w:tcMar>
            <w:vAlign w:val="top"/>
          </w:tcPr>
          <w:p>
            <w:pPr>
              <w:spacing w:after="0"/>
            </w:pPr>
            <w:r>
              <w:rPr>
                <w:sz w:val="18"/>
              </w:rPr>
              <w:t>A deliberately simplified representation that preserves selected properties while discarding others.</w:t>
            </w:r>
          </w:p>
        </w:tc>
      </w:tr>
      <w:tr>
        <w:tc>
          <w:tcPr>
            <w:tcW w:type="dxa" w:w="2592"/>
            <w:tcMar>
              <w:top w:w="80" w:type="dxa"/>
              <w:start w:w="100" w:type="dxa"/>
              <w:bottom w:w="80" w:type="dxa"/>
              <w:end w:w="100" w:type="dxa"/>
            </w:tcMar>
            <w:shd w:fill="F5F8F9"/>
            <w:vAlign w:val="top"/>
          </w:tcPr>
          <w:p>
            <w:pPr>
              <w:spacing w:after="0"/>
            </w:pPr>
            <w:r>
              <w:rPr>
                <w:sz w:val="18"/>
              </w:rPr>
              <w:t>Analogy Breaker</w:t>
            </w:r>
          </w:p>
        </w:tc>
        <w:tc>
          <w:tcPr>
            <w:tcW w:type="dxa" w:w="6912"/>
            <w:tcMar>
              <w:top w:w="80" w:type="dxa"/>
              <w:start w:w="100" w:type="dxa"/>
              <w:bottom w:w="80" w:type="dxa"/>
              <w:end w:w="100" w:type="dxa"/>
            </w:tcMar>
            <w:shd w:fill="F5F8F9"/>
            <w:vAlign w:val="top"/>
          </w:tcPr>
          <w:p>
            <w:pPr>
              <w:spacing w:after="0"/>
            </w:pPr>
            <w:r>
              <w:rPr>
                <w:sz w:val="18"/>
              </w:rPr>
              <w:t>Adversarial test subsystem designed to find where a cross-domain analogy fails.</w:t>
            </w:r>
          </w:p>
        </w:tc>
      </w:tr>
      <w:tr>
        <w:tc>
          <w:tcPr>
            <w:tcW w:type="dxa" w:w="2592"/>
            <w:tcMar>
              <w:top w:w="80" w:type="dxa"/>
              <w:start w:w="100" w:type="dxa"/>
              <w:bottom w:w="80" w:type="dxa"/>
              <w:end w:w="100" w:type="dxa"/>
            </w:tcMar>
            <w:vAlign w:val="top"/>
          </w:tcPr>
          <w:p>
            <w:pPr>
              <w:spacing w:after="0"/>
            </w:pPr>
            <w:r>
              <w:rPr>
                <w:sz w:val="18"/>
              </w:rPr>
              <w:t>Domain Adapter</w:t>
            </w:r>
          </w:p>
        </w:tc>
        <w:tc>
          <w:tcPr>
            <w:tcW w:type="dxa" w:w="6912"/>
            <w:tcMar>
              <w:top w:w="80" w:type="dxa"/>
              <w:start w:w="100" w:type="dxa"/>
              <w:bottom w:w="80" w:type="dxa"/>
              <w:end w:w="100" w:type="dxa"/>
            </w:tcMar>
            <w:vAlign w:val="top"/>
          </w:tcPr>
          <w:p>
            <w:pPr>
              <w:spacing w:after="0"/>
            </w:pPr>
            <w:r>
              <w:rPr>
                <w:sz w:val="18"/>
              </w:rPr>
              <w:t>Module containing domain-specific equations, units, rules, and state transitions.</w:t>
            </w:r>
          </w:p>
        </w:tc>
      </w:tr>
      <w:tr>
        <w:tc>
          <w:tcPr>
            <w:tcW w:type="dxa" w:w="2592"/>
            <w:tcMar>
              <w:top w:w="80" w:type="dxa"/>
              <w:start w:w="100" w:type="dxa"/>
              <w:bottom w:w="80" w:type="dxa"/>
              <w:end w:w="100" w:type="dxa"/>
            </w:tcMar>
            <w:shd w:fill="F5F8F9"/>
            <w:vAlign w:val="top"/>
          </w:tcPr>
          <w:p>
            <w:pPr>
              <w:spacing w:after="0"/>
            </w:pPr>
            <w:r>
              <w:rPr>
                <w:sz w:val="18"/>
              </w:rPr>
              <w:t>Driving Variable Contract</w:t>
            </w:r>
          </w:p>
        </w:tc>
        <w:tc>
          <w:tcPr>
            <w:tcW w:type="dxa" w:w="6912"/>
            <w:tcMar>
              <w:top w:w="80" w:type="dxa"/>
              <w:start w:w="100" w:type="dxa"/>
              <w:bottom w:w="80" w:type="dxa"/>
              <w:end w:w="100" w:type="dxa"/>
            </w:tcMar>
            <w:shd w:fill="F5F8F9"/>
            <w:vAlign w:val="top"/>
          </w:tcPr>
          <w:p>
            <w:pPr>
              <w:spacing w:after="0"/>
            </w:pPr>
            <w:r>
              <w:rPr>
                <w:sz w:val="18"/>
              </w:rPr>
              <w:t>Declaration of what causes movement or change in a domain.</w:t>
            </w:r>
          </w:p>
        </w:tc>
      </w:tr>
      <w:tr>
        <w:tc>
          <w:tcPr>
            <w:tcW w:type="dxa" w:w="2592"/>
            <w:tcMar>
              <w:top w:w="80" w:type="dxa"/>
              <w:start w:w="100" w:type="dxa"/>
              <w:bottom w:w="80" w:type="dxa"/>
              <w:end w:w="100" w:type="dxa"/>
            </w:tcMar>
            <w:vAlign w:val="top"/>
          </w:tcPr>
          <w:p>
            <w:pPr>
              <w:spacing w:after="0"/>
            </w:pPr>
            <w:r>
              <w:rPr>
                <w:sz w:val="18"/>
              </w:rPr>
              <w:t>Dissent Object</w:t>
            </w:r>
          </w:p>
        </w:tc>
        <w:tc>
          <w:tcPr>
            <w:tcW w:type="dxa" w:w="6912"/>
            <w:tcMar>
              <w:top w:w="80" w:type="dxa"/>
              <w:start w:w="100" w:type="dxa"/>
              <w:bottom w:w="80" w:type="dxa"/>
              <w:end w:w="100" w:type="dxa"/>
            </w:tcMar>
            <w:vAlign w:val="top"/>
          </w:tcPr>
          <w:p>
            <w:pPr>
              <w:spacing w:after="0"/>
            </w:pPr>
            <w:r>
              <w:rPr>
                <w:sz w:val="18"/>
              </w:rPr>
              <w:t>Structured alternative interpretation tied to a proposed discriminating test.</w:t>
            </w:r>
          </w:p>
        </w:tc>
      </w:tr>
      <w:tr>
        <w:tc>
          <w:tcPr>
            <w:tcW w:type="dxa" w:w="2592"/>
            <w:tcMar>
              <w:top w:w="80" w:type="dxa"/>
              <w:start w:w="100" w:type="dxa"/>
              <w:bottom w:w="80" w:type="dxa"/>
              <w:end w:w="100" w:type="dxa"/>
            </w:tcMar>
            <w:shd w:fill="F5F8F9"/>
            <w:vAlign w:val="top"/>
          </w:tcPr>
          <w:p>
            <w:pPr>
              <w:spacing w:after="0"/>
            </w:pPr>
            <w:r>
              <w:rPr>
                <w:sz w:val="18"/>
              </w:rPr>
              <w:t>Epistemic Label</w:t>
            </w:r>
          </w:p>
        </w:tc>
        <w:tc>
          <w:tcPr>
            <w:tcW w:type="dxa" w:w="6912"/>
            <w:tcMar>
              <w:top w:w="80" w:type="dxa"/>
              <w:start w:w="100" w:type="dxa"/>
              <w:bottom w:w="80" w:type="dxa"/>
              <w:end w:w="100" w:type="dxa"/>
            </w:tcMar>
            <w:shd w:fill="F5F8F9"/>
            <w:vAlign w:val="top"/>
          </w:tcPr>
          <w:p>
            <w:pPr>
              <w:spacing w:after="0"/>
            </w:pPr>
            <w:r>
              <w:rPr>
                <w:sz w:val="18"/>
              </w:rPr>
              <w:t>Status indicating whether a claim is established, modeled, hypothesized, analogical, fictional, or unknown.</w:t>
            </w:r>
          </w:p>
        </w:tc>
      </w:tr>
      <w:tr>
        <w:tc>
          <w:tcPr>
            <w:tcW w:type="dxa" w:w="2592"/>
            <w:tcMar>
              <w:top w:w="80" w:type="dxa"/>
              <w:start w:w="100" w:type="dxa"/>
              <w:bottom w:w="80" w:type="dxa"/>
              <w:end w:w="100" w:type="dxa"/>
            </w:tcMar>
            <w:vAlign w:val="top"/>
          </w:tcPr>
          <w:p>
            <w:pPr>
              <w:spacing w:after="0"/>
            </w:pPr>
            <w:r>
              <w:rPr>
                <w:sz w:val="18"/>
              </w:rPr>
              <w:t>Map-Reality Distance</w:t>
            </w:r>
          </w:p>
        </w:tc>
        <w:tc>
          <w:tcPr>
            <w:tcW w:type="dxa" w:w="6912"/>
            <w:tcMar>
              <w:top w:w="80" w:type="dxa"/>
              <w:start w:w="100" w:type="dxa"/>
              <w:bottom w:w="80" w:type="dxa"/>
              <w:end w:w="100" w:type="dxa"/>
            </w:tcMar>
            <w:vAlign w:val="top"/>
          </w:tcPr>
          <w:p>
            <w:pPr>
              <w:spacing w:after="0"/>
            </w:pPr>
            <w:r>
              <w:rPr>
                <w:sz w:val="18"/>
              </w:rPr>
              <w:t>Difference between the actual simulated system and the controller's internal representation.</w:t>
            </w:r>
          </w:p>
        </w:tc>
      </w:tr>
      <w:tr>
        <w:tc>
          <w:tcPr>
            <w:tcW w:type="dxa" w:w="2592"/>
            <w:tcMar>
              <w:top w:w="80" w:type="dxa"/>
              <w:start w:w="100" w:type="dxa"/>
              <w:bottom w:w="80" w:type="dxa"/>
              <w:end w:w="100" w:type="dxa"/>
            </w:tcMar>
            <w:shd w:fill="F5F8F9"/>
            <w:vAlign w:val="top"/>
          </w:tcPr>
          <w:p>
            <w:pPr>
              <w:spacing w:after="0"/>
            </w:pPr>
            <w:r>
              <w:rPr>
                <w:sz w:val="18"/>
              </w:rPr>
              <w:t>Matrix Contract</w:t>
            </w:r>
          </w:p>
        </w:tc>
        <w:tc>
          <w:tcPr>
            <w:tcW w:type="dxa" w:w="6912"/>
            <w:tcMar>
              <w:top w:w="80" w:type="dxa"/>
              <w:start w:w="100" w:type="dxa"/>
              <w:bottom w:w="80" w:type="dxa"/>
              <w:end w:w="100" w:type="dxa"/>
            </w:tcMar>
            <w:shd w:fill="F5F8F9"/>
            <w:vAlign w:val="top"/>
          </w:tcPr>
          <w:p>
            <w:pPr>
              <w:spacing w:after="0"/>
            </w:pPr>
            <w:r>
              <w:rPr>
                <w:sz w:val="18"/>
              </w:rPr>
              <w:t>Declaration of what “matrix” means and does in a specific model.</w:t>
            </w:r>
          </w:p>
        </w:tc>
      </w:tr>
      <w:tr>
        <w:tc>
          <w:tcPr>
            <w:tcW w:type="dxa" w:w="2592"/>
            <w:tcMar>
              <w:top w:w="80" w:type="dxa"/>
              <w:start w:w="100" w:type="dxa"/>
              <w:bottom w:w="80" w:type="dxa"/>
              <w:end w:w="100" w:type="dxa"/>
            </w:tcMar>
            <w:vAlign w:val="top"/>
          </w:tcPr>
          <w:p>
            <w:pPr>
              <w:spacing w:after="0"/>
            </w:pPr>
            <w:r>
              <w:rPr>
                <w:sz w:val="18"/>
              </w:rPr>
              <w:t>Null Transfer</w:t>
            </w:r>
          </w:p>
        </w:tc>
        <w:tc>
          <w:tcPr>
            <w:tcW w:type="dxa" w:w="6912"/>
            <w:tcMar>
              <w:top w:w="80" w:type="dxa"/>
              <w:start w:w="100" w:type="dxa"/>
              <w:bottom w:w="80" w:type="dxa"/>
              <w:end w:w="100" w:type="dxa"/>
            </w:tcMar>
            <w:vAlign w:val="top"/>
          </w:tcPr>
          <w:p>
            <w:pPr>
              <w:spacing w:after="0"/>
            </w:pPr>
            <w:r>
              <w:rPr>
                <w:sz w:val="18"/>
              </w:rPr>
              <w:t>Result in which no defensible cross-domain transfer is demonstrated.</w:t>
            </w:r>
          </w:p>
        </w:tc>
      </w:tr>
      <w:tr>
        <w:tc>
          <w:tcPr>
            <w:tcW w:type="dxa" w:w="2592"/>
            <w:tcMar>
              <w:top w:w="80" w:type="dxa"/>
              <w:start w:w="100" w:type="dxa"/>
              <w:bottom w:w="80" w:type="dxa"/>
              <w:end w:w="100" w:type="dxa"/>
            </w:tcMar>
            <w:shd w:fill="F5F8F9"/>
            <w:vAlign w:val="top"/>
          </w:tcPr>
          <w:p>
            <w:pPr>
              <w:spacing w:after="0"/>
            </w:pPr>
            <w:r>
              <w:rPr>
                <w:sz w:val="18"/>
              </w:rPr>
              <w:t>Transfer Certificate</w:t>
            </w:r>
          </w:p>
        </w:tc>
        <w:tc>
          <w:tcPr>
            <w:tcW w:type="dxa" w:w="6912"/>
            <w:tcMar>
              <w:top w:w="80" w:type="dxa"/>
              <w:start w:w="100" w:type="dxa"/>
              <w:bottom w:w="80" w:type="dxa"/>
              <w:end w:w="100" w:type="dxa"/>
            </w:tcMar>
            <w:shd w:fill="F5F8F9"/>
            <w:vAlign w:val="top"/>
          </w:tcPr>
          <w:p>
            <w:pPr>
              <w:spacing w:after="0"/>
            </w:pPr>
            <w:r>
              <w:rPr>
                <w:sz w:val="18"/>
              </w:rPr>
              <w:t>Audit record describing a tested cross-domain translation and its outcome.</w:t>
            </w:r>
          </w:p>
        </w:tc>
      </w:tr>
      <w:tr>
        <w:tc>
          <w:tcPr>
            <w:tcW w:type="dxa" w:w="2592"/>
            <w:tcMar>
              <w:top w:w="80" w:type="dxa"/>
              <w:start w:w="100" w:type="dxa"/>
              <w:bottom w:w="80" w:type="dxa"/>
              <w:end w:w="100" w:type="dxa"/>
            </w:tcMar>
            <w:vAlign w:val="top"/>
          </w:tcPr>
          <w:p>
            <w:pPr>
              <w:spacing w:after="0"/>
            </w:pPr>
            <w:r>
              <w:rPr>
                <w:sz w:val="18"/>
              </w:rPr>
              <w:t>Transfer Validity Envelope</w:t>
            </w:r>
          </w:p>
        </w:tc>
        <w:tc>
          <w:tcPr>
            <w:tcW w:type="dxa" w:w="6912"/>
            <w:tcMar>
              <w:top w:w="80" w:type="dxa"/>
              <w:start w:w="100" w:type="dxa"/>
              <w:bottom w:w="80" w:type="dxa"/>
              <w:end w:w="100" w:type="dxa"/>
            </w:tcMar>
            <w:vAlign w:val="top"/>
          </w:tcPr>
          <w:p>
            <w:pPr>
              <w:spacing w:after="0"/>
            </w:pPr>
            <w:r>
              <w:rPr>
                <w:sz w:val="18"/>
              </w:rPr>
              <w:t>Conditions within which a translated principle remains supported.</w:t>
            </w:r>
          </w:p>
        </w:tc>
      </w:tr>
      <w:tr>
        <w:tc>
          <w:tcPr>
            <w:tcW w:type="dxa" w:w="2592"/>
            <w:tcMar>
              <w:top w:w="80" w:type="dxa"/>
              <w:start w:w="100" w:type="dxa"/>
              <w:bottom w:w="80" w:type="dxa"/>
              <w:end w:w="100" w:type="dxa"/>
            </w:tcMar>
            <w:shd w:fill="F5F8F9"/>
            <w:vAlign w:val="top"/>
          </w:tcPr>
          <w:p>
            <w:pPr>
              <w:spacing w:after="0"/>
            </w:pPr>
            <w:r>
              <w:rPr>
                <w:sz w:val="18"/>
              </w:rPr>
              <w:t>Typed Similarity</w:t>
            </w:r>
          </w:p>
        </w:tc>
        <w:tc>
          <w:tcPr>
            <w:tcW w:type="dxa" w:w="6912"/>
            <w:tcMar>
              <w:top w:w="80" w:type="dxa"/>
              <w:start w:w="100" w:type="dxa"/>
              <w:bottom w:w="80" w:type="dxa"/>
              <w:end w:w="100" w:type="dxa"/>
            </w:tcMar>
            <w:shd w:fill="F5F8F9"/>
            <w:vAlign w:val="top"/>
          </w:tcPr>
          <w:p>
            <w:pPr>
              <w:spacing w:after="0"/>
            </w:pPr>
            <w:r>
              <w:rPr>
                <w:sz w:val="18"/>
              </w:rPr>
              <w:t>Similarity classified by dimension rather than asserted generically.</w:t>
            </w:r>
          </w:p>
        </w:tc>
      </w:tr>
    </w:tbl>
    <w:p/>
    <w:p>
      <w:pPr>
        <w:pStyle w:val="Heading1"/>
      </w:pPr>
      <w:r>
        <w:t>Closing Position</w:t>
      </w:r>
    </w:p>
    <w:p>
      <w:r>
        <w:t>The Architecture Translation &amp; Boundary Laboratory is intentionally not another universal-network simulator. It is a laboratory for testing the reliability of the bridges we build between systems. Its core contribution is epistemic discipline: it makes abstraction visible, forces translation assumptions into the open, separates ground truth from observer belief, and treats the boundary of an analogy as an experimental result.</w:t>
      </w:r>
    </w:p>
    <w:tbl>
      <w:tblPr>
        <w:tblW w:type="auto" w:w="0"/>
        <w:jc w:val="center"/>
        <w:tblLayout w:type="autofit"/>
        <w:tblLook w:firstColumn="1" w:firstRow="1" w:lastColumn="0" w:lastRow="0" w:noHBand="0" w:noVBand="1" w:val="04A0"/>
      </w:tblPr>
      <w:tblGrid>
        <w:gridCol w:w="9878"/>
      </w:tblGrid>
      <w:tr>
        <w:tc>
          <w:tcPr>
            <w:tcW w:type="dxa" w:w="9878"/>
            <w:shd w:fill="0E5963"/>
            <w:tcMar>
              <w:top w:w="100" w:type="dxa"/>
              <w:start w:w="150" w:type="dxa"/>
              <w:bottom w:w="80" w:type="dxa"/>
              <w:end w:w="150" w:type="dxa"/>
            </w:tcMar>
          </w:tcPr>
          <w:p>
            <w:r>
              <w:rPr>
                <w:b/>
                <w:color w:val="FFFFFF"/>
                <w:sz w:val="21"/>
              </w:rPr>
              <w:t>Foundational ATBL Rule</w:t>
            </w:r>
          </w:p>
        </w:tc>
      </w:tr>
      <w:tr>
        <w:tc>
          <w:tcPr>
            <w:tcW w:type="dxa" w:w="9878"/>
            <w:shd w:fill="EDF6F7"/>
            <w:tcMar>
              <w:top w:w="120" w:type="dxa"/>
              <w:start w:w="150" w:type="dxa"/>
              <w:bottom w:w="120" w:type="dxa"/>
              <w:end w:w="150" w:type="dxa"/>
            </w:tcMar>
          </w:tcPr>
          <w:p>
            <w:pPr>
              <w:spacing w:after="0"/>
            </w:pPr>
            <w:r>
              <w:t>Do not ask only whether a pattern transfers. Ask what had to be preserved for it to transfer, what was lost, how far the result can be trusted, and what experiment would prove the claim wrong.</w:t>
            </w:r>
          </w:p>
        </w:tc>
      </w:tr>
    </w:tbl>
    <w:p/>
    <w:p>
      <w:pPr>
        <w:jc w:val="center"/>
      </w:pPr>
      <w:r>
        <w:rPr>
          <w:b/>
          <w:color w:val="133B4A"/>
          <w:sz w:val="20"/>
        </w:rPr>
        <w:t>END OF VERSION 1.0 - WORKING DESIGN RECORD - NOT CANON</w:t>
      </w:r>
    </w:p>
    <w:sectPr w:rsidR="00FC693F" w:rsidRPr="0006063C" w:rsidSect="00034616">
      <w:headerReference w:type="default" r:id="rId9"/>
      <w:footerReference w:type="default" r:id="rId10"/>
      <w:pgSz w:w="12240" w:h="15840"/>
      <w:pgMar w:top="1080"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9"/>
        <w:sz w:val="16"/>
      </w:rPr>
      <w:t xml:space="preserve">Prepared by ChatGPT (GPT-5.6 Sol)  |  September 20, 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469"/>
        <w:sz w:val="16"/>
      </w:rPr>
      <w:t>OAL | ARCHITECTURE TRANSLATION &amp; BOUNDARY LABORATORY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33B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E5963"/>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45A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33B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05A6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 Architecture Translation &amp; Boundary Laboratory v1.0</dc:title>
  <dc:subject>Independent simulation laboratory design for transfer validity, boundary conditions, model mismatch, and analogy failure.</dc:subject>
  <dc:creator>ChatGPT (GPT-5.6 Sol)</dc:creator>
  <cp:keywords>OAL, simulation, control flow, architecture translation, boundary testing, validity envelope, model mismatch, analogy breaker</cp:keywords>
  <dc:description>generated by python-docx</dc:description>
  <cp:lastModifiedBy/>
  <cp:revision>1</cp:revision>
  <dcterms:created xsi:type="dcterms:W3CDTF">2013-12-23T23:15:00Z</dcterms:created>
  <dcterms:modified xsi:type="dcterms:W3CDTF">2013-12-23T23:15:00Z</dcterms:modified>
  <cp:category/>
</cp:coreProperties>
</file>