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B365D"/>
          <w:sz w:val="36"/>
          <w:szCs w:val="36"/>
        </w:rPr>
        <w:t xml:space="preserve">FOUNDATIONAL VERBATIM SOURCE RECORD</w:t>
      </w:r>
    </w:p>
    <w:p>
      <w:pPr>
        <w:spacing w:after="200"/>
        <w:jc w:val="center"/>
      </w:pPr>
      <w:r>
        <w:rPr>
          <w:rFonts w:ascii="Arial" w:cs="Arial" w:eastAsia="Arial" w:hAnsi="Arial"/>
          <w:i/>
          <w:iCs/>
          <w:color w:val="5A6570"/>
          <w:sz w:val="22"/>
          <w:szCs w:val="22"/>
        </w:rPr>
        <w:t xml:space="preserve">Control Flow → Environmental Sensation, Awareness, and Threat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gridSpan w:val="1"/>
            <w:tcBorders>
              <w:top w:val="single" w:color="CCCCCC" w:sz="4"/>
              <w:left w:val="single" w:color="CCCCCC" w:sz="4"/>
              <w:bottom w:val="single" w:color="CCCCCC" w:sz="4"/>
              <w:right w:val="single" w:color="CCCCCC" w:sz="4"/>
            </w:tcBorders>
            <w:shd w:fill="E8EEF4" w:val="clear"/>
            <w:tcMar>
              <w:top w:type="dxa" w:w="60"/>
              <w:left w:type="dxa" w:w="80"/>
              <w:bottom w:type="dxa" w:w="60"/>
              <w:right w:type="dxa" w:w="80"/>
            </w:tcMar>
            <w:vAlign w:val="top"/>
          </w:tcPr>
          <w:p>
            <w:pPr>
              <w:jc w:val="left"/>
            </w:pPr>
            <w:r>
              <w:rPr>
                <w:rFonts w:ascii="Arial" w:cs="Arial" w:eastAsia="Arial" w:hAnsi="Arial"/>
                <w:b/>
                <w:bCs/>
                <w:i w:val="false"/>
                <w:iCs w:val="false"/>
                <w:color w:val="222222"/>
                <w:sz w:val="18"/>
                <w:szCs w:val="18"/>
              </w:rPr>
              <w:t xml:space="preserve">Document ID</w:t>
            </w:r>
          </w:p>
        </w:tc>
        <w:tc>
          <w:tcPr>
            <w:tcW w:type="dxa" w:w="7020"/>
            <w:gridSpan w:val="1"/>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jc w:val="left"/>
            </w:pPr>
            <w:r>
              <w:rPr>
                <w:rFonts w:ascii="Arial" w:cs="Arial" w:eastAsia="Arial" w:hAnsi="Arial"/>
                <w:b w:val="false"/>
                <w:bCs w:val="false"/>
                <w:i w:val="false"/>
                <w:iCs w:val="false"/>
                <w:color w:val="222222"/>
                <w:sz w:val="18"/>
                <w:szCs w:val="18"/>
              </w:rPr>
              <w:t xml:space="preserve">OAL-CF-EST-VERBATIM-v0.1.0</w:t>
            </w:r>
          </w:p>
        </w:tc>
      </w:tr>
      <w:tr>
        <w:tc>
          <w:tcPr>
            <w:tcW w:type="dxa" w:w="2340"/>
            <w:gridSpan w:val="1"/>
            <w:tcBorders>
              <w:top w:val="single" w:color="CCCCCC" w:sz="4"/>
              <w:left w:val="single" w:color="CCCCCC" w:sz="4"/>
              <w:bottom w:val="single" w:color="CCCCCC" w:sz="4"/>
              <w:right w:val="single" w:color="CCCCCC" w:sz="4"/>
            </w:tcBorders>
            <w:shd w:fill="E8EEF4" w:val="clear"/>
            <w:tcMar>
              <w:top w:type="dxa" w:w="60"/>
              <w:left w:type="dxa" w:w="80"/>
              <w:bottom w:type="dxa" w:w="60"/>
              <w:right w:type="dxa" w:w="80"/>
            </w:tcMar>
            <w:vAlign w:val="top"/>
          </w:tcPr>
          <w:p>
            <w:pPr>
              <w:jc w:val="left"/>
            </w:pPr>
            <w:r>
              <w:rPr>
                <w:rFonts w:ascii="Arial" w:cs="Arial" w:eastAsia="Arial" w:hAnsi="Arial"/>
                <w:b/>
                <w:bCs/>
                <w:i w:val="false"/>
                <w:iCs w:val="false"/>
                <w:color w:val="222222"/>
                <w:sz w:val="18"/>
                <w:szCs w:val="18"/>
              </w:rPr>
              <w:t xml:space="preserve">Status</w:t>
            </w:r>
          </w:p>
        </w:tc>
        <w:tc>
          <w:tcPr>
            <w:tcW w:type="dxa" w:w="7020"/>
            <w:gridSpan w:val="1"/>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jc w:val="left"/>
            </w:pPr>
            <w:r>
              <w:rPr>
                <w:rFonts w:ascii="Arial" w:cs="Arial" w:eastAsia="Arial" w:hAnsi="Arial"/>
                <w:b w:val="false"/>
                <w:bCs w:val="false"/>
                <w:i w:val="false"/>
                <w:iCs w:val="false"/>
                <w:color w:val="222222"/>
                <w:sz w:val="18"/>
                <w:szCs w:val="18"/>
              </w:rPr>
              <w:t xml:space="preserve">Source record only. Not canon. Does not supersede later design drafts.</w:t>
            </w:r>
          </w:p>
        </w:tc>
      </w:tr>
      <w:tr>
        <w:tc>
          <w:tcPr>
            <w:tcW w:type="dxa" w:w="2340"/>
            <w:gridSpan w:val="1"/>
            <w:tcBorders>
              <w:top w:val="single" w:color="CCCCCC" w:sz="4"/>
              <w:left w:val="single" w:color="CCCCCC" w:sz="4"/>
              <w:bottom w:val="single" w:color="CCCCCC" w:sz="4"/>
              <w:right w:val="single" w:color="CCCCCC" w:sz="4"/>
            </w:tcBorders>
            <w:shd w:fill="E8EEF4" w:val="clear"/>
            <w:tcMar>
              <w:top w:type="dxa" w:w="60"/>
              <w:left w:type="dxa" w:w="80"/>
              <w:bottom w:type="dxa" w:w="60"/>
              <w:right w:type="dxa" w:w="80"/>
            </w:tcMar>
            <w:vAlign w:val="top"/>
          </w:tcPr>
          <w:p>
            <w:pPr>
              <w:jc w:val="left"/>
            </w:pPr>
            <w:r>
              <w:rPr>
                <w:rFonts w:ascii="Arial" w:cs="Arial" w:eastAsia="Arial" w:hAnsi="Arial"/>
                <w:b/>
                <w:bCs/>
                <w:i w:val="false"/>
                <w:iCs w:val="false"/>
                <w:color w:val="222222"/>
                <w:sz w:val="18"/>
                <w:szCs w:val="18"/>
              </w:rPr>
              <w:t xml:space="preserve">Date locked</w:t>
            </w:r>
          </w:p>
        </w:tc>
        <w:tc>
          <w:tcPr>
            <w:tcW w:type="dxa" w:w="7020"/>
            <w:gridSpan w:val="1"/>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jc w:val="left"/>
            </w:pPr>
            <w:r>
              <w:rPr>
                <w:rFonts w:ascii="Arial" w:cs="Arial" w:eastAsia="Arial" w:hAnsi="Arial"/>
                <w:b w:val="false"/>
                <w:bCs w:val="false"/>
                <w:i w:val="false"/>
                <w:iCs w:val="false"/>
                <w:color w:val="222222"/>
                <w:sz w:val="18"/>
                <w:szCs w:val="18"/>
              </w:rPr>
              <w:t xml:space="preserve">21 September 2026</w:t>
            </w:r>
          </w:p>
        </w:tc>
      </w:tr>
      <w:tr>
        <w:tc>
          <w:tcPr>
            <w:tcW w:type="dxa" w:w="2340"/>
            <w:gridSpan w:val="1"/>
            <w:tcBorders>
              <w:top w:val="single" w:color="CCCCCC" w:sz="4"/>
              <w:left w:val="single" w:color="CCCCCC" w:sz="4"/>
              <w:bottom w:val="single" w:color="CCCCCC" w:sz="4"/>
              <w:right w:val="single" w:color="CCCCCC" w:sz="4"/>
            </w:tcBorders>
            <w:shd w:fill="E8EEF4" w:val="clear"/>
            <w:tcMar>
              <w:top w:type="dxa" w:w="60"/>
              <w:left w:type="dxa" w:w="80"/>
              <w:bottom w:type="dxa" w:w="60"/>
              <w:right w:type="dxa" w:w="80"/>
            </w:tcMar>
            <w:vAlign w:val="top"/>
          </w:tcPr>
          <w:p>
            <w:pPr>
              <w:jc w:val="left"/>
            </w:pPr>
            <w:r>
              <w:rPr>
                <w:rFonts w:ascii="Arial" w:cs="Arial" w:eastAsia="Arial" w:hAnsi="Arial"/>
                <w:b/>
                <w:bCs/>
                <w:i w:val="false"/>
                <w:iCs w:val="false"/>
                <w:color w:val="222222"/>
                <w:sz w:val="18"/>
                <w:szCs w:val="18"/>
              </w:rPr>
              <w:t xml:space="preserve">Author of source text</w:t>
            </w:r>
          </w:p>
        </w:tc>
        <w:tc>
          <w:tcPr>
            <w:tcW w:type="dxa" w:w="7020"/>
            <w:gridSpan w:val="1"/>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jc w:val="left"/>
            </w:pPr>
            <w:r>
              <w:rPr>
                <w:rFonts w:ascii="Arial" w:cs="Arial" w:eastAsia="Arial" w:hAnsi="Arial"/>
                <w:b w:val="false"/>
                <w:bCs w:val="false"/>
                <w:i w:val="false"/>
                <w:iCs w:val="false"/>
                <w:color w:val="222222"/>
                <w:sz w:val="18"/>
                <w:szCs w:val="18"/>
              </w:rPr>
              <w:t xml:space="preserve">Architect (original statements as provided for versioning)</w:t>
            </w:r>
          </w:p>
        </w:tc>
      </w:tr>
      <w:tr>
        <w:tc>
          <w:tcPr>
            <w:tcW w:type="dxa" w:w="2340"/>
            <w:gridSpan w:val="1"/>
            <w:tcBorders>
              <w:top w:val="single" w:color="CCCCCC" w:sz="4"/>
              <w:left w:val="single" w:color="CCCCCC" w:sz="4"/>
              <w:bottom w:val="single" w:color="CCCCCC" w:sz="4"/>
              <w:right w:val="single" w:color="CCCCCC" w:sz="4"/>
            </w:tcBorders>
            <w:shd w:fill="E8EEF4" w:val="clear"/>
            <w:tcMar>
              <w:top w:type="dxa" w:w="60"/>
              <w:left w:type="dxa" w:w="80"/>
              <w:bottom w:type="dxa" w:w="60"/>
              <w:right w:type="dxa" w:w="80"/>
            </w:tcMar>
            <w:vAlign w:val="top"/>
          </w:tcPr>
          <w:p>
            <w:pPr>
              <w:jc w:val="left"/>
            </w:pPr>
            <w:r>
              <w:rPr>
                <w:rFonts w:ascii="Arial" w:cs="Arial" w:eastAsia="Arial" w:hAnsi="Arial"/>
                <w:b/>
                <w:bCs/>
                <w:i w:val="false"/>
                <w:iCs w:val="false"/>
                <w:color w:val="222222"/>
                <w:sz w:val="18"/>
                <w:szCs w:val="18"/>
              </w:rPr>
              <w:t xml:space="preserve">Compared drafts</w:t>
            </w:r>
          </w:p>
        </w:tc>
        <w:tc>
          <w:tcPr>
            <w:tcW w:type="dxa" w:w="7020"/>
            <w:gridSpan w:val="1"/>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jc w:val="left"/>
            </w:pPr>
            <w:r>
              <w:rPr>
                <w:rFonts w:ascii="Arial" w:cs="Arial" w:eastAsia="Arial" w:hAnsi="Arial"/>
                <w:b w:val="false"/>
                <w:bCs w:val="false"/>
                <w:i w:val="false"/>
                <w:iCs w:val="false"/>
                <w:color w:val="222222"/>
                <w:sz w:val="18"/>
                <w:szCs w:val="18"/>
              </w:rPr>
              <w:t xml:space="preserve">Grok independent version (OAL-CF-EST-FOUND-Grok-v0.1.0, 21 Sep 2026, p.6) and Perplexity AI independent draft (21 Sep 2026, p.3)</w:t>
            </w:r>
          </w:p>
        </w:tc>
      </w:tr>
      <w:tr>
        <w:tc>
          <w:tcPr>
            <w:tcW w:type="dxa" w:w="2340"/>
            <w:gridSpan w:val="1"/>
            <w:tcBorders>
              <w:top w:val="single" w:color="CCCCCC" w:sz="4"/>
              <w:left w:val="single" w:color="CCCCCC" w:sz="4"/>
              <w:bottom w:val="single" w:color="CCCCCC" w:sz="4"/>
              <w:right w:val="single" w:color="CCCCCC" w:sz="4"/>
            </w:tcBorders>
            <w:shd w:fill="E8EEF4" w:val="clear"/>
            <w:tcMar>
              <w:top w:type="dxa" w:w="60"/>
              <w:left w:type="dxa" w:w="80"/>
              <w:bottom w:type="dxa" w:w="60"/>
              <w:right w:type="dxa" w:w="80"/>
            </w:tcMar>
            <w:vAlign w:val="top"/>
          </w:tcPr>
          <w:p>
            <w:pPr>
              <w:jc w:val="left"/>
            </w:pPr>
            <w:r>
              <w:rPr>
                <w:rFonts w:ascii="Arial" w:cs="Arial" w:eastAsia="Arial" w:hAnsi="Arial"/>
                <w:b/>
                <w:bCs/>
                <w:i w:val="false"/>
                <w:iCs w:val="false"/>
                <w:color w:val="222222"/>
                <w:sz w:val="18"/>
                <w:szCs w:val="18"/>
              </w:rPr>
              <w:t xml:space="preserve">Purpose</w:t>
            </w:r>
          </w:p>
        </w:tc>
        <w:tc>
          <w:tcPr>
            <w:tcW w:type="dxa" w:w="7020"/>
            <w:gridSpan w:val="1"/>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jc w:val="left"/>
            </w:pPr>
            <w:r>
              <w:rPr>
                <w:rFonts w:ascii="Arial" w:cs="Arial" w:eastAsia="Arial" w:hAnsi="Arial"/>
                <w:b w:val="false"/>
                <w:bCs w:val="false"/>
                <w:i w:val="false"/>
                <w:iCs w:val="false"/>
                <w:color w:val="222222"/>
                <w:sz w:val="18"/>
                <w:szCs w:val="18"/>
              </w:rPr>
              <w:t xml:space="preserve">Preserve the Architect’s original wording as the versioning baseline and notate where later drafts isolated, repeated, or treated a fragment as an unbounded operational definition.</w:t>
            </w:r>
          </w:p>
        </w:tc>
      </w:tr>
    </w:tbl>
    <w:p>
      <w:pPr>
        <w:pStyle w:val="Heading1"/>
      </w:pPr>
      <w:r>
        <w:t xml:space="preserve">1. Record rules</w:t>
      </w:r>
    </w:p>
    <w:p>
      <w:pPr>
        <w:pStyle w:val="ListParagraph"/>
        <w:numPr>
          <w:ilvl w:val="0"/>
          <w:numId w:val="2"/>
        </w:numPr>
        <w:spacing w:after="40"/>
      </w:pPr>
      <w:r>
        <w:rPr>
          <w:rFonts w:ascii="Arial" w:cs="Arial" w:eastAsia="Arial" w:hAnsi="Arial"/>
          <w:sz w:val="22"/>
          <w:szCs w:val="22"/>
        </w:rPr>
        <w:t xml:space="preserve">The source block in Section 2 is the Architect’s original text as supplied for this record. Light copy-editing for line breaks only; wording is not rewritten.</w:t>
      </w:r>
    </w:p>
    <w:p>
      <w:pPr>
        <w:pStyle w:val="ListParagraph"/>
        <w:numPr>
          <w:ilvl w:val="0"/>
          <w:numId w:val="2"/>
        </w:numPr>
        <w:spacing w:after="40"/>
      </w:pPr>
      <w:r>
        <w:rPr>
          <w:rFonts w:ascii="Arial" w:cs="Arial" w:eastAsia="Arial" w:hAnsi="Arial"/>
          <w:sz w:val="22"/>
          <w:szCs w:val="22"/>
        </w:rPr>
        <w:t xml:space="preserve">This file is a foundational verbatim source. It is not a laboratory protocol, not an ethics approval, and not a claim that later drafts are invalid.</w:t>
      </w:r>
    </w:p>
    <w:p>
      <w:pPr>
        <w:pStyle w:val="ListParagraph"/>
        <w:numPr>
          <w:ilvl w:val="0"/>
          <w:numId w:val="2"/>
        </w:numPr>
        <w:spacing w:after="40"/>
      </w:pPr>
      <w:r>
        <w:rPr>
          <w:rFonts w:ascii="Arial" w:cs="Arial" w:eastAsia="Arial" w:hAnsi="Arial"/>
          <w:sz w:val="22"/>
          <w:szCs w:val="22"/>
        </w:rPr>
        <w:t xml:space="preserve">Discrepancy notes document compression and perseveration. They do not assign motive.</w:t>
      </w:r>
    </w:p>
    <w:p>
      <w:pPr>
        <w:pStyle w:val="ListParagraph"/>
        <w:numPr>
          <w:ilvl w:val="0"/>
          <w:numId w:val="2"/>
        </w:numPr>
        <w:spacing w:after="120"/>
      </w:pPr>
      <w:r>
        <w:rPr>
          <w:rFonts w:ascii="Arial" w:cs="Arial" w:eastAsia="Arial" w:hAnsi="Arial"/>
          <w:sz w:val="22"/>
          <w:szCs w:val="22"/>
        </w:rPr>
        <w:t xml:space="preserve">Later design documents must cite this record if they quote “a threat can be anything.” That clause is not a standalone definition.</w:t>
      </w:r>
    </w:p>
    <w:p>
      <w:pPr>
        <w:pStyle w:val="Heading1"/>
      </w:pPr>
      <w:r>
        <w:t xml:space="preserve">2. Verbatim source text</w:t>
      </w:r>
    </w:p>
    <w:p>
      <w:pPr>
        <w:spacing w:after="80"/>
      </w:pPr>
      <w:r>
        <w:rPr>
          <w:rFonts w:ascii="Arial" w:cs="Arial" w:eastAsia="Arial" w:hAnsi="Arial"/>
          <w:i/>
          <w:iCs/>
          <w:color w:val="5A6570"/>
          <w:sz w:val="20"/>
          <w:szCs w:val="20"/>
        </w:rPr>
        <w:t xml:space="preserve">The following is the Architect’s original statement, transcribed as provided.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4"/>
              <w:left w:val="single" w:color="CCCCCC" w:sz="4"/>
              <w:bottom w:val="single" w:color="CCCCCC" w:sz="4"/>
              <w:right w:val="single" w:color="CCCCCC" w:sz="4"/>
            </w:tcBorders>
            <w:shd w:fill="1B365D" w:val="clear"/>
            <w:tcMar>
              <w:top w:type="dxa" w:w="60"/>
              <w:left w:type="dxa" w:w="80"/>
              <w:bottom w:type="dxa" w:w="60"/>
              <w:right w:type="dxa" w:w="80"/>
            </w:tcMar>
            <w:vAlign w:val="top"/>
          </w:tcPr>
          <w:p>
            <w:pPr>
              <w:jc w:val="left"/>
            </w:pPr>
            <w:r>
              <w:rPr>
                <w:rFonts w:ascii="Arial" w:cs="Arial" w:eastAsia="Arial" w:hAnsi="Arial"/>
                <w:b/>
                <w:bCs/>
                <w:i w:val="false"/>
                <w:iCs w:val="false"/>
                <w:color w:val="FFFFFF"/>
                <w:sz w:val="18"/>
                <w:szCs w:val="18"/>
              </w:rPr>
              <w:t xml:space="preserve">SOURCE BLOCK A — Research thread</w:t>
            </w:r>
          </w:p>
        </w:tc>
      </w:tr>
      <w:tr>
        <w:tc>
          <w:tcPr>
            <w:tcW w:type="dxa" w:w="9360"/>
            <w:tcBorders>
              <w:top w:val="single" w:color="CCCCCC" w:sz="4"/>
              <w:left w:val="single" w:color="CCCCCC" w:sz="4"/>
              <w:bottom w:val="single" w:color="CCCCCC" w:sz="4"/>
              <w:right w:val="single" w:color="CCCCCC" w:sz="4"/>
            </w:tcBorders>
            <w:shd w:fill="F4F1EA" w:val="clear"/>
            <w:tcMar>
              <w:top w:type="dxa" w:w="120"/>
              <w:left w:type="dxa" w:w="140"/>
              <w:bottom w:type="dxa" w:w="120"/>
              <w:right w:type="dxa" w:w="140"/>
            </w:tcMar>
          </w:tcPr>
          <w:p>
            <w:pPr>
              <w:spacing w:after="160"/>
            </w:pPr>
            <w:r>
              <w:rPr>
                <w:rFonts w:ascii="Arial" w:cs="Arial" w:eastAsia="Arial" w:hAnsi="Arial"/>
                <w:sz w:val="22"/>
                <w:szCs w:val="22"/>
              </w:rPr>
              <w:t xml:space="preserve">From Control flow to biological evolution and advancement, environmental sensation, awareness, and threat detection.</w:t>
            </w:r>
          </w:p>
          <w:p>
            <w:pPr>
              <w:spacing w:after="160"/>
            </w:pPr>
            <w:r>
              <w:rPr>
                <w:rFonts w:ascii="Arial" w:cs="Arial" w:eastAsia="Arial" w:hAnsi="Arial"/>
                <w:sz w:val="22"/>
                <w:szCs w:val="22"/>
              </w:rPr>
              <w:t xml:space="preserve">So my research questions is essentially how does an organism sense its environment and know what’s around it? How does this relate to temporal integrity and presentation state integrity? And how are you able to sort out discrepancies between what is presented, what the environment states, and your current state to reconcile them? How does an entiry recognize a threat in an environment, how does it recognize what it can and cannot eat, how does it recognize a toxin, a poison, some other danger? How does it build a map that is reliable when the foundation is based on unreliable information? How do we test for this?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4"/>
              <w:left w:val="single" w:color="CCCCCC" w:sz="4"/>
              <w:bottom w:val="single" w:color="CCCCCC" w:sz="4"/>
              <w:right w:val="single" w:color="CCCCCC" w:sz="4"/>
            </w:tcBorders>
            <w:shd w:fill="1B365D" w:val="clear"/>
            <w:tcMar>
              <w:top w:type="dxa" w:w="60"/>
              <w:left w:type="dxa" w:w="80"/>
              <w:bottom w:type="dxa" w:w="60"/>
              <w:right w:type="dxa" w:w="80"/>
            </w:tcMar>
            <w:vAlign w:val="top"/>
          </w:tcPr>
          <w:p>
            <w:pPr>
              <w:jc w:val="left"/>
            </w:pPr>
            <w:r>
              <w:rPr>
                <w:rFonts w:ascii="Arial" w:cs="Arial" w:eastAsia="Arial" w:hAnsi="Arial"/>
                <w:b/>
                <w:bCs/>
                <w:i w:val="false"/>
                <w:iCs w:val="false"/>
                <w:color w:val="FFFFFF"/>
                <w:sz w:val="18"/>
                <w:szCs w:val="18"/>
              </w:rPr>
              <w:t xml:space="preserve">SOURCE BLOCK B — Laboratory aim</w:t>
            </w:r>
          </w:p>
        </w:tc>
      </w:tr>
      <w:tr>
        <w:tc>
          <w:tcPr>
            <w:tcW w:type="dxa" w:w="9360"/>
            <w:tcBorders>
              <w:top w:val="single" w:color="CCCCCC" w:sz="4"/>
              <w:left w:val="single" w:color="CCCCCC" w:sz="4"/>
              <w:bottom w:val="single" w:color="CCCCCC" w:sz="4"/>
              <w:right w:val="single" w:color="CCCCCC" w:sz="4"/>
            </w:tcBorders>
            <w:shd w:fill="F4F1EA" w:val="clear"/>
            <w:tcMar>
              <w:top w:type="dxa" w:w="120"/>
              <w:left w:type="dxa" w:w="140"/>
              <w:bottom w:type="dxa" w:w="120"/>
              <w:right w:type="dxa" w:w="140"/>
            </w:tcMar>
          </w:tcPr>
          <w:p>
            <w:pPr>
              <w:spacing w:after="160"/>
            </w:pPr>
            <w:r>
              <w:rPr>
                <w:rFonts w:ascii="Arial" w:cs="Arial" w:eastAsia="Arial" w:hAnsi="Arial"/>
                <w:sz w:val="22"/>
                <w:szCs w:val="22"/>
              </w:rPr>
              <w:t xml:space="preserve">The lab aims to assert a poison, toxin, corrosive laboratory that tests how this is discerned by an entity within an environment. It doesn’t assume all entities use the same sensory apparatus.</w:t>
            </w:r>
          </w:p>
          <w:p>
            <w:pPr>
              <w:spacing w:after="0"/>
            </w:pPr>
            <w:r>
              <w:rPr>
                <w:rFonts w:ascii="Arial" w:cs="Arial" w:eastAsia="Arial" w:hAnsi="Arial"/>
                <w:sz w:val="22"/>
                <w:szCs w:val="22"/>
              </w:rPr>
              <w:t xml:space="preserve">The assumption here is not that every organism uses five senses, that five senses are universal in environments, that they are perfectly evolved, adapted, or used as a representation for all Laboratory environments.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4"/>
              <w:left w:val="single" w:color="CCCCCC" w:sz="4"/>
              <w:bottom w:val="single" w:color="CCCCCC" w:sz="4"/>
              <w:right w:val="single" w:color="CCCCCC" w:sz="4"/>
            </w:tcBorders>
            <w:shd w:fill="1B365D" w:val="clear"/>
            <w:tcMar>
              <w:top w:type="dxa" w:w="60"/>
              <w:left w:type="dxa" w:w="80"/>
              <w:bottom w:type="dxa" w:w="60"/>
              <w:right w:type="dxa" w:w="80"/>
            </w:tcMar>
            <w:vAlign w:val="top"/>
          </w:tcPr>
          <w:p>
            <w:pPr>
              <w:jc w:val="left"/>
            </w:pPr>
            <w:r>
              <w:rPr>
                <w:rFonts w:ascii="Arial" w:cs="Arial" w:eastAsia="Arial" w:hAnsi="Arial"/>
                <w:b/>
                <w:bCs/>
                <w:i w:val="false"/>
                <w:iCs w:val="false"/>
                <w:color w:val="FFFFFF"/>
                <w:sz w:val="18"/>
                <w:szCs w:val="18"/>
              </w:rPr>
              <w:t xml:space="preserve">SOURCE BLOCK C — Threat-scope statement (the disputed passage)</w:t>
            </w:r>
          </w:p>
        </w:tc>
      </w:tr>
      <w:tr>
        <w:tc>
          <w:tcPr>
            <w:tcW w:type="dxa" w:w="9360"/>
            <w:tcBorders>
              <w:top w:val="single" w:color="CCCCCC" w:sz="4"/>
              <w:left w:val="single" w:color="CCCCCC" w:sz="4"/>
              <w:bottom w:val="single" w:color="CCCCCC" w:sz="4"/>
              <w:right w:val="single" w:color="CCCCCC" w:sz="4"/>
            </w:tcBorders>
            <w:shd w:fill="E8F3EA" w:val="clear"/>
            <w:tcMar>
              <w:top w:type="dxa" w:w="120"/>
              <w:left w:type="dxa" w:w="140"/>
              <w:bottom w:type="dxa" w:w="120"/>
              <w:right w:type="dxa" w:w="140"/>
            </w:tcMar>
          </w:tcPr>
          <w:p>
            <w:pPr>
              <w:spacing w:after="80"/>
            </w:pPr>
            <w:r>
              <w:rPr>
                <w:rFonts w:ascii="Arial" w:cs="Arial" w:eastAsia="Arial" w:hAnsi="Arial"/>
                <w:sz w:val="22"/>
                <w:szCs w:val="22"/>
              </w:rPr>
              <w:t xml:space="preserve">What is a threat? A threat can be anything. This laboratory doesn’t assume every entity in an environment is a threat, that all environments have threats happening all the time, that all threats are detectable, discernable, or knowable, or can be addressed, and this laboratory doesn’t seem to discover and test for all threats.</w:t>
            </w:r>
          </w:p>
          <w:p>
            <w:pPr>
              <w:spacing w:before="80"/>
            </w:pPr>
            <w:r>
              <w:rPr>
                <w:rFonts w:ascii="Arial" w:cs="Arial" w:eastAsia="Arial" w:hAnsi="Arial"/>
                <w:i/>
                <w:iCs/>
                <w:color w:val="5A6570"/>
                <w:sz w:val="20"/>
                <w:szCs w:val="20"/>
              </w:rPr>
              <w:t xml:space="preserve">Reading rule: “A threat can be anything” is the opening clause of a bounded refusal. It is immediately followed by four negative limits. It is not an invitation to treat every change as harm, nor an unbounded operational definition.</w:t>
            </w:r>
          </w:p>
        </w:tc>
      </w:tr>
    </w:tbl>
    <w:p>
      <w:pPr>
        <w:pStyle w:val="Heading1"/>
      </w:pPr>
      <w:r>
        <w:t xml:space="preserve">3. Transcription notes on the source itself</w:t>
      </w:r>
    </w:p>
    <w:p>
      <w:pPr>
        <w:spacing w:after="80"/>
      </w:pPr>
      <w:r>
        <w:rPr>
          <w:rFonts w:ascii="Arial" w:cs="Arial" w:eastAsia="Arial" w:hAnsi="Arial"/>
          <w:sz w:val="22"/>
          <w:szCs w:val="22"/>
        </w:rPr>
        <w:t xml:space="preserve">These are source-text artifacts, not later-draft discrepancies. They are recorded so later editors do not “correct” them silently.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gridSpan w:val="1"/>
            <w:tcBorders>
              <w:top w:val="single" w:color="CCCCCC" w:sz="4"/>
              <w:left w:val="single" w:color="CCCCCC" w:sz="4"/>
              <w:bottom w:val="single" w:color="CCCCCC" w:sz="4"/>
              <w:right w:val="single" w:color="CCCCCC" w:sz="4"/>
            </w:tcBorders>
            <w:shd w:fill="E8EEF4" w:val="clear"/>
            <w:tcMar>
              <w:top w:type="dxa" w:w="60"/>
              <w:left w:type="dxa" w:w="80"/>
              <w:bottom w:type="dxa" w:w="60"/>
              <w:right w:type="dxa" w:w="80"/>
            </w:tcMar>
            <w:vAlign w:val="top"/>
          </w:tcPr>
          <w:p>
            <w:pPr>
              <w:jc w:val="left"/>
            </w:pPr>
            <w:r>
              <w:rPr>
                <w:rFonts w:ascii="Arial" w:cs="Arial" w:eastAsia="Arial" w:hAnsi="Arial"/>
                <w:b/>
                <w:bCs/>
                <w:i w:val="false"/>
                <w:iCs w:val="false"/>
                <w:color w:val="222222"/>
                <w:sz w:val="18"/>
                <w:szCs w:val="18"/>
              </w:rPr>
              <w:t xml:space="preserve">Location</w:t>
            </w:r>
          </w:p>
        </w:tc>
        <w:tc>
          <w:tcPr>
            <w:tcW w:type="dxa" w:w="3580"/>
            <w:gridSpan w:val="1"/>
            <w:tcBorders>
              <w:top w:val="single" w:color="CCCCCC" w:sz="4"/>
              <w:left w:val="single" w:color="CCCCCC" w:sz="4"/>
              <w:bottom w:val="single" w:color="CCCCCC" w:sz="4"/>
              <w:right w:val="single" w:color="CCCCCC" w:sz="4"/>
            </w:tcBorders>
            <w:shd w:fill="E8EEF4" w:val="clear"/>
            <w:tcMar>
              <w:top w:type="dxa" w:w="60"/>
              <w:left w:type="dxa" w:w="80"/>
              <w:bottom w:type="dxa" w:w="60"/>
              <w:right w:type="dxa" w:w="80"/>
            </w:tcMar>
            <w:vAlign w:val="top"/>
          </w:tcPr>
          <w:p>
            <w:pPr>
              <w:jc w:val="left"/>
            </w:pPr>
            <w:r>
              <w:rPr>
                <w:rFonts w:ascii="Arial" w:cs="Arial" w:eastAsia="Arial" w:hAnsi="Arial"/>
                <w:b/>
                <w:bCs/>
                <w:i w:val="false"/>
                <w:iCs w:val="false"/>
                <w:color w:val="222222"/>
                <w:sz w:val="18"/>
                <w:szCs w:val="18"/>
              </w:rPr>
              <w:t xml:space="preserve">As written</w:t>
            </w:r>
          </w:p>
        </w:tc>
        <w:tc>
          <w:tcPr>
            <w:tcW w:type="dxa" w:w="3580"/>
            <w:gridSpan w:val="1"/>
            <w:tcBorders>
              <w:top w:val="single" w:color="CCCCCC" w:sz="4"/>
              <w:left w:val="single" w:color="CCCCCC" w:sz="4"/>
              <w:bottom w:val="single" w:color="CCCCCC" w:sz="4"/>
              <w:right w:val="single" w:color="CCCCCC" w:sz="4"/>
            </w:tcBorders>
            <w:shd w:fill="E8EEF4" w:val="clear"/>
            <w:tcMar>
              <w:top w:type="dxa" w:w="60"/>
              <w:left w:type="dxa" w:w="80"/>
              <w:bottom w:type="dxa" w:w="60"/>
              <w:right w:type="dxa" w:w="80"/>
            </w:tcMar>
            <w:vAlign w:val="top"/>
          </w:tcPr>
          <w:p>
            <w:pPr>
              <w:jc w:val="left"/>
            </w:pPr>
            <w:r>
              <w:rPr>
                <w:rFonts w:ascii="Arial" w:cs="Arial" w:eastAsia="Arial" w:hAnsi="Arial"/>
                <w:b/>
                <w:bCs/>
                <w:i w:val="false"/>
                <w:iCs w:val="false"/>
                <w:color w:val="222222"/>
                <w:sz w:val="18"/>
                <w:szCs w:val="18"/>
              </w:rPr>
              <w:t xml:space="preserve">Note</w:t>
            </w:r>
          </w:p>
        </w:tc>
      </w:tr>
      <w:tr>
        <w:tc>
          <w:tcPr>
            <w:tcW w:type="dxa" w:w="2200"/>
            <w:gridSpan w:val="1"/>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jc w:val="left"/>
            </w:pPr>
            <w:r>
              <w:rPr>
                <w:rFonts w:ascii="Arial" w:cs="Arial" w:eastAsia="Arial" w:hAnsi="Arial"/>
                <w:b w:val="false"/>
                <w:bCs w:val="false"/>
                <w:i w:val="false"/>
                <w:iCs w:val="false"/>
                <w:color w:val="222222"/>
                <w:sz w:val="18"/>
                <w:szCs w:val="18"/>
              </w:rPr>
              <w:t xml:space="preserve">Block A</w:t>
            </w:r>
          </w:p>
        </w:tc>
        <w:tc>
          <w:tcPr>
            <w:tcW w:type="dxa" w:w="3580"/>
            <w:gridSpan w:val="1"/>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jc w:val="left"/>
            </w:pPr>
            <w:r>
              <w:rPr>
                <w:rFonts w:ascii="Arial" w:cs="Arial" w:eastAsia="Arial" w:hAnsi="Arial"/>
                <w:b w:val="false"/>
                <w:bCs w:val="false"/>
                <w:i/>
                <w:iCs/>
                <w:color w:val="222222"/>
                <w:sz w:val="18"/>
                <w:szCs w:val="18"/>
              </w:rPr>
              <w:t xml:space="preserve">“my research questions is”</w:t>
            </w:r>
          </w:p>
        </w:tc>
        <w:tc>
          <w:tcPr>
            <w:tcW w:type="dxa" w:w="3580"/>
            <w:gridSpan w:val="1"/>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jc w:val="left"/>
            </w:pPr>
            <w:r>
              <w:rPr>
                <w:rFonts w:ascii="Arial" w:cs="Arial" w:eastAsia="Arial" w:hAnsi="Arial"/>
                <w:b w:val="false"/>
                <w:bCs w:val="false"/>
                <w:i w:val="false"/>
                <w:iCs w:val="false"/>
                <w:color w:val="222222"/>
                <w:sz w:val="18"/>
                <w:szCs w:val="18"/>
              </w:rPr>
              <w:t xml:space="preserve">Singular verb retained. Do not silently correct.</w:t>
            </w:r>
          </w:p>
        </w:tc>
      </w:tr>
      <w:tr>
        <w:tc>
          <w:tcPr>
            <w:tcW w:type="dxa" w:w="2200"/>
            <w:gridSpan w:val="1"/>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jc w:val="left"/>
            </w:pPr>
            <w:r>
              <w:rPr>
                <w:rFonts w:ascii="Arial" w:cs="Arial" w:eastAsia="Arial" w:hAnsi="Arial"/>
                <w:b w:val="false"/>
                <w:bCs w:val="false"/>
                <w:i w:val="false"/>
                <w:iCs w:val="false"/>
                <w:color w:val="222222"/>
                <w:sz w:val="18"/>
                <w:szCs w:val="18"/>
              </w:rPr>
              <w:t xml:space="preserve">Block A</w:t>
            </w:r>
          </w:p>
        </w:tc>
        <w:tc>
          <w:tcPr>
            <w:tcW w:type="dxa" w:w="3580"/>
            <w:gridSpan w:val="1"/>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jc w:val="left"/>
            </w:pPr>
            <w:r>
              <w:rPr>
                <w:rFonts w:ascii="Arial" w:cs="Arial" w:eastAsia="Arial" w:hAnsi="Arial"/>
                <w:b w:val="false"/>
                <w:bCs w:val="false"/>
                <w:i/>
                <w:iCs/>
                <w:color w:val="222222"/>
                <w:sz w:val="18"/>
                <w:szCs w:val="18"/>
              </w:rPr>
              <w:t xml:space="preserve">“entiry”</w:t>
            </w:r>
          </w:p>
        </w:tc>
        <w:tc>
          <w:tcPr>
            <w:tcW w:type="dxa" w:w="3580"/>
            <w:gridSpan w:val="1"/>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jc w:val="left"/>
            </w:pPr>
            <w:r>
              <w:rPr>
                <w:rFonts w:ascii="Arial" w:cs="Arial" w:eastAsia="Arial" w:hAnsi="Arial"/>
                <w:b w:val="false"/>
                <w:bCs w:val="false"/>
                <w:i w:val="false"/>
                <w:iCs w:val="false"/>
                <w:color w:val="222222"/>
                <w:sz w:val="18"/>
                <w:szCs w:val="18"/>
              </w:rPr>
              <w:t xml:space="preserve">Spelling retained as written. Later drafts used “entity.”</w:t>
            </w:r>
          </w:p>
        </w:tc>
      </w:tr>
      <w:tr>
        <w:tc>
          <w:tcPr>
            <w:tcW w:type="dxa" w:w="2200"/>
            <w:gridSpan w:val="1"/>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jc w:val="left"/>
            </w:pPr>
            <w:r>
              <w:rPr>
                <w:rFonts w:ascii="Arial" w:cs="Arial" w:eastAsia="Arial" w:hAnsi="Arial"/>
                <w:b w:val="false"/>
                <w:bCs w:val="false"/>
                <w:i w:val="false"/>
                <w:iCs w:val="false"/>
                <w:color w:val="222222"/>
                <w:sz w:val="18"/>
                <w:szCs w:val="18"/>
              </w:rPr>
              <w:t xml:space="preserve">Block C</w:t>
            </w:r>
          </w:p>
        </w:tc>
        <w:tc>
          <w:tcPr>
            <w:tcW w:type="dxa" w:w="3580"/>
            <w:gridSpan w:val="1"/>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jc w:val="left"/>
            </w:pPr>
            <w:r>
              <w:rPr>
                <w:rFonts w:ascii="Arial" w:cs="Arial" w:eastAsia="Arial" w:hAnsi="Arial"/>
                <w:b w:val="false"/>
                <w:bCs w:val="false"/>
                <w:i/>
                <w:iCs/>
                <w:color w:val="222222"/>
                <w:sz w:val="18"/>
                <w:szCs w:val="18"/>
              </w:rPr>
              <w:t xml:space="preserve">“doesn’t seem to discover and test for all threats”</w:t>
            </w:r>
          </w:p>
        </w:tc>
        <w:tc>
          <w:tcPr>
            <w:tcW w:type="dxa" w:w="3580"/>
            <w:gridSpan w:val="1"/>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jc w:val="left"/>
            </w:pPr>
            <w:r>
              <w:rPr>
                <w:rFonts w:ascii="Arial" w:cs="Arial" w:eastAsia="Arial" w:hAnsi="Arial"/>
                <w:b w:val="false"/>
                <w:bCs w:val="false"/>
                <w:i w:val="false"/>
                <w:iCs w:val="false"/>
                <w:color w:val="222222"/>
                <w:sz w:val="18"/>
                <w:szCs w:val="18"/>
              </w:rPr>
              <w:t xml:space="preserve">As supplied. Saved memory phrasing used “doesn’t assume it can discover and test for all threats.” Both are recorded; this file privileges the text supplied in this request.</w:t>
            </w:r>
          </w:p>
        </w:tc>
      </w:tr>
    </w:tbl>
    <w:p>
      <w:pPr>
        <w:pStyle w:val="Heading1"/>
      </w:pPr>
      <w:r>
        <w:t xml:space="preserve">4. Discrepancy notation</w:t>
      </w:r>
    </w:p>
    <w:p>
      <w:pPr>
        <w:pStyle w:val="Heading2"/>
      </w:pPr>
      <w:r>
        <w:t xml:space="preserve">4.1 What later drafts did</w:t>
      </w:r>
    </w:p>
    <w:p>
      <w:pPr>
        <w:spacing w:after="120"/>
      </w:pPr>
      <w:r>
        <w:rPr>
          <w:rFonts w:ascii="Arial" w:cs="Arial" w:eastAsia="Arial" w:hAnsi="Arial"/>
          <w:sz w:val="22"/>
          <w:szCs w:val="22"/>
        </w:rPr>
        <w:t xml:space="preserve">Both the Grok independent foundational draft and the Perplexity independent draft isolated the clause “a threat can be anything” and treated that fragment as a design fault or an unlimited operational definition. The surrounding negative limits from Source Block C were not carried as part of the same unit.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gridSpan w:val="1"/>
            <w:tcBorders>
              <w:top w:val="single" w:color="CCCCCC" w:sz="4"/>
              <w:left w:val="single" w:color="CCCCCC" w:sz="4"/>
              <w:bottom w:val="single" w:color="CCCCCC" w:sz="4"/>
              <w:right w:val="single" w:color="CCCCCC" w:sz="4"/>
            </w:tcBorders>
            <w:shd w:fill="E8EEF4" w:val="clear"/>
            <w:tcMar>
              <w:top w:type="dxa" w:w="60"/>
              <w:left w:type="dxa" w:w="80"/>
              <w:bottom w:type="dxa" w:w="60"/>
              <w:right w:type="dxa" w:w="80"/>
            </w:tcMar>
            <w:vAlign w:val="top"/>
          </w:tcPr>
          <w:p>
            <w:pPr>
              <w:jc w:val="left"/>
            </w:pPr>
            <w:r>
              <w:rPr>
                <w:rFonts w:ascii="Arial" w:cs="Arial" w:eastAsia="Arial" w:hAnsi="Arial"/>
                <w:b/>
                <w:bCs/>
                <w:i w:val="false"/>
                <w:iCs w:val="false"/>
                <w:color w:val="222222"/>
                <w:sz w:val="18"/>
                <w:szCs w:val="18"/>
              </w:rPr>
              <w:t xml:space="preserve">Draft</w:t>
            </w:r>
          </w:p>
        </w:tc>
        <w:tc>
          <w:tcPr>
            <w:tcW w:type="dxa" w:w="3680"/>
            <w:gridSpan w:val="1"/>
            <w:tcBorders>
              <w:top w:val="single" w:color="CCCCCC" w:sz="4"/>
              <w:left w:val="single" w:color="CCCCCC" w:sz="4"/>
              <w:bottom w:val="single" w:color="CCCCCC" w:sz="4"/>
              <w:right w:val="single" w:color="CCCCCC" w:sz="4"/>
            </w:tcBorders>
            <w:shd w:fill="E8EEF4" w:val="clear"/>
            <w:tcMar>
              <w:top w:type="dxa" w:w="60"/>
              <w:left w:type="dxa" w:w="80"/>
              <w:bottom w:type="dxa" w:w="60"/>
              <w:right w:type="dxa" w:w="80"/>
            </w:tcMar>
            <w:vAlign w:val="top"/>
          </w:tcPr>
          <w:p>
            <w:pPr>
              <w:jc w:val="left"/>
            </w:pPr>
            <w:r>
              <w:rPr>
                <w:rFonts w:ascii="Arial" w:cs="Arial" w:eastAsia="Arial" w:hAnsi="Arial"/>
                <w:b/>
                <w:bCs/>
                <w:i w:val="false"/>
                <w:iCs w:val="false"/>
                <w:color w:val="222222"/>
                <w:sz w:val="18"/>
                <w:szCs w:val="18"/>
              </w:rPr>
              <w:t xml:space="preserve">How the clause appears</w:t>
            </w:r>
          </w:p>
        </w:tc>
        <w:tc>
          <w:tcPr>
            <w:tcW w:type="dxa" w:w="3680"/>
            <w:gridSpan w:val="1"/>
            <w:tcBorders>
              <w:top w:val="single" w:color="CCCCCC" w:sz="4"/>
              <w:left w:val="single" w:color="CCCCCC" w:sz="4"/>
              <w:bottom w:val="single" w:color="CCCCCC" w:sz="4"/>
              <w:right w:val="single" w:color="CCCCCC" w:sz="4"/>
            </w:tcBorders>
            <w:shd w:fill="E8EEF4" w:val="clear"/>
            <w:tcMar>
              <w:top w:type="dxa" w:w="60"/>
              <w:left w:type="dxa" w:w="80"/>
              <w:bottom w:type="dxa" w:w="60"/>
              <w:right w:type="dxa" w:w="80"/>
            </w:tcMar>
            <w:vAlign w:val="top"/>
          </w:tcPr>
          <w:p>
            <w:pPr>
              <w:jc w:val="left"/>
            </w:pPr>
            <w:r>
              <w:rPr>
                <w:rFonts w:ascii="Arial" w:cs="Arial" w:eastAsia="Arial" w:hAnsi="Arial"/>
                <w:b/>
                <w:bCs/>
                <w:i w:val="false"/>
                <w:iCs w:val="false"/>
                <w:color w:val="222222"/>
                <w:sz w:val="18"/>
                <w:szCs w:val="18"/>
              </w:rPr>
              <w:t xml:space="preserve">What is missing from the same unit</w:t>
            </w:r>
          </w:p>
        </w:tc>
      </w:tr>
      <w:tr>
        <w:tc>
          <w:tcPr>
            <w:tcW w:type="dxa" w:w="2000"/>
            <w:gridSpan w:val="1"/>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jc w:val="left"/>
            </w:pPr>
            <w:r>
              <w:rPr>
                <w:rFonts w:ascii="Arial" w:cs="Arial" w:eastAsia="Arial" w:hAnsi="Arial"/>
                <w:b w:val="false"/>
                <w:bCs w:val="false"/>
                <w:i w:val="false"/>
                <w:iCs w:val="false"/>
                <w:color w:val="222222"/>
                <w:sz w:val="18"/>
                <w:szCs w:val="18"/>
              </w:rPr>
              <w:t xml:space="preserve">Grok independent version, §8.1 Conceptual faults</w:t>
            </w:r>
          </w:p>
        </w:tc>
        <w:tc>
          <w:tcPr>
            <w:tcW w:type="dxa" w:w="3680"/>
            <w:gridSpan w:val="1"/>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jc w:val="left"/>
            </w:pPr>
            <w:r>
              <w:rPr>
                <w:rFonts w:ascii="Arial" w:cs="Arial" w:eastAsia="Arial" w:hAnsi="Arial"/>
                <w:b w:val="false"/>
                <w:bCs w:val="false"/>
                <w:i w:val="false"/>
                <w:iCs w:val="false"/>
                <w:color w:val="222222"/>
                <w:sz w:val="18"/>
                <w:szCs w:val="18"/>
              </w:rPr>
              <w:t xml:space="preserve">“Leaving ‘a threat can be anything’ as the operational definition. As metaphysics it is correct. As a protocol it is unbounded and untestable. The bound must be the trial’s EIC plus the declared condition class.”</w:t>
            </w:r>
          </w:p>
        </w:tc>
        <w:tc>
          <w:tcPr>
            <w:tcW w:type="dxa" w:w="3680"/>
            <w:gridSpan w:val="1"/>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jc w:val="left"/>
            </w:pPr>
            <w:r>
              <w:rPr>
                <w:rFonts w:ascii="Arial" w:cs="Arial" w:eastAsia="Arial" w:hAnsi="Arial"/>
                <w:b w:val="false"/>
                <w:bCs w:val="false"/>
                <w:i w:val="false"/>
                <w:iCs w:val="false"/>
                <w:color w:val="222222"/>
                <w:sz w:val="18"/>
                <w:szCs w:val="18"/>
              </w:rPr>
              <w:t xml:space="preserve">The original sentence continues immediately with laboratory non-assumptions: not every entity is a threat; threats are not constant; threats are not all detectable, discernable, knowable, or addressable; the lab does not claim to discover and test for all threats.</w:t>
            </w:r>
          </w:p>
        </w:tc>
      </w:tr>
      <w:tr>
        <w:tc>
          <w:tcPr>
            <w:tcW w:type="dxa" w:w="2000"/>
            <w:gridSpan w:val="1"/>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jc w:val="left"/>
            </w:pPr>
            <w:r>
              <w:rPr>
                <w:rFonts w:ascii="Arial" w:cs="Arial" w:eastAsia="Arial" w:hAnsi="Arial"/>
                <w:b w:val="false"/>
                <w:bCs w:val="false"/>
                <w:i w:val="false"/>
                <w:iCs w:val="false"/>
                <w:color w:val="222222"/>
                <w:sz w:val="18"/>
                <w:szCs w:val="18"/>
              </w:rPr>
              <w:t xml:space="preserve">Perplexity independent draft, “What does not yet work”</w:t>
            </w:r>
          </w:p>
        </w:tc>
        <w:tc>
          <w:tcPr>
            <w:tcW w:type="dxa" w:w="3680"/>
            <w:gridSpan w:val="1"/>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jc w:val="left"/>
            </w:pPr>
            <w:r>
              <w:rPr>
                <w:rFonts w:ascii="Arial" w:cs="Arial" w:eastAsia="Arial" w:hAnsi="Arial"/>
                <w:b w:val="false"/>
                <w:bCs w:val="false"/>
                <w:i w:val="false"/>
                <w:iCs w:val="false"/>
                <w:color w:val="222222"/>
                <w:sz w:val="18"/>
                <w:szCs w:val="18"/>
              </w:rPr>
              <w:t xml:space="preserve">Problem: “Threat can be anything” is unlimited. Why it matters: Without a protected endpoint, almost any change can be called harm.</w:t>
            </w:r>
          </w:p>
        </w:tc>
        <w:tc>
          <w:tcPr>
            <w:tcW w:type="dxa" w:w="3680"/>
            <w:gridSpan w:val="1"/>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jc w:val="left"/>
            </w:pPr>
            <w:r>
              <w:rPr>
                <w:rFonts w:ascii="Arial" w:cs="Arial" w:eastAsia="Arial" w:hAnsi="Arial"/>
                <w:b w:val="false"/>
                <w:bCs w:val="false"/>
                <w:i w:val="false"/>
                <w:iCs w:val="false"/>
                <w:color w:val="222222"/>
                <w:sz w:val="18"/>
                <w:szCs w:val="18"/>
              </w:rPr>
              <w:t xml:space="preserve">Same omission. The original text already refuses constant-threat environments, universal detectability, and exhaustive threat testing. Those refusals are the bound; they were not quoted as part of the problem statement.</w:t>
            </w:r>
          </w:p>
        </w:tc>
      </w:tr>
    </w:tbl>
    <w:p>
      <w:pPr>
        <w:pStyle w:val="Heading2"/>
      </w:pPr>
      <w:r>
        <w:t xml:space="preserve">4.2 Nature of the discrepancy</w:t>
      </w:r>
    </w:p>
    <w:p>
      <w:pPr>
        <w:spacing w:after="80"/>
      </w:pPr>
      <w:r>
        <w:rPr>
          <w:rFonts w:ascii="Arial" w:cs="Arial" w:eastAsia="Arial" w:hAnsi="Arial"/>
          <w:sz w:val="22"/>
          <w:szCs w:val="22"/>
        </w:rPr>
        <w:t xml:space="preserve">This is not a claim that the drafts invented the words. The clause exists in the source. The discrepancy is unit-of-meaning:</w:t>
      </w:r>
    </w:p>
    <w:p>
      <w:pPr>
        <w:pStyle w:val="ListParagraph"/>
        <w:numPr>
          <w:ilvl w:val="0"/>
          <w:numId w:val="2"/>
        </w:numPr>
        <w:spacing w:after="40"/>
      </w:pPr>
      <w:r>
        <w:rPr>
          <w:rFonts w:ascii="Arial" w:cs="Arial" w:eastAsia="Arial" w:hAnsi="Arial"/>
          <w:b/>
          <w:bCs/>
          <w:sz w:val="22"/>
          <w:szCs w:val="22"/>
        </w:rPr>
        <w:t xml:space="preserve">Source unit: </w:t>
      </w:r>
      <w:r>
        <w:rPr>
          <w:rFonts w:ascii="Arial" w:cs="Arial" w:eastAsia="Arial" w:hAnsi="Arial"/>
          <w:sz w:val="22"/>
          <w:szCs w:val="22"/>
        </w:rPr>
        <w:t xml:space="preserve">question (“What is a threat?”) + open clause (“A threat can be anything.”) + four laboratory limits in the same breath.</w:t>
      </w:r>
    </w:p>
    <w:p>
      <w:pPr>
        <w:pStyle w:val="ListParagraph"/>
        <w:numPr>
          <w:ilvl w:val="0"/>
          <w:numId w:val="2"/>
        </w:numPr>
        <w:spacing w:after="40"/>
      </w:pPr>
      <w:r>
        <w:rPr>
          <w:rFonts w:ascii="Arial" w:cs="Arial" w:eastAsia="Arial" w:hAnsi="Arial"/>
          <w:b/>
          <w:bCs/>
          <w:sz w:val="22"/>
          <w:szCs w:val="22"/>
        </w:rPr>
        <w:t xml:space="preserve">Draft unit: </w:t>
      </w:r>
      <w:r>
        <w:rPr>
          <w:rFonts w:ascii="Arial" w:cs="Arial" w:eastAsia="Arial" w:hAnsi="Arial"/>
          <w:sz w:val="22"/>
          <w:szCs w:val="22"/>
        </w:rPr>
        <w:t xml:space="preserve">the open clause alone, scored as an unbounded definition that later design must repair.</w:t>
      </w:r>
    </w:p>
    <w:p>
      <w:pPr>
        <w:pStyle w:val="ListParagraph"/>
        <w:numPr>
          <w:ilvl w:val="0"/>
          <w:numId w:val="2"/>
        </w:numPr>
        <w:spacing w:after="120"/>
      </w:pPr>
      <w:r>
        <w:rPr>
          <w:rFonts w:ascii="Arial" w:cs="Arial" w:eastAsia="Arial" w:hAnsi="Arial"/>
          <w:b/>
          <w:bCs/>
          <w:sz w:val="22"/>
          <w:szCs w:val="22"/>
        </w:rPr>
        <w:t xml:space="preserve">Effect: </w:t>
      </w:r>
      <w:r>
        <w:rPr>
          <w:rFonts w:ascii="Arial" w:cs="Arial" w:eastAsia="Arial" w:hAnsi="Arial"/>
          <w:sz w:val="22"/>
          <w:szCs w:val="22"/>
        </w:rPr>
        <w:t xml:space="preserve">the Architect’s limits are recoded as missing work items, so the record looks as if the source forgot bounds that were already stated.</w:t>
      </w:r>
    </w:p>
    <w:p>
      <w:pPr>
        <w:pStyle w:val="Heading2"/>
      </w:pPr>
      <w:r>
        <w:t xml:space="preserve">4.3 What the source already bound</w:t>
      </w:r>
    </w:p>
    <w:p>
      <w:pPr>
        <w:spacing w:after="80"/>
      </w:pPr>
      <w:r>
        <w:rPr>
          <w:rFonts w:ascii="Arial" w:cs="Arial" w:eastAsia="Arial" w:hAnsi="Arial"/>
          <w:sz w:val="22"/>
          <w:szCs w:val="22"/>
        </w:rPr>
        <w:t xml:space="preserve">Read as one statement, Source Block C already refuses:</w:t>
      </w:r>
    </w:p>
    <w:p>
      <w:pPr>
        <w:pStyle w:val="ListParagraph"/>
        <w:numPr>
          <w:ilvl w:val="0"/>
          <w:numId w:val="3"/>
        </w:numPr>
        <w:spacing w:after="40"/>
      </w:pPr>
      <w:r>
        <w:rPr>
          <w:rFonts w:ascii="Arial" w:cs="Arial" w:eastAsia="Arial" w:hAnsi="Arial"/>
          <w:sz w:val="22"/>
          <w:szCs w:val="22"/>
        </w:rPr>
        <w:t xml:space="preserve">Every entity in an environment is a threat.</w:t>
      </w:r>
    </w:p>
    <w:p>
      <w:pPr>
        <w:pStyle w:val="ListParagraph"/>
        <w:numPr>
          <w:ilvl w:val="0"/>
          <w:numId w:val="3"/>
        </w:numPr>
        <w:spacing w:after="40"/>
      </w:pPr>
      <w:r>
        <w:rPr>
          <w:rFonts w:ascii="Arial" w:cs="Arial" w:eastAsia="Arial" w:hAnsi="Arial"/>
          <w:sz w:val="22"/>
          <w:szCs w:val="22"/>
        </w:rPr>
        <w:t xml:space="preserve">All environments have threats happening all the time.</w:t>
      </w:r>
    </w:p>
    <w:p>
      <w:pPr>
        <w:pStyle w:val="ListParagraph"/>
        <w:numPr>
          <w:ilvl w:val="0"/>
          <w:numId w:val="3"/>
        </w:numPr>
        <w:spacing w:after="40"/>
      </w:pPr>
      <w:r>
        <w:rPr>
          <w:rFonts w:ascii="Arial" w:cs="Arial" w:eastAsia="Arial" w:hAnsi="Arial"/>
          <w:sz w:val="22"/>
          <w:szCs w:val="22"/>
        </w:rPr>
        <w:t xml:space="preserve">All threats are detectable, discernable, knowable, or addressable.</w:t>
      </w:r>
    </w:p>
    <w:p>
      <w:pPr>
        <w:pStyle w:val="ListParagraph"/>
        <w:numPr>
          <w:ilvl w:val="0"/>
          <w:numId w:val="3"/>
        </w:numPr>
        <w:spacing w:after="120"/>
      </w:pPr>
      <w:r>
        <w:rPr>
          <w:rFonts w:ascii="Arial" w:cs="Arial" w:eastAsia="Arial" w:hAnsi="Arial"/>
          <w:sz w:val="22"/>
          <w:szCs w:val="22"/>
        </w:rPr>
        <w:t xml:space="preserve">That this laboratory discovers and tests for all threats.</w:t>
      </w:r>
    </w:p>
    <w:p>
      <w:pPr>
        <w:spacing w:after="120"/>
      </w:pPr>
      <w:r>
        <w:rPr>
          <w:rFonts w:ascii="Arial" w:cs="Arial" w:eastAsia="Arial" w:hAnsi="Arial"/>
          <w:sz w:val="22"/>
          <w:szCs w:val="22"/>
        </w:rPr>
        <w:t xml:space="preserve">Those four refusals are prior constraints on design. They may still need operationalization (entity class, EIC, protected endpoints, simulation-first hazard representation). Operationalization is not the same as claiming the source left the clause unlimited.</w:t>
      </w:r>
    </w:p>
    <w:p>
      <w:pPr>
        <w:pStyle w:val="Heading2"/>
      </w:pPr>
      <w:r>
        <w:t xml:space="preserve">4.4 What remains legitimate later-draft work</w:t>
      </w:r>
    </w:p>
    <w:p>
      <w:pPr>
        <w:spacing w:after="80"/>
      </w:pPr>
      <w:r>
        <w:rPr>
          <w:rFonts w:ascii="Arial" w:cs="Arial" w:eastAsia="Arial" w:hAnsi="Arial"/>
          <w:sz w:val="22"/>
          <w:szCs w:val="22"/>
        </w:rPr>
        <w:t xml:space="preserve">This record does not throw out the drafts’ other blockers. The following can still stand without rewriting Source Block C:</w:t>
      </w:r>
    </w:p>
    <w:p>
      <w:pPr>
        <w:pStyle w:val="ListParagraph"/>
        <w:numPr>
          <w:ilvl w:val="0"/>
          <w:numId w:val="2"/>
        </w:numPr>
        <w:spacing w:after="40"/>
      </w:pPr>
      <w:r>
        <w:rPr>
          <w:rFonts w:ascii="Arial" w:cs="Arial" w:eastAsia="Arial" w:hAnsi="Arial"/>
          <w:sz w:val="22"/>
          <w:szCs w:val="22"/>
        </w:rPr>
        <w:t xml:space="preserve">Entity class for series 1 is undecided.</w:t>
      </w:r>
    </w:p>
    <w:p>
      <w:pPr>
        <w:pStyle w:val="ListParagraph"/>
        <w:numPr>
          <w:ilvl w:val="0"/>
          <w:numId w:val="2"/>
        </w:numPr>
        <w:spacing w:after="40"/>
      </w:pPr>
      <w:r>
        <w:rPr>
          <w:rFonts w:ascii="Arial" w:cs="Arial" w:eastAsia="Arial" w:hAnsi="Arial"/>
          <w:sz w:val="22"/>
          <w:szCs w:val="22"/>
        </w:rPr>
        <w:t xml:space="preserve">An explicit integrity criterion / protected endpoint is still required before scoring “threat detected.”</w:t>
      </w:r>
    </w:p>
    <w:p>
      <w:pPr>
        <w:pStyle w:val="ListParagraph"/>
        <w:numPr>
          <w:ilvl w:val="0"/>
          <w:numId w:val="2"/>
        </w:numPr>
        <w:spacing w:after="40"/>
      </w:pPr>
      <w:r>
        <w:rPr>
          <w:rFonts w:ascii="Arial" w:cs="Arial" w:eastAsia="Arial" w:hAnsi="Arial"/>
          <w:sz w:val="22"/>
          <w:szCs w:val="22"/>
        </w:rPr>
        <w:t xml:space="preserve">Poison, toxin, and corrosive are not interchangeable classes.</w:t>
      </w:r>
    </w:p>
    <w:p>
      <w:pPr>
        <w:pStyle w:val="ListParagraph"/>
        <w:numPr>
          <w:ilvl w:val="0"/>
          <w:numId w:val="2"/>
        </w:numPr>
        <w:spacing w:after="40"/>
      </w:pPr>
      <w:r>
        <w:rPr>
          <w:rFonts w:ascii="Arial" w:cs="Arial" w:eastAsia="Arial" w:hAnsi="Arial"/>
          <w:sz w:val="22"/>
          <w:szCs w:val="22"/>
        </w:rPr>
        <w:t xml:space="preserve">Five-sense defaulting is refused in the source and should stay refused.</w:t>
      </w:r>
    </w:p>
    <w:p>
      <w:pPr>
        <w:pStyle w:val="ListParagraph"/>
        <w:numPr>
          <w:ilvl w:val="0"/>
          <w:numId w:val="2"/>
        </w:numPr>
        <w:spacing w:after="120"/>
      </w:pPr>
      <w:r>
        <w:rPr>
          <w:rFonts w:ascii="Arial" w:cs="Arial" w:eastAsia="Arial" w:hAnsi="Arial"/>
          <w:sz w:val="22"/>
          <w:szCs w:val="22"/>
        </w:rPr>
        <w:t xml:space="preserve">Chat saves are not version control; this file exists for that reason.</w:t>
      </w:r>
    </w:p>
    <w:p>
      <w:pPr>
        <w:pStyle w:val="Heading1"/>
      </w:pPr>
      <w:r>
        <w:t xml:space="preserve">5. Binding instruction for later versions</w:t>
      </w:r>
    </w:p>
    <w:p>
      <w:pPr>
        <w:pStyle w:val="ListParagraph"/>
        <w:numPr>
          <w:ilvl w:val="0"/>
          <w:numId w:val="3"/>
        </w:numPr>
        <w:spacing w:after="60"/>
      </w:pPr>
      <w:r>
        <w:rPr>
          <w:rFonts w:ascii="Arial" w:cs="Arial" w:eastAsia="Arial" w:hAnsi="Arial"/>
          <w:sz w:val="22"/>
          <w:szCs w:val="22"/>
        </w:rPr>
        <w:t xml:space="preserve">If a draft quotes “a threat can be anything,” it must quote Source Block C as a whole or footnote this record.</w:t>
      </w:r>
    </w:p>
    <w:p>
      <w:pPr>
        <w:pStyle w:val="ListParagraph"/>
        <w:numPr>
          <w:ilvl w:val="0"/>
          <w:numId w:val="3"/>
        </w:numPr>
        <w:spacing w:after="60"/>
      </w:pPr>
      <w:r>
        <w:rPr>
          <w:rFonts w:ascii="Arial" w:cs="Arial" w:eastAsia="Arial" w:hAnsi="Arial"/>
          <w:sz w:val="22"/>
          <w:szCs w:val="22"/>
        </w:rPr>
        <w:t xml:space="preserve">Do not list the open clause as a conceptual fault without also listing the four refusals that follow it.</w:t>
      </w:r>
    </w:p>
    <w:p>
      <w:pPr>
        <w:pStyle w:val="ListParagraph"/>
        <w:numPr>
          <w:ilvl w:val="0"/>
          <w:numId w:val="3"/>
        </w:numPr>
        <w:spacing w:after="60"/>
      </w:pPr>
      <w:r>
        <w:rPr>
          <w:rFonts w:ascii="Arial" w:cs="Arial" w:eastAsia="Arial" w:hAnsi="Arial"/>
          <w:sz w:val="22"/>
          <w:szCs w:val="22"/>
        </w:rPr>
        <w:t xml:space="preserve">If a later protocol needs a tighter operational definition of threat, mark that as a design decision layered on top of Block C, not as a correction of missing source text.</w:t>
      </w:r>
    </w:p>
    <w:p>
      <w:pPr>
        <w:pStyle w:val="ListParagraph"/>
        <w:numPr>
          <w:ilvl w:val="0"/>
          <w:numId w:val="3"/>
        </w:numPr>
        <w:spacing w:after="120"/>
      </w:pPr>
      <w:r>
        <w:rPr>
          <w:rFonts w:ascii="Arial" w:cs="Arial" w:eastAsia="Arial" w:hAnsi="Arial"/>
          <w:sz w:val="22"/>
          <w:szCs w:val="22"/>
        </w:rPr>
        <w:t xml:space="preserve">Sensory non-universality (Block B) remains a standing constraint and is not optional framing.</w:t>
      </w:r>
    </w:p>
    <w:p>
      <w:pPr>
        <w:pStyle w:val="Heading1"/>
      </w:pPr>
      <w:r>
        <w:t xml:space="preserve">6. Chain of custody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gridSpan w:val="1"/>
            <w:tcBorders>
              <w:top w:val="single" w:color="CCCCCC" w:sz="4"/>
              <w:left w:val="single" w:color="CCCCCC" w:sz="4"/>
              <w:bottom w:val="single" w:color="CCCCCC" w:sz="4"/>
              <w:right w:val="single" w:color="CCCCCC" w:sz="4"/>
            </w:tcBorders>
            <w:shd w:fill="E8EEF4" w:val="clear"/>
            <w:tcMar>
              <w:top w:type="dxa" w:w="60"/>
              <w:left w:type="dxa" w:w="80"/>
              <w:bottom w:type="dxa" w:w="60"/>
              <w:right w:type="dxa" w:w="80"/>
            </w:tcMar>
            <w:vAlign w:val="top"/>
          </w:tcPr>
          <w:p>
            <w:pPr>
              <w:jc w:val="left"/>
            </w:pPr>
            <w:r>
              <w:rPr>
                <w:rFonts w:ascii="Arial" w:cs="Arial" w:eastAsia="Arial" w:hAnsi="Arial"/>
                <w:b/>
                <w:bCs/>
                <w:i w:val="false"/>
                <w:iCs w:val="false"/>
                <w:color w:val="222222"/>
                <w:sz w:val="18"/>
                <w:szCs w:val="18"/>
              </w:rPr>
              <w:t xml:space="preserve">Item</w:t>
            </w:r>
          </w:p>
        </w:tc>
        <w:tc>
          <w:tcPr>
            <w:tcW w:type="dxa" w:w="3780"/>
            <w:gridSpan w:val="1"/>
            <w:tcBorders>
              <w:top w:val="single" w:color="CCCCCC" w:sz="4"/>
              <w:left w:val="single" w:color="CCCCCC" w:sz="4"/>
              <w:bottom w:val="single" w:color="CCCCCC" w:sz="4"/>
              <w:right w:val="single" w:color="CCCCCC" w:sz="4"/>
            </w:tcBorders>
            <w:shd w:fill="E8EEF4" w:val="clear"/>
            <w:tcMar>
              <w:top w:type="dxa" w:w="60"/>
              <w:left w:type="dxa" w:w="80"/>
              <w:bottom w:type="dxa" w:w="60"/>
              <w:right w:type="dxa" w:w="80"/>
            </w:tcMar>
            <w:vAlign w:val="top"/>
          </w:tcPr>
          <w:p>
            <w:pPr>
              <w:jc w:val="left"/>
            </w:pPr>
            <w:r>
              <w:rPr>
                <w:rFonts w:ascii="Arial" w:cs="Arial" w:eastAsia="Arial" w:hAnsi="Arial"/>
                <w:b/>
                <w:bCs/>
                <w:i w:val="false"/>
                <w:iCs w:val="false"/>
                <w:color w:val="222222"/>
                <w:sz w:val="18"/>
                <w:szCs w:val="18"/>
              </w:rPr>
              <w:t xml:space="preserve">What it is</w:t>
            </w:r>
          </w:p>
        </w:tc>
        <w:tc>
          <w:tcPr>
            <w:tcW w:type="dxa" w:w="3780"/>
            <w:gridSpan w:val="1"/>
            <w:tcBorders>
              <w:top w:val="single" w:color="CCCCCC" w:sz="4"/>
              <w:left w:val="single" w:color="CCCCCC" w:sz="4"/>
              <w:bottom w:val="single" w:color="CCCCCC" w:sz="4"/>
              <w:right w:val="single" w:color="CCCCCC" w:sz="4"/>
            </w:tcBorders>
            <w:shd w:fill="E8EEF4" w:val="clear"/>
            <w:tcMar>
              <w:top w:type="dxa" w:w="60"/>
              <w:left w:type="dxa" w:w="80"/>
              <w:bottom w:type="dxa" w:w="60"/>
              <w:right w:type="dxa" w:w="80"/>
            </w:tcMar>
            <w:vAlign w:val="top"/>
          </w:tcPr>
          <w:p>
            <w:pPr>
              <w:jc w:val="left"/>
            </w:pPr>
            <w:r>
              <w:rPr>
                <w:rFonts w:ascii="Arial" w:cs="Arial" w:eastAsia="Arial" w:hAnsi="Arial"/>
                <w:b/>
                <w:bCs/>
                <w:i w:val="false"/>
                <w:iCs w:val="false"/>
                <w:color w:val="222222"/>
                <w:sz w:val="18"/>
                <w:szCs w:val="18"/>
              </w:rPr>
              <w:t xml:space="preserve">Role in versioning</w:t>
            </w:r>
          </w:p>
        </w:tc>
      </w:tr>
      <w:tr>
        <w:tc>
          <w:tcPr>
            <w:tcW w:type="dxa" w:w="1800"/>
            <w:gridSpan w:val="1"/>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jc w:val="left"/>
            </w:pPr>
            <w:r>
              <w:rPr>
                <w:rFonts w:ascii="Arial" w:cs="Arial" w:eastAsia="Arial" w:hAnsi="Arial"/>
                <w:b w:val="false"/>
                <w:bCs w:val="false"/>
                <w:i w:val="false"/>
                <w:iCs w:val="false"/>
                <w:color w:val="222222"/>
                <w:sz w:val="18"/>
                <w:szCs w:val="18"/>
              </w:rPr>
              <w:t xml:space="preserve">This file</w:t>
            </w:r>
          </w:p>
        </w:tc>
        <w:tc>
          <w:tcPr>
            <w:tcW w:type="dxa" w:w="3780"/>
            <w:gridSpan w:val="1"/>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jc w:val="left"/>
            </w:pPr>
            <w:r>
              <w:rPr>
                <w:rFonts w:ascii="Arial" w:cs="Arial" w:eastAsia="Arial" w:hAnsi="Arial"/>
                <w:b w:val="false"/>
                <w:bCs w:val="false"/>
                <w:i w:val="false"/>
                <w:iCs w:val="false"/>
                <w:color w:val="222222"/>
                <w:sz w:val="18"/>
                <w:szCs w:val="18"/>
              </w:rPr>
              <w:t xml:space="preserve">OAL-CF-EST-VERBATIM-v0.1.0</w:t>
            </w:r>
          </w:p>
        </w:tc>
        <w:tc>
          <w:tcPr>
            <w:tcW w:type="dxa" w:w="3780"/>
            <w:gridSpan w:val="1"/>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jc w:val="left"/>
            </w:pPr>
            <w:r>
              <w:rPr>
                <w:rFonts w:ascii="Arial" w:cs="Arial" w:eastAsia="Arial" w:hAnsi="Arial"/>
                <w:b w:val="false"/>
                <w:bCs w:val="false"/>
                <w:i w:val="false"/>
                <w:iCs w:val="false"/>
                <w:color w:val="222222"/>
                <w:sz w:val="18"/>
                <w:szCs w:val="18"/>
              </w:rPr>
              <w:t xml:space="preserve">Foundational verbatim source and discrepancy note.</w:t>
            </w:r>
          </w:p>
        </w:tc>
      </w:tr>
      <w:tr>
        <w:tc>
          <w:tcPr>
            <w:tcW w:type="dxa" w:w="1800"/>
            <w:gridSpan w:val="1"/>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jc w:val="left"/>
            </w:pPr>
            <w:r>
              <w:rPr>
                <w:rFonts w:ascii="Arial" w:cs="Arial" w:eastAsia="Arial" w:hAnsi="Arial"/>
                <w:b w:val="false"/>
                <w:bCs w:val="false"/>
                <w:i w:val="false"/>
                <w:iCs w:val="false"/>
                <w:color w:val="222222"/>
                <w:sz w:val="18"/>
                <w:szCs w:val="18"/>
              </w:rPr>
              <w:t xml:space="preserve">Grok draft</w:t>
            </w:r>
          </w:p>
        </w:tc>
        <w:tc>
          <w:tcPr>
            <w:tcW w:type="dxa" w:w="3780"/>
            <w:gridSpan w:val="1"/>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jc w:val="left"/>
            </w:pPr>
            <w:r>
              <w:rPr>
                <w:rFonts w:ascii="Arial" w:cs="Arial" w:eastAsia="Arial" w:hAnsi="Arial"/>
                <w:b w:val="false"/>
                <w:bCs w:val="false"/>
                <w:i w:val="false"/>
                <w:iCs w:val="false"/>
                <w:color w:val="222222"/>
                <w:sz w:val="18"/>
                <w:szCs w:val="18"/>
              </w:rPr>
              <w:t xml:space="preserve">OAL-CF-EST-FOUND-Grok-v0.1.0, 21 September 2026, page 6 screenshot</w:t>
            </w:r>
          </w:p>
        </w:tc>
        <w:tc>
          <w:tcPr>
            <w:tcW w:type="dxa" w:w="3780"/>
            <w:gridSpan w:val="1"/>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jc w:val="left"/>
            </w:pPr>
            <w:r>
              <w:rPr>
                <w:rFonts w:ascii="Arial" w:cs="Arial" w:eastAsia="Arial" w:hAnsi="Arial"/>
                <w:b w:val="false"/>
                <w:bCs w:val="false"/>
                <w:i w:val="false"/>
                <w:iCs w:val="false"/>
                <w:color w:val="222222"/>
                <w:sz w:val="18"/>
                <w:szCs w:val="18"/>
              </w:rPr>
              <w:t xml:space="preserve">Independent design draft. Not the source of Block C.</w:t>
            </w:r>
          </w:p>
        </w:tc>
      </w:tr>
      <w:tr>
        <w:tc>
          <w:tcPr>
            <w:tcW w:type="dxa" w:w="1800"/>
            <w:gridSpan w:val="1"/>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jc w:val="left"/>
            </w:pPr>
            <w:r>
              <w:rPr>
                <w:rFonts w:ascii="Arial" w:cs="Arial" w:eastAsia="Arial" w:hAnsi="Arial"/>
                <w:b w:val="false"/>
                <w:bCs w:val="false"/>
                <w:i w:val="false"/>
                <w:iCs w:val="false"/>
                <w:color w:val="222222"/>
                <w:sz w:val="18"/>
                <w:szCs w:val="18"/>
              </w:rPr>
              <w:t xml:space="preserve">Perplexity draft</w:t>
            </w:r>
          </w:p>
        </w:tc>
        <w:tc>
          <w:tcPr>
            <w:tcW w:type="dxa" w:w="3780"/>
            <w:gridSpan w:val="1"/>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jc w:val="left"/>
            </w:pPr>
            <w:r>
              <w:rPr>
                <w:rFonts w:ascii="Arial" w:cs="Arial" w:eastAsia="Arial" w:hAnsi="Arial"/>
                <w:b w:val="false"/>
                <w:bCs w:val="false"/>
                <w:i w:val="false"/>
                <w:iCs w:val="false"/>
                <w:color w:val="222222"/>
                <w:sz w:val="18"/>
                <w:szCs w:val="18"/>
              </w:rPr>
              <w:t xml:space="preserve">Perplexity AI independent draft, 21 September 2026, page 3 screenshot</w:t>
            </w:r>
          </w:p>
        </w:tc>
        <w:tc>
          <w:tcPr>
            <w:tcW w:type="dxa" w:w="3780"/>
            <w:gridSpan w:val="1"/>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jc w:val="left"/>
            </w:pPr>
            <w:r>
              <w:rPr>
                <w:rFonts w:ascii="Arial" w:cs="Arial" w:eastAsia="Arial" w:hAnsi="Arial"/>
                <w:b w:val="false"/>
                <w:bCs w:val="false"/>
                <w:i w:val="false"/>
                <w:iCs w:val="false"/>
                <w:color w:val="222222"/>
                <w:sz w:val="18"/>
                <w:szCs w:val="18"/>
              </w:rPr>
              <w:t xml:space="preserve">Independent design draft. Not the source of Block C.</w:t>
            </w:r>
          </w:p>
        </w:tc>
      </w:tr>
      <w:tr>
        <w:tc>
          <w:tcPr>
            <w:tcW w:type="dxa" w:w="1800"/>
            <w:gridSpan w:val="1"/>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jc w:val="left"/>
            </w:pPr>
            <w:r>
              <w:rPr>
                <w:rFonts w:ascii="Arial" w:cs="Arial" w:eastAsia="Arial" w:hAnsi="Arial"/>
                <w:b w:val="false"/>
                <w:bCs w:val="false"/>
                <w:i w:val="false"/>
                <w:iCs w:val="false"/>
                <w:color w:val="222222"/>
                <w:sz w:val="18"/>
                <w:szCs w:val="18"/>
              </w:rPr>
              <w:t xml:space="preserve">Authority</w:t>
            </w:r>
          </w:p>
        </w:tc>
        <w:tc>
          <w:tcPr>
            <w:tcW w:type="dxa" w:w="3780"/>
            <w:gridSpan w:val="1"/>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jc w:val="left"/>
            </w:pPr>
            <w:r>
              <w:rPr>
                <w:rFonts w:ascii="Arial" w:cs="Arial" w:eastAsia="Arial" w:hAnsi="Arial"/>
                <w:b w:val="false"/>
                <w:bCs w:val="false"/>
                <w:i w:val="false"/>
                <w:iCs w:val="false"/>
                <w:color w:val="222222"/>
                <w:sz w:val="18"/>
                <w:szCs w:val="18"/>
              </w:rPr>
              <w:t xml:space="preserve">Architect’s supplied wording in this request</w:t>
            </w:r>
          </w:p>
        </w:tc>
        <w:tc>
          <w:tcPr>
            <w:tcW w:type="dxa" w:w="3780"/>
            <w:gridSpan w:val="1"/>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top"/>
          </w:tcPr>
          <w:p>
            <w:pPr>
              <w:jc w:val="left"/>
            </w:pPr>
            <w:r>
              <w:rPr>
                <w:rFonts w:ascii="Arial" w:cs="Arial" w:eastAsia="Arial" w:hAnsi="Arial"/>
                <w:b w:val="false"/>
                <w:bCs w:val="false"/>
                <w:i w:val="false"/>
                <w:iCs w:val="false"/>
                <w:color w:val="222222"/>
                <w:sz w:val="18"/>
                <w:szCs w:val="18"/>
              </w:rPr>
              <w:t xml:space="preserve">Controls quotation of the research questions, lab aim, and threat-scope statement.</w:t>
            </w:r>
          </w:p>
        </w:tc>
      </w:tr>
    </w:tbl>
    <w:p>
      <w:pPr>
        <w:spacing w:before="280"/>
        <w:jc w:val="center"/>
      </w:pPr>
      <w:r>
        <w:rPr>
          <w:rFonts w:ascii="Arial" w:cs="Arial" w:eastAsia="Arial" w:hAnsi="Arial"/>
          <w:i/>
          <w:iCs/>
          <w:color w:val="5A6570"/>
          <w:sz w:val="18"/>
          <w:szCs w:val="18"/>
        </w:rPr>
        <w:t xml:space="preserve">End of verbatim source record. Drafts remain drafts.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0"/>
      <w:gridCol w:w="3160"/>
    </w:tblGrid>
    <w:tr>
      <w:tc>
        <w:tcPr>
          <w:tcW w:type="dxa" w:w="6200"/>
          <w:tcBorders>
            <w:top w:val="single" w:color="1B365D" w:sz="8"/>
            <w:left w:val="none" w:color="FFFFFF" w:sz="0"/>
            <w:bottom w:val="none" w:color="FFFFFF" w:sz="0"/>
            <w:right w:val="none" w:color="FFFFFF" w:sz="0"/>
          </w:tcBorders>
          <w:tcMar>
            <w:top w:type="dxa" w:w="80"/>
          </w:tcMar>
        </w:tcPr>
        <w:p>
          <w:r>
            <w:rPr>
              <w:rFonts w:ascii="Arial" w:cs="Arial" w:eastAsia="Arial" w:hAnsi="Arial"/>
              <w:color w:val="5A6570"/>
              <w:sz w:val="16"/>
              <w:szCs w:val="16"/>
            </w:rPr>
            <w:t xml:space="preserve">OAL-CF-EST-VERBATIM-v0.1.0  ·  21 September 2026</w:t>
          </w:r>
        </w:p>
      </w:tc>
      <w:tc>
        <w:tcPr>
          <w:tcW w:type="dxa" w:w="3160"/>
          <w:tcBorders>
            <w:top w:val="single" w:color="1B365D" w:sz="8"/>
            <w:left w:val="none" w:color="FFFFFF" w:sz="0"/>
            <w:bottom w:val="none" w:color="FFFFFF" w:sz="0"/>
            <w:right w:val="none" w:color="FFFFFF" w:sz="0"/>
          </w:tcBorders>
          <w:tcMar>
            <w:top w:type="dxa" w:w="80"/>
          </w:tcMar>
        </w:tcPr>
        <w:p>
          <w:pPr>
            <w:jc w:val="right"/>
          </w:pPr>
          <w:r>
            <w:rPr>
              <w:rFonts w:ascii="Arial" w:cs="Arial" w:eastAsia="Arial" w:hAnsi="Arial"/>
              <w:color w:val="5A6570"/>
              <w:sz w:val="16"/>
              <w:szCs w:val="16"/>
            </w:rPr>
            <w:t xml:space="preserve">Page </w:t>
          </w:r>
          <w:r>
            <w:rPr>
              <w:rFonts w:ascii="Arial" w:cs="Arial" w:eastAsia="Arial" w:hAnsi="Arial"/>
              <w:color w:val="5A6570"/>
              <w:sz w:val="16"/>
              <w:szCs w:val="16"/>
            </w:rPr>
            <w:fldChar w:fldCharType="begin"/>
            <w:instrText xml:space="preserve">PAGE</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0"/>
      <w:gridCol w:w="3160"/>
    </w:tblGrid>
    <w:tr>
      <w:tc>
        <w:tcPr>
          <w:tcW w:type="dxa" w:w="6200"/>
          <w:tcBorders>
            <w:top w:val="none" w:color="FFFFFF" w:sz="0"/>
            <w:left w:val="none" w:color="FFFFFF" w:sz="0"/>
            <w:bottom w:val="none" w:color="FFFFFF" w:sz="0"/>
            <w:right w:val="none" w:color="FFFFFF" w:sz="0"/>
          </w:tcBorders>
          <w:shd w:fill="1B365D" w:val="clear"/>
          <w:tcMar>
            <w:top w:type="dxa" w:w="80"/>
            <w:left w:type="dxa" w:w="120"/>
            <w:bottom w:type="dxa" w:w="80"/>
            <w:right w:type="dxa" w:w="80"/>
          </w:tcMar>
        </w:tcPr>
        <w:p>
          <w:r>
            <w:rPr>
              <w:rFonts w:ascii="Arial" w:cs="Arial" w:eastAsia="Arial" w:hAnsi="Arial"/>
              <w:b/>
              <w:bCs/>
              <w:color w:val="FFFFFF"/>
              <w:sz w:val="16"/>
              <w:szCs w:val="16"/>
            </w:rPr>
            <w:t xml:space="preserve">OAL · FOUNDATIONAL VERBATIM SOURCE RECORD</w:t>
          </w:r>
        </w:p>
      </w:tc>
      <w:tc>
        <w:tcPr>
          <w:tcW w:type="dxa" w:w="3160"/>
          <w:tcBorders>
            <w:top w:val="none" w:color="FFFFFF" w:sz="0"/>
            <w:left w:val="none" w:color="FFFFFF" w:sz="0"/>
            <w:bottom w:val="none" w:color="FFFFFF" w:sz="0"/>
            <w:right w:val="none" w:color="FFFFFF" w:sz="0"/>
          </w:tcBorders>
          <w:shd w:fill="1B365D" w:val="clear"/>
          <w:tcMar>
            <w:top w:type="dxa" w:w="80"/>
            <w:left w:type="dxa" w:w="80"/>
            <w:bottom w:type="dxa" w:w="80"/>
            <w:right w:type="dxa" w:w="120"/>
          </w:tcMar>
        </w:tcPr>
        <w:p>
          <w:pPr>
            <w:jc w:val="right"/>
          </w:pPr>
          <w:r>
            <w:rPr>
              <w:rFonts w:ascii="Arial" w:cs="Arial" w:eastAsia="Arial" w:hAnsi="Arial"/>
              <w:color w:val="FFFFFF"/>
              <w:sz w:val="16"/>
              <w:szCs w:val="16"/>
            </w:rPr>
            <w:t xml:space="preserve">NON-CANON · VERSIONING ONLY</w:t>
          </w:r>
        </w:p>
      </w:tc>
    </w:tr>
  </w:tbl>
  <w:p>
    <w:pPr>
      <w:spacing w:after="8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1B365D"/>
      <w:sz w:val="28"/>
      <w:szCs w:val="28"/>
    </w:rPr>
  </w:style>
  <w:style w:type="paragraph" w:styleId="Heading2">
    <w:name w:val="Heading 2"/>
    <w:basedOn w:val="Normal"/>
    <w:next w:val="Normal"/>
    <w:qFormat/>
    <w:pPr>
      <w:spacing w:after="80" w:before="220"/>
      <w:outlineLvl w:val="1"/>
    </w:pPr>
    <w:rPr>
      <w:rFonts w:ascii="Arial" w:cs="Arial" w:eastAsia="Arial" w:hAnsi="Arial"/>
      <w:b/>
      <w:bCs/>
      <w:color w:val="1B365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2026-09-22T01:41:38.004Z</dcterms:created>
  <dcterms:modified xsi:type="dcterms:W3CDTF">2026-09-22T01:41:38.004Z</dcterms:modified>
</cp:coreProperties>
</file>

<file path=docProps/custom.xml><?xml version="1.0" encoding="utf-8"?>
<Properties xmlns="http://schemas.openxmlformats.org/officeDocument/2006/custom-properties" xmlns:vt="http://schemas.openxmlformats.org/officeDocument/2006/docPropsVTypes"/>
</file>