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al-verbatim-source-record"/>
    <w:p>
      <w:pPr>
        <w:pStyle w:val="Heading1"/>
      </w:pPr>
      <w:r>
        <w:t xml:space="preserve">OAL Verbatim Source Record</w:t>
      </w:r>
    </w:p>
    <w:bookmarkStart w:id="20" w:name="Xe107f677a1ea8c0f584254066fe71bdadb10695"/>
    <w:p>
      <w:pPr>
        <w:pStyle w:val="Heading2"/>
      </w:pPr>
      <w:r>
        <w:t xml:space="preserve">Subject:</w:t>
      </w:r>
      <w:r>
        <w:t xml:space="preserve"> </w:t>
      </w:r>
      <w:r>
        <w:t xml:space="preserve">“</w:t>
      </w:r>
      <w:r>
        <w:t xml:space="preserve">A threat can be anything</w:t>
      </w:r>
      <w:r>
        <w:t xml:space="preserve">”</w:t>
      </w:r>
      <w:r>
        <w:t xml:space="preserve"> </w:t>
      </w:r>
      <w:r>
        <w:t xml:space="preserve">— Original Statement vs. Downstream Renderings</w:t>
      </w:r>
    </w:p>
    <w:p>
      <w:pPr>
        <w:pStyle w:val="FirstParagraph"/>
      </w:pPr>
      <w:r>
        <w:rPr>
          <w:bCs/>
          <w:b/>
        </w:rPr>
        <w:t xml:space="preserve">Record type:</w:t>
      </w:r>
      <w:r>
        <w:t xml:space="preserve"> </w:t>
      </w:r>
      <w:r>
        <w:t xml:space="preserve">Foundational verbatim source record (versioning history)</w:t>
      </w:r>
      <w:r>
        <w:t xml:space="preserve"> </w:t>
      </w:r>
      <w:r>
        <w:rPr>
          <w:bCs/>
          <w:b/>
        </w:rPr>
        <w:t xml:space="preserve">Prepared by:</w:t>
      </w:r>
      <w:r>
        <w:t xml:space="preserve"> </w:t>
      </w:r>
      <w:r>
        <w:t xml:space="preserve">Claude, at Nathan Lewis II’s request</w:t>
      </w:r>
      <w:r>
        <w:t xml:space="preserve"> </w:t>
      </w:r>
      <w:r>
        <w:rPr>
          <w:bCs/>
          <w:b/>
        </w:rPr>
        <w:t xml:space="preserve">Date logged:</w:t>
      </w:r>
      <w:r>
        <w:t xml:space="preserve"> </w:t>
      </w:r>
      <w:r>
        <w:t xml:space="preserve">21 September 2026</w:t>
      </w:r>
      <w:r>
        <w:t xml:space="preserve"> </w:t>
      </w:r>
      <w:r>
        <w:rPr>
          <w:bCs/>
          <w:b/>
        </w:rPr>
        <w:t xml:space="preserve">Referenced drafts:</w:t>
      </w:r>
      <w:r>
        <w:t xml:space="preserve"> </w:t>
      </w:r>
      <w:r>
        <w:t xml:space="preserve">Grok independent version,</w:t>
      </w:r>
      <w:r>
        <w:t xml:space="preserve"> </w:t>
      </w:r>
      <w:r>
        <w:t xml:space="preserve">“</w:t>
      </w:r>
      <w:r>
        <w:t xml:space="preserve">OAL-CF-EST-FOUND-Grok-v0.1.0,</w:t>
      </w:r>
      <w:r>
        <w:t xml:space="preserve">”</w:t>
      </w:r>
      <w:r>
        <w:t xml:space="preserve"> </w:t>
      </w:r>
      <w:r>
        <w:t xml:space="preserve">Page 6; Perplexity AI independent draft, Page 3</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record exists to preserve, verbatim, Nathan’s original research statement establishing the poison/toxin/corrosive laboratory’s research questions and scope — specifically the</w:t>
      </w:r>
      <w:r>
        <w:t xml:space="preserve"> </w:t>
      </w:r>
      <w:r>
        <w:t xml:space="preserve">“</w:t>
      </w:r>
      <w:r>
        <w:t xml:space="preserve">a threat can be anything</w:t>
      </w:r>
      <w:r>
        <w:t xml:space="preserve">”</w:t>
      </w:r>
      <w:r>
        <w:t xml:space="preserve"> </w:t>
      </w:r>
      <w:r>
        <w:t xml:space="preserve">line — and to notate a discrepancy between that original statement and how it was characterized in two independently produced drafts (Grok, Perplexity). This is a documentation record, not a correction of those drafts’ design conclusions.</w:t>
      </w:r>
    </w:p>
    <w:p>
      <w:r>
        <w:pict>
          <v:rect style="width:0;height:1.5pt" o:hralign="center" o:hrstd="t" o:hr="t"/>
        </w:pict>
      </w:r>
    </w:p>
    <w:bookmarkEnd w:id="21"/>
    <w:bookmarkStart w:id="22" w:name="X6857976b9f5a94e7520f4dc44fc8c72692630f3"/>
    <w:p>
      <w:pPr>
        <w:pStyle w:val="Heading2"/>
      </w:pPr>
      <w:r>
        <w:t xml:space="preserve">2. Original Statement (verbatim, as written by Nathan)</w:t>
      </w:r>
    </w:p>
    <w:p>
      <w:pPr>
        <w:pStyle w:val="BlockText"/>
      </w:pPr>
      <w:r>
        <w:t xml:space="preserve">Control flow to biological evolution and advancement, environmental sensation, awareness, and threat detection.</w:t>
      </w:r>
    </w:p>
    <w:p>
      <w:pPr>
        <w:pStyle w:val="BlockText"/>
      </w:pPr>
      <w:r>
        <w:t xml:space="preserve">So my research question is essentially how does an organism sense its environment and know what’s around it? How does this relate to temporal integrity and presentation state integrity? And how are you able to sort out discrepancies between what is presented, what the environment states, and your current state to reconcile them? How does an entity recognize a threat in an environment, how does it recognize what it can and cannot eat, how does it recognize a toxin, a poison, some other danger? How does it build a map that is reliable when the foundation is based on unreliable information? How do we test for this?</w:t>
      </w:r>
    </w:p>
    <w:p>
      <w:pPr>
        <w:pStyle w:val="BlockText"/>
      </w:pPr>
      <w:r>
        <w:t xml:space="preserve">The lab aims to assert a poison, toxin, corrosive laboratory that tests how this is discerned by an entity within an environment. It doesn’t assume all entities use the same sensory apparatus.</w:t>
      </w:r>
    </w:p>
    <w:p>
      <w:pPr>
        <w:pStyle w:val="BlockText"/>
      </w:pPr>
      <w:r>
        <w:t xml:space="preserve">The assumption here is not that every organism uses five senses, that five senses are universal in environments, that they are perfectly evolved, adapted, or used as a representation for all Laboratory environments.</w:t>
      </w:r>
    </w:p>
    <w:p>
      <w:pPr>
        <w:pStyle w:val="BlockText"/>
      </w:pPr>
      <w:r>
        <w:t xml:space="preserve">What is a threat? A threat can be anything. This laboratory doesn’t assume every entity in an environment is a threat, that all environments have threats happening all the time, that all threats are detectable, discernable, or knowable, or can be addressed, and this laboratory doesn’t seek to discover and test for all threats.</w:t>
      </w:r>
    </w:p>
    <w:p>
      <w:pPr>
        <w:pStyle w:val="FirstParagraph"/>
      </w:pPr>
      <w:r>
        <w:rPr>
          <w:bCs/>
          <w:b/>
        </w:rPr>
        <w:t xml:space="preserve">Key structural note:</w:t>
      </w:r>
      <w:r>
        <w:t xml:space="preserve"> </w:t>
      </w:r>
      <w:r>
        <w:t xml:space="preserve">in the original,</w:t>
      </w:r>
      <w:r>
        <w:t xml:space="preserve"> </w:t>
      </w:r>
      <w:r>
        <w:t xml:space="preserve">“</w:t>
      </w:r>
      <w:r>
        <w:t xml:space="preserve">A threat can be anything</w:t>
      </w:r>
      <w:r>
        <w:t xml:space="preserve">”</w:t>
      </w:r>
      <w:r>
        <w:t xml:space="preserve"> </w:t>
      </w:r>
      <w:r>
        <w:t xml:space="preserve">is immediately followed, in the same passage, by five explicit bounding negations (not every entity is a threat; not all environments have threats constantly; not all threats are detectable/discernible/knowable; not all can be addressed; the lab does not attempt to test for all threats). The open definition and its bounds were stated together, not separately.</w:t>
      </w:r>
    </w:p>
    <w:p>
      <w:r>
        <w:pict>
          <v:rect style="width:0;height:1.5pt" o:hralign="center" o:hrstd="t" o:hr="t"/>
        </w:pict>
      </w:r>
    </w:p>
    <w:bookmarkEnd w:id="22"/>
    <w:bookmarkStart w:id="25" w:name="downstream-renderings"/>
    <w:p>
      <w:pPr>
        <w:pStyle w:val="Heading2"/>
      </w:pPr>
      <w:r>
        <w:t xml:space="preserve">3. Downstream Renderings</w:t>
      </w:r>
    </w:p>
    <w:bookmarkStart w:id="23" w:name="X9d9f467a0dba2a5f91a94c842e87886d2a094ae"/>
    <w:p>
      <w:pPr>
        <w:pStyle w:val="Heading3"/>
      </w:pPr>
      <w:r>
        <w:t xml:space="preserve">3.1 Grok independent version (Section 8.1,</w:t>
      </w:r>
      <w:r>
        <w:t xml:space="preserve"> </w:t>
      </w:r>
      <w:r>
        <w:t xml:space="preserve">“</w:t>
      </w:r>
      <w:r>
        <w:t xml:space="preserve">Conceptual faults</w:t>
      </w:r>
      <w:r>
        <w:t xml:space="preserve">”</w:t>
      </w:r>
      <w:r>
        <w:t xml:space="preserve">)</w:t>
      </w:r>
    </w:p>
    <w:p>
      <w:pPr>
        <w:pStyle w:val="BlockText"/>
      </w:pPr>
      <w:r>
        <w:t xml:space="preserve">Leaving</w:t>
      </w:r>
      <w:r>
        <w:t xml:space="preserve"> </w:t>
      </w:r>
      <w:r>
        <w:t xml:space="preserve">“</w:t>
      </w:r>
      <w:r>
        <w:t xml:space="preserve">a threat can be anything</w:t>
      </w:r>
      <w:r>
        <w:t xml:space="preserve">”</w:t>
      </w:r>
      <w:r>
        <w:t xml:space="preserve"> </w:t>
      </w:r>
      <w:r>
        <w:t xml:space="preserve">as the operational definition. As metaphysics it is correct. As a protocol it is unbounded and untestable. The bound must be the trial’s EIC plus the declared condition class.</w:t>
      </w:r>
    </w:p>
    <w:bookmarkEnd w:id="23"/>
    <w:bookmarkStart w:id="24" w:name="X20db8d488a9e9f9a110a64e1fa99b5aeb1ce9f6"/>
    <w:p>
      <w:pPr>
        <w:pStyle w:val="Heading3"/>
      </w:pPr>
      <w:r>
        <w:t xml:space="preserve">3.2 Perplexity AI independent draft (</w:t>
      </w:r>
      <w:r>
        <w:t xml:space="preserve">“</w:t>
      </w:r>
      <w:r>
        <w:t xml:space="preserve">What does not yet work</w:t>
      </w:r>
      <w:r>
        <w:t xml:space="preserve">”</w:t>
      </w:r>
      <w:r>
        <w:t xml:space="preserve"> </w:t>
      </w:r>
      <w:r>
        <w:t xml:space="preserve">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Why it matters</w:t>
            </w:r>
          </w:p>
        </w:tc>
      </w:tr>
      <w:tr>
        <w:tc>
          <w:tcPr/>
          <w:p>
            <w:pPr>
              <w:pStyle w:val="Compact"/>
              <w:jc w:val="left"/>
            </w:pPr>
            <w:r>
              <w:t xml:space="preserve">“</w:t>
            </w:r>
            <w:r>
              <w:t xml:space="preserve">Threat can be anything</w:t>
            </w:r>
            <w:r>
              <w:t xml:space="preserve">”</w:t>
            </w:r>
            <w:r>
              <w:t xml:space="preserve"> </w:t>
            </w:r>
            <w:r>
              <w:t xml:space="preserve">is unlimited</w:t>
            </w:r>
          </w:p>
        </w:tc>
        <w:tc>
          <w:tcPr/>
          <w:p>
            <w:pPr>
              <w:pStyle w:val="Compact"/>
              <w:jc w:val="left"/>
            </w:pPr>
            <w:r>
              <w:t xml:space="preserve">Without a protected endpoint, almost any change can be called harm.</w:t>
            </w:r>
          </w:p>
        </w:tc>
      </w:tr>
    </w:tbl>
    <w:p>
      <w:r>
        <w:pict>
          <v:rect style="width:0;height:1.5pt" o:hralign="center" o:hrstd="t" o:hr="t"/>
        </w:pict>
      </w:r>
    </w:p>
    <w:bookmarkEnd w:id="24"/>
    <w:bookmarkEnd w:id="25"/>
    <w:bookmarkStart w:id="26" w:name="discrepancy-notation"/>
    <w:p>
      <w:pPr>
        <w:pStyle w:val="Heading2"/>
      </w:pPr>
      <w:r>
        <w:t xml:space="preserve">4. Discrepancy Notation</w:t>
      </w:r>
    </w:p>
    <w:p>
      <w:pPr>
        <w:pStyle w:val="FirstParagraph"/>
      </w:pPr>
      <w:r>
        <w:t xml:space="preserve">Both downstream drafts treat</w:t>
      </w:r>
      <w:r>
        <w:t xml:space="preserve"> </w:t>
      </w:r>
      <w:r>
        <w:t xml:space="preserve">“</w:t>
      </w:r>
      <w:r>
        <w:t xml:space="preserve">a threat can be anything</w:t>
      </w:r>
      <w:r>
        <w:t xml:space="preserve">”</w:t>
      </w:r>
      <w:r>
        <w:t xml:space="preserve"> </w:t>
      </w:r>
      <w:r>
        <w:t xml:space="preserve">as an unbounded, unqualified operational definition that the design process still needs to constrain — Grok calling it</w:t>
      </w:r>
      <w:r>
        <w:t xml:space="preserve"> </w:t>
      </w:r>
      <w:r>
        <w:t xml:space="preserve">“</w:t>
      </w:r>
      <w:r>
        <w:t xml:space="preserve">unbounded and untestable,</w:t>
      </w:r>
      <w:r>
        <w:t xml:space="preserve">”</w:t>
      </w:r>
      <w:r>
        <w:t xml:space="preserve"> </w:t>
      </w:r>
      <w:r>
        <w:t xml:space="preserve">Perplexity calling it</w:t>
      </w:r>
      <w:r>
        <w:t xml:space="preserve"> </w:t>
      </w:r>
      <w:r>
        <w:t xml:space="preserve">“</w:t>
      </w:r>
      <w:r>
        <w:t xml:space="preserve">unlimited</w:t>
      </w:r>
      <w:r>
        <w:t xml:space="preserve">”</w:t>
      </w:r>
      <w:r>
        <w:t xml:space="preserve"> </w:t>
      </w:r>
      <w:r>
        <w:t xml:space="preserve">and lacking a</w:t>
      </w:r>
      <w:r>
        <w:t xml:space="preserve"> </w:t>
      </w:r>
      <w:r>
        <w:t xml:space="preserve">“</w:t>
      </w:r>
      <w:r>
        <w:t xml:space="preserve">protected endpoint.</w:t>
      </w:r>
      <w:r>
        <w:t xml:space="preserve">”</w:t>
      </w:r>
    </w:p>
    <w:p>
      <w:pPr>
        <w:pStyle w:val="BodyText"/>
      </w:pPr>
      <w:r>
        <w:t xml:space="preserve">The original statement, however, did not leave the phrase unbounded. In the same passage, Nathan paired</w:t>
      </w:r>
      <w:r>
        <w:t xml:space="preserve"> </w:t>
      </w:r>
      <w:r>
        <w:t xml:space="preserve">“</w:t>
      </w:r>
      <w:r>
        <w:t xml:space="preserve">a threat can be anything</w:t>
      </w:r>
      <w:r>
        <w:t xml:space="preserve">”</w:t>
      </w:r>
      <w:r>
        <w:t xml:space="preserve"> </w:t>
      </w:r>
      <w:r>
        <w:t xml:space="preserve">with five explicit qualifications narrowing what the lab does</w:t>
      </w:r>
      <w:r>
        <w:t xml:space="preserve"> </w:t>
      </w:r>
      <w:r>
        <w:rPr>
          <w:iCs/>
          <w:i/>
        </w:rPr>
        <w:t xml:space="preserve">not</w:t>
      </w:r>
      <w:r>
        <w:t xml:space="preserve"> </w:t>
      </w:r>
      <w:r>
        <w:t xml:space="preserve">assume or attempt (see Section 2,</w:t>
      </w:r>
      <w:r>
        <w:t xml:space="preserve"> </w:t>
      </w:r>
      <w:r>
        <w:t xml:space="preserve">“</w:t>
      </w:r>
      <w:r>
        <w:t xml:space="preserve">Key structural note</w:t>
      </w:r>
      <w:r>
        <w:t xml:space="preserve">”</w:t>
      </w:r>
      <w:r>
        <w:t xml:space="preserve">). Both drafts’ critique addresses the open half of the sentence without registering the bounding half that was stated alongside it in the source material.</w:t>
      </w:r>
    </w:p>
    <w:p>
      <w:pPr>
        <w:pStyle w:val="BodyText"/>
      </w:pPr>
      <w:r>
        <w:t xml:space="preserve">This record does not take a position on whether the drafts’ proposed design remedies (EIC, protected endpoints, condition classes) are still warranted — only that the premise</w:t>
      </w:r>
      <w:r>
        <w:t xml:space="preserve"> </w:t>
      </w:r>
      <w:r>
        <w:t xml:space="preserve">“</w:t>
      </w:r>
      <w:r>
        <w:t xml:space="preserve">the statement was left unbounded</w:t>
      </w:r>
      <w:r>
        <w:t xml:space="preserve">”</w:t>
      </w:r>
      <w:r>
        <w:t xml:space="preserve"> </w:t>
      </w:r>
      <w:r>
        <w:t xml:space="preserve">does not match the original wording, which contained bounding language at the time it was made.</w:t>
      </w:r>
    </w:p>
    <w:p>
      <w:r>
        <w:pict>
          <v:rect style="width:0;height:1.5pt" o:hralign="center" o:hrstd="t" o:hr="t"/>
        </w:pict>
      </w:r>
    </w:p>
    <w:bookmarkEnd w:id="26"/>
    <w:bookmarkStart w:id="27" w:name="provenance"/>
    <w:p>
      <w:pPr>
        <w:pStyle w:val="Heading2"/>
      </w:pPr>
      <w:r>
        <w:t xml:space="preserve">5. Provenance</w:t>
      </w:r>
    </w:p>
    <w:p>
      <w:pPr>
        <w:numPr>
          <w:ilvl w:val="0"/>
          <w:numId w:val="1001"/>
        </w:numPr>
        <w:pStyle w:val="Compact"/>
      </w:pPr>
      <w:r>
        <w:t xml:space="preserve">Original statement: supplied directly by Nathan Lewis II, reproduced verbatim above.</w:t>
      </w:r>
    </w:p>
    <w:p>
      <w:pPr>
        <w:numPr>
          <w:ilvl w:val="0"/>
          <w:numId w:val="1001"/>
        </w:numPr>
        <w:pStyle w:val="Compact"/>
      </w:pPr>
      <w:r>
        <w:t xml:space="preserve">Grok excerpt: screenshot of</w:t>
      </w:r>
      <w:r>
        <w:t xml:space="preserve"> </w:t>
      </w:r>
      <w:r>
        <w:t xml:space="preserve">“</w:t>
      </w:r>
      <w:r>
        <w:t xml:space="preserve">OAL-CF-EST-FOUND-Grok-v0.1.0,</w:t>
      </w:r>
      <w:r>
        <w:t xml:space="preserve">”</w:t>
      </w:r>
      <w:r>
        <w:t xml:space="preserve"> </w:t>
      </w:r>
      <w:r>
        <w:t xml:space="preserve">Page 6, Section 8.1, dated 21 September 2026.</w:t>
      </w:r>
    </w:p>
    <w:p>
      <w:pPr>
        <w:numPr>
          <w:ilvl w:val="0"/>
          <w:numId w:val="1001"/>
        </w:numPr>
        <w:pStyle w:val="Compact"/>
      </w:pPr>
      <w:r>
        <w:t xml:space="preserve">Perplexity excerpt: screenshot of Perplexity AI independent draft, Page 3,</w:t>
      </w:r>
      <w:r>
        <w:t xml:space="preserve"> </w:t>
      </w:r>
      <w:r>
        <w:t xml:space="preserve">“</w:t>
      </w:r>
      <w:r>
        <w:t xml:space="preserve">What does not yet work</w:t>
      </w:r>
      <w:r>
        <w:t xml:space="preserve">”</w:t>
      </w:r>
      <w:r>
        <w:t xml:space="preserve"> </w:t>
      </w:r>
      <w:r>
        <w:t xml:space="preserve">table, dated 21 September 2026.</w:t>
      </w:r>
    </w:p>
    <w:p>
      <w:pPr>
        <w:numPr>
          <w:ilvl w:val="0"/>
          <w:numId w:val="1001"/>
        </w:numPr>
        <w:pStyle w:val="Compact"/>
      </w:pPr>
      <w:r>
        <w:t xml:space="preserve">This record: compiled 21 September 2026 for OAL governance/versioning archive.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2026-09-22T01:43:52Z</dcterms:created>
  <dcterms:modified xsi:type="dcterms:W3CDTF">2026-09-22T01:43:52Z</dcterms:modified>
</cp:coreProperties>
</file>

<file path=docProps/custom.xml><?xml version="1.0" encoding="utf-8"?>
<Properties xmlns="http://schemas.openxmlformats.org/officeDocument/2006/custom-properties" xmlns:vt="http://schemas.openxmlformats.org/officeDocument/2006/docPropsVTypes"/>
</file>