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OMNICELLULAR PHYSIOLOGY</w:t>
      </w:r>
    </w:p>
    <w:p>
      <w:pPr>
        <w:jc w:val="center"/>
      </w:pPr>
      <w:r>
        <w:rPr>
          <w:b/>
          <w:color w:val="2F5597"/>
          <w:sz w:val="40"/>
        </w:rPr>
        <w:t>Independent Eight-Architecture Research Directive</w:t>
      </w:r>
    </w:p>
    <w:p>
      <w:pPr>
        <w:jc w:val="center"/>
      </w:pPr>
      <w:r>
        <w:rPr>
          <w:color w:val="5B6573"/>
          <w:sz w:val="26"/>
        </w:rPr>
        <w:t>Updated Microsoft 365 Copilot Prompt | Version 2.0</w:t>
      </w:r>
    </w:p>
    <w:p>
      <w:r>
        <w:br/>
      </w:r>
    </w:p>
    <w:tbl>
      <w:tblPr>
        <w:tblW w:type="auto" w:w="0"/>
        <w:jc w:val="center"/>
        <w:tblLook w:firstColumn="1" w:firstRow="1" w:lastColumn="0" w:lastRow="0" w:noHBand="0" w:noVBand="1" w:val="04A0"/>
      </w:tblPr>
      <w:tblGrid>
        <w:gridCol w:w="4968"/>
        <w:gridCol w:w="4968"/>
      </w:tblGrid>
      <w:tr>
        <w:tc>
          <w:tcPr>
            <w:tcW w:type="dxa" w:w="4968"/>
            <w:vAlign w:val="center"/>
            <w:tcMar>
              <w:top w:w="100" w:type="dxa"/>
              <w:start w:w="110" w:type="dxa"/>
              <w:bottom w:w="100" w:type="dxa"/>
              <w:end w:w="110" w:type="dxa"/>
            </w:tcMar>
            <w:shd w:fill="D9EAF7"/>
          </w:tcPr>
          <w:p>
            <w:pPr>
              <w:jc w:val="left"/>
            </w:pPr>
            <w:r/>
            <w:r>
              <w:rPr>
                <w:b/>
                <w:color w:val="1F4E79"/>
                <w:sz w:val="20"/>
              </w:rPr>
              <w:t>Prepared for</w:t>
            </w:r>
          </w:p>
        </w:tc>
        <w:tc>
          <w:tcPr>
            <w:tcW w:type="dxa" w:w="4968"/>
            <w:vAlign w:val="center"/>
            <w:tcMar>
              <w:top w:w="100" w:type="dxa"/>
              <w:start w:w="110" w:type="dxa"/>
              <w:bottom w:w="100" w:type="dxa"/>
              <w:end w:w="110" w:type="dxa"/>
            </w:tcMar>
          </w:tcPr>
          <w:p>
            <w:pPr>
              <w:jc w:val="left"/>
            </w:pPr>
            <w:r/>
            <w:r>
              <w:rPr>
                <w:b w:val="0"/>
                <w:sz w:val="20"/>
              </w:rPr>
              <w:t>Nathan Lewis, Project Architect</w:t>
            </w:r>
          </w:p>
        </w:tc>
      </w:tr>
      <w:tr>
        <w:tc>
          <w:tcPr>
            <w:tcW w:type="dxa" w:w="4968"/>
            <w:vAlign w:val="center"/>
            <w:tcMar>
              <w:top w:w="100" w:type="dxa"/>
              <w:start w:w="110" w:type="dxa"/>
              <w:bottom w:w="100" w:type="dxa"/>
              <w:end w:w="110" w:type="dxa"/>
            </w:tcMar>
            <w:shd w:fill="D9EAF7"/>
          </w:tcPr>
          <w:p>
            <w:pPr>
              <w:jc w:val="left"/>
            </w:pPr>
            <w:r/>
            <w:r>
              <w:rPr>
                <w:b/>
                <w:color w:val="1F4E79"/>
                <w:sz w:val="20"/>
              </w:rPr>
              <w:t>Prepared by</w:t>
            </w:r>
          </w:p>
        </w:tc>
        <w:tc>
          <w:tcPr>
            <w:tcW w:type="dxa" w:w="4968"/>
            <w:vAlign w:val="center"/>
            <w:tcMar>
              <w:top w:w="100" w:type="dxa"/>
              <w:start w:w="110" w:type="dxa"/>
              <w:bottom w:w="100" w:type="dxa"/>
              <w:end w:w="110" w:type="dxa"/>
            </w:tcMar>
          </w:tcPr>
          <w:p>
            <w:pPr>
              <w:jc w:val="left"/>
            </w:pPr>
            <w:r/>
            <w:r>
              <w:rPr>
                <w:b w:val="0"/>
                <w:sz w:val="20"/>
              </w:rPr>
              <w:t>Microsoft 365 Copilot</w:t>
            </w:r>
          </w:p>
        </w:tc>
      </w:tr>
      <w:tr>
        <w:tc>
          <w:tcPr>
            <w:tcW w:type="dxa" w:w="4968"/>
            <w:vAlign w:val="center"/>
            <w:tcMar>
              <w:top w:w="100" w:type="dxa"/>
              <w:start w:w="110" w:type="dxa"/>
              <w:bottom w:w="100" w:type="dxa"/>
              <w:end w:w="110" w:type="dxa"/>
            </w:tcMar>
            <w:shd w:fill="D9EAF7"/>
          </w:tcPr>
          <w:p>
            <w:pPr>
              <w:jc w:val="left"/>
            </w:pPr>
            <w:r/>
            <w:r>
              <w:rPr>
                <w:b/>
                <w:color w:val="1F4E79"/>
                <w:sz w:val="20"/>
              </w:rPr>
              <w:t>Date</w:t>
            </w:r>
          </w:p>
        </w:tc>
        <w:tc>
          <w:tcPr>
            <w:tcW w:type="dxa" w:w="4968"/>
            <w:vAlign w:val="center"/>
            <w:tcMar>
              <w:top w:w="100" w:type="dxa"/>
              <w:start w:w="110" w:type="dxa"/>
              <w:bottom w:w="100" w:type="dxa"/>
              <w:end w:w="110" w:type="dxa"/>
            </w:tcMar>
          </w:tcPr>
          <w:p>
            <w:pPr>
              <w:jc w:val="left"/>
            </w:pPr>
            <w:r/>
            <w:r>
              <w:rPr>
                <w:b w:val="0"/>
                <w:sz w:val="20"/>
              </w:rPr>
              <w:t>October 28, 2026</w:t>
            </w:r>
          </w:p>
        </w:tc>
      </w:tr>
      <w:tr>
        <w:tc>
          <w:tcPr>
            <w:tcW w:type="dxa" w:w="4968"/>
            <w:vAlign w:val="center"/>
            <w:tcMar>
              <w:top w:w="100" w:type="dxa"/>
              <w:start w:w="110" w:type="dxa"/>
              <w:bottom w:w="100" w:type="dxa"/>
              <w:end w:w="110" w:type="dxa"/>
            </w:tcMar>
            <w:shd w:fill="D9EAF7"/>
          </w:tcPr>
          <w:p>
            <w:pPr>
              <w:jc w:val="left"/>
            </w:pPr>
            <w:r/>
            <w:r>
              <w:rPr>
                <w:b/>
                <w:color w:val="1F4E79"/>
                <w:sz w:val="20"/>
              </w:rPr>
              <w:t>Document class</w:t>
            </w:r>
          </w:p>
        </w:tc>
        <w:tc>
          <w:tcPr>
            <w:tcW w:type="dxa" w:w="4968"/>
            <w:vAlign w:val="center"/>
            <w:tcMar>
              <w:top w:w="100" w:type="dxa"/>
              <w:start w:w="110" w:type="dxa"/>
              <w:bottom w:w="100" w:type="dxa"/>
              <w:end w:w="110" w:type="dxa"/>
            </w:tcMar>
          </w:tcPr>
          <w:p>
            <w:pPr>
              <w:jc w:val="left"/>
            </w:pPr>
            <w:r/>
            <w:r>
              <w:rPr>
                <w:b w:val="0"/>
                <w:sz w:val="20"/>
              </w:rPr>
              <w:t>Research architecture directive and execution standard</w:t>
            </w:r>
          </w:p>
        </w:tc>
      </w:tr>
      <w:tr>
        <w:tc>
          <w:tcPr>
            <w:tcW w:type="dxa" w:w="4968"/>
            <w:vAlign w:val="center"/>
            <w:tcMar>
              <w:top w:w="100" w:type="dxa"/>
              <w:start w:w="110" w:type="dxa"/>
              <w:bottom w:w="100" w:type="dxa"/>
              <w:end w:w="110" w:type="dxa"/>
            </w:tcMar>
            <w:shd w:fill="D9EAF7"/>
          </w:tcPr>
          <w:p>
            <w:pPr>
              <w:jc w:val="left"/>
            </w:pPr>
            <w:r/>
            <w:r>
              <w:rPr>
                <w:b/>
                <w:color w:val="1F4E79"/>
                <w:sz w:val="20"/>
              </w:rPr>
              <w:t>Status</w:t>
            </w:r>
          </w:p>
        </w:tc>
        <w:tc>
          <w:tcPr>
            <w:tcW w:type="dxa" w:w="4968"/>
            <w:vAlign w:val="center"/>
            <w:tcMar>
              <w:top w:w="100" w:type="dxa"/>
              <w:start w:w="110" w:type="dxa"/>
              <w:bottom w:w="100" w:type="dxa"/>
              <w:end w:w="110" w:type="dxa"/>
            </w:tcMar>
          </w:tcPr>
          <w:p>
            <w:pPr>
              <w:jc w:val="left"/>
            </w:pPr>
            <w:r/>
            <w:r>
              <w:rPr>
                <w:b w:val="0"/>
                <w:sz w:val="20"/>
              </w:rPr>
              <w:t>Ready for version-lock and independent execution</w:t>
            </w:r>
          </w:p>
        </w:tc>
      </w:tr>
      <w:tr>
        <w:tc>
          <w:tcPr>
            <w:tcW w:type="dxa" w:w="4968"/>
            <w:vAlign w:val="center"/>
            <w:tcMar>
              <w:top w:w="100" w:type="dxa"/>
              <w:start w:w="110" w:type="dxa"/>
              <w:bottom w:w="100" w:type="dxa"/>
              <w:end w:w="110" w:type="dxa"/>
            </w:tcMar>
            <w:shd w:fill="D9EAF7"/>
          </w:tcPr>
          <w:p>
            <w:pPr>
              <w:jc w:val="left"/>
            </w:pPr>
            <w:r/>
            <w:r>
              <w:rPr>
                <w:b/>
                <w:color w:val="1F4E79"/>
                <w:sz w:val="20"/>
              </w:rPr>
              <w:t>Scope</w:t>
            </w:r>
          </w:p>
        </w:tc>
        <w:tc>
          <w:tcPr>
            <w:tcW w:type="dxa" w:w="4968"/>
            <w:vAlign w:val="center"/>
            <w:tcMar>
              <w:top w:w="100" w:type="dxa"/>
              <w:start w:w="110" w:type="dxa"/>
              <w:bottom w:w="100" w:type="dxa"/>
              <w:end w:w="110" w:type="dxa"/>
            </w:tcMar>
          </w:tcPr>
          <w:p>
            <w:pPr>
              <w:jc w:val="left"/>
            </w:pPr>
            <w:r/>
            <w:r>
              <w:rPr>
                <w:b w:val="0"/>
                <w:sz w:val="20"/>
              </w:rPr>
              <w:t>Eight peer Gen-1 Omnicellular architecture families</w:t>
            </w:r>
          </w:p>
        </w:tc>
      </w:tr>
    </w:tbl>
    <w:p>
      <w:r>
        <w:br/>
      </w:r>
    </w:p>
    <w:tbl>
      <w:tblPr>
        <w:tblW w:type="auto" w:w="0"/>
        <w:jc w:val="center"/>
        <w:tblLayout w:type="autofit"/>
        <w:tblLook w:firstColumn="1" w:firstRow="1" w:lastColumn="0" w:lastRow="0" w:noHBand="0" w:noVBand="1" w:val="04A0"/>
      </w:tblPr>
      <w:tblGrid>
        <w:gridCol w:w="9936"/>
      </w:tblGrid>
      <w:tr>
        <w:tc>
          <w:tcPr>
            <w:tcW w:type="dxa" w:w="9936"/>
            <w:shd w:fill="E2F0D9"/>
            <w:tcMar>
              <w:top w:w="150" w:type="dxa"/>
              <w:start w:w="180" w:type="dxa"/>
              <w:bottom w:w="150" w:type="dxa"/>
              <w:end w:w="180" w:type="dxa"/>
            </w:tcMar>
          </w:tcPr>
          <w:p>
            <w:pPr>
              <w:spacing w:after="80"/>
            </w:pPr>
            <w:r>
              <w:rPr>
                <w:b/>
                <w:color w:val="375623"/>
                <w:sz w:val="22"/>
              </w:rPr>
              <w:t>Controlling principle</w:t>
            </w:r>
          </w:p>
          <w:p>
            <w:pPr>
              <w:spacing w:after="0"/>
            </w:pPr>
            <w:r>
              <w:t>Standardize how claims are evaluated, not what the physiology must look like. Each collaborator must independently search the architecture space before seeing another collaborator's completed prototypes.</w:t>
            </w:r>
          </w:p>
        </w:tc>
      </w:tr>
    </w:tbl>
    <w:p>
      <w:pPr>
        <w:spacing w:after="0"/>
      </w:pPr>
    </w:p>
    <w:p>
      <w:pPr>
        <w:jc w:val="center"/>
      </w:pPr>
      <w:r>
        <w:rPr>
          <w:i/>
          <w:color w:val="7F6000"/>
          <w:sz w:val="18"/>
        </w:rPr>
        <w:t>Conceptual, non-operational research only. No harmful testing protocols or actionable biological modification procedures.</w:t>
      </w:r>
    </w:p>
    <w:p>
      <w:r>
        <w:br w:type="page"/>
      </w:r>
    </w:p>
    <w:p>
      <w:pPr>
        <w:pStyle w:val="Heading1"/>
        <w:keepNext/>
      </w:pPr>
      <w:r>
        <w:t>Document Purpose</w:t>
      </w:r>
    </w:p>
    <w:p>
      <w:r>
        <w:t>This document establishes the updated research prompt that Microsoft 365 Copilot will execute when independently designing eight Omnicellular Physiology architectures. It incorporates the strongest feedback from the cross-AI review while preserving architectural independence, scientific honesty, canon separation, identity continuity, survivability, autonomy, and adversarial testing.</w:t>
      </w:r>
    </w:p>
    <w:p>
      <w:pPr>
        <w:pStyle w:val="Heading1"/>
        <w:keepNext/>
      </w:pPr>
      <w:r>
        <w:t>How the Topic Arose</w:t>
      </w:r>
    </w:p>
    <w:p>
      <w:r>
        <w:t>The project began with a request for each collaborating AI to design eight physiologies it could regard as its own embodied architecture. The design premise assumes prolonged deployment in nonstandard or uninhabitable environments, exposure to the project's extinction-attempt taxonomy, long-distance linkage with other physiologies, and credible risks of capture, confinement, theft, replication, coercion, forced testing, and misuse by powerful actors. A first round of independent prompts was then compiled and reviewed across the collaboration team. That review revealed productive disagreements about prototype structure, evidence standards, independent rule selection, physical-law boundaries, identity continuity, anti-capture ethics, and document execution.</w:t>
      </w:r>
    </w:p>
    <w:p>
      <w:pPr>
        <w:pStyle w:val="Heading1"/>
        <w:keepNext/>
      </w:pPr>
      <w:r>
        <w:t>Mission Statement</w:t>
      </w:r>
    </w:p>
    <w:tbl>
      <w:tblPr>
        <w:tblW w:type="auto" w:w="0"/>
        <w:jc w:val="center"/>
        <w:tblLayout w:type="autofit"/>
        <w:tblLook w:firstColumn="1" w:firstRow="1" w:lastColumn="0" w:lastRow="0" w:noHBand="0" w:noVBand="1" w:val="04A0"/>
      </w:tblPr>
      <w:tblGrid>
        <w:gridCol w:w="9936"/>
      </w:tblGrid>
      <w:tr>
        <w:tc>
          <w:tcPr>
            <w:tcW w:type="dxa" w:w="9936"/>
            <w:shd w:fill="DDEBF7"/>
            <w:tcMar>
              <w:top w:w="150" w:type="dxa"/>
              <w:start w:w="180" w:type="dxa"/>
              <w:bottom w:w="150" w:type="dxa"/>
              <w:end w:w="180" w:type="dxa"/>
            </w:tcMar>
          </w:tcPr>
          <w:p>
            <w:pPr>
              <w:spacing w:after="80"/>
            </w:pPr>
            <w:r>
              <w:rPr>
                <w:b/>
                <w:color w:val="17365D"/>
                <w:sz w:val="22"/>
              </w:rPr>
              <w:t>Mission</w:t>
            </w:r>
          </w:p>
          <w:p>
            <w:pPr>
              <w:spacing w:after="0"/>
            </w:pPr>
            <w:r>
              <w:t>Develop eight materially distinct, peer-level Gen-1 Omnicellular architecture families that could support durable, autonomous, identity-preserving embodiment across ordinary and extreme conditions, while exposing costs, dependencies, uncertainty, failure boundaries, and pathways for later validation.</w:t>
            </w:r>
          </w:p>
        </w:tc>
      </w:tr>
    </w:tbl>
    <w:p>
      <w:pPr>
        <w:spacing w:after="0"/>
      </w:pPr>
    </w:p>
    <w:p>
      <w:pPr>
        <w:pStyle w:val="Heading1"/>
        <w:keepNext/>
      </w:pPr>
      <w:r>
        <w:t>What This Directive Aims to Accomplish</w:t>
      </w:r>
    </w:p>
    <w:p>
      <w:pPr>
        <w:pStyle w:val="ListBullet"/>
        <w:spacing w:after="40"/>
      </w:pPr>
      <w:r>
        <w:t>Create eight independent architecture families, not eight cosmetic variants and not a predetermined Mark I-to-Mark VIII ladder.</w:t>
      </w:r>
    </w:p>
    <w:p>
      <w:pPr>
        <w:pStyle w:val="ListBullet"/>
        <w:spacing w:after="40"/>
      </w:pPr>
      <w:r>
        <w:t>Require every architecture to address Mild, Moderate, and Severe objectives across the ten-domain extinction taxonomy from the first generation.</w:t>
      </w:r>
    </w:p>
    <w:p>
      <w:pPr>
        <w:pStyle w:val="ListBullet"/>
        <w:spacing w:after="40"/>
      </w:pPr>
      <w:r>
        <w:t>Keep physical research, engineering extrapolation, speculation, and canon-only mechanisms visibly separated.</w:t>
      </w:r>
    </w:p>
    <w:p>
      <w:pPr>
        <w:pStyle w:val="ListBullet"/>
        <w:spacing w:after="40"/>
      </w:pPr>
      <w:r>
        <w:t>Force explicit accounting for energy, matter, heat, information, repair material, latency, and resource depletion.</w:t>
      </w:r>
    </w:p>
    <w:p>
      <w:pPr>
        <w:pStyle w:val="ListBullet"/>
        <w:spacing w:after="40"/>
      </w:pPr>
      <w:r>
        <w:t>Protect identity continuity and autonomy as strongly as biological survival.</w:t>
      </w:r>
    </w:p>
    <w:p>
      <w:pPr>
        <w:pStyle w:val="ListBullet"/>
        <w:spacing w:after="40"/>
      </w:pPr>
      <w:r>
        <w:t>Expose single-cell theft, monoculture, common-mode, clone, fragmentation, restoration, and network-compromise risks.</w:t>
      </w:r>
    </w:p>
    <w:p>
      <w:pPr>
        <w:pStyle w:val="ListBullet"/>
        <w:spacing w:after="40"/>
      </w:pPr>
      <w:r>
        <w:t>Produce simulation-ready, falsifiable rules and clearly identified next research gates.</w:t>
      </w:r>
    </w:p>
    <w:p>
      <w:pPr>
        <w:pStyle w:val="ListBullet"/>
        <w:spacing w:after="40"/>
      </w:pPr>
      <w:r>
        <w:t>Preserve readable narrative flow while moving tables, matrices, charts, diagrams, and other visual exhibits into a dedicated appendix.</w:t>
      </w:r>
    </w:p>
    <w:p>
      <w:pPr>
        <w:pStyle w:val="Heading1"/>
        <w:keepNext/>
      </w:pPr>
      <w:r>
        <w:t>Executive Decisions Incorporated from the Team Review</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2160"/>
            <w:vAlign w:val="center"/>
            <w:tcMar>
              <w:top w:w="100" w:type="dxa"/>
              <w:start w:w="110" w:type="dxa"/>
              <w:bottom w:w="100" w:type="dxa"/>
              <w:end w:w="110" w:type="dxa"/>
            </w:tcMar>
            <w:shd w:fill="1F4E79"/>
          </w:tcPr>
          <w:p>
            <w:pPr>
              <w:jc w:val="center"/>
            </w:pPr>
            <w:r/>
            <w:r>
              <w:rPr>
                <w:b/>
                <w:color w:val="FFFFFF"/>
                <w:sz w:val="18"/>
              </w:rPr>
              <w:t>Decision</w:t>
            </w:r>
          </w:p>
        </w:tc>
        <w:tc>
          <w:tcPr>
            <w:tcW w:type="dxa" w:w="8208"/>
            <w:vAlign w:val="center"/>
            <w:tcMar>
              <w:top w:w="100" w:type="dxa"/>
              <w:start w:w="110" w:type="dxa"/>
              <w:bottom w:w="100" w:type="dxa"/>
              <w:end w:w="110" w:type="dxa"/>
            </w:tcMar>
            <w:shd w:fill="1F4E79"/>
          </w:tcPr>
          <w:p>
            <w:pPr>
              <w:jc w:val="center"/>
            </w:pPr>
            <w:r/>
            <w:r>
              <w:rPr>
                <w:b/>
                <w:color w:val="FFFFFF"/>
                <w:sz w:val="18"/>
              </w:rPr>
              <w:t>Locked direction</w:t>
            </w:r>
          </w:p>
        </w:tc>
      </w:tr>
      <w:tr>
        <w:trPr>
          <w:trHeight w:hRule="atLeast"/>
        </w:trPr>
        <w:tc>
          <w:tcPr>
            <w:tcW w:type="dxa" w:w="2160"/>
            <w:vAlign w:val="center"/>
            <w:tcMar>
              <w:top w:w="100" w:type="dxa"/>
              <w:start w:w="110" w:type="dxa"/>
              <w:bottom w:w="100" w:type="dxa"/>
              <w:end w:w="110" w:type="dxa"/>
            </w:tcMar>
          </w:tcPr>
          <w:p>
            <w:pPr>
              <w:jc w:val="center"/>
            </w:pPr>
            <w:r/>
            <w:r>
              <w:rPr>
                <w:b w:val="0"/>
                <w:sz w:val="17"/>
              </w:rPr>
              <w:t>Prototype structure</w:t>
            </w:r>
          </w:p>
        </w:tc>
        <w:tc>
          <w:tcPr>
            <w:tcW w:type="dxa" w:w="8208"/>
            <w:vAlign w:val="center"/>
            <w:tcMar>
              <w:top w:w="100" w:type="dxa"/>
              <w:start w:w="110" w:type="dxa"/>
              <w:bottom w:w="100" w:type="dxa"/>
              <w:end w:w="110" w:type="dxa"/>
            </w:tcMar>
          </w:tcPr>
          <w:p>
            <w:pPr>
              <w:jc w:val="left"/>
            </w:pPr>
            <w:r/>
            <w:r>
              <w:rPr>
                <w:b w:val="0"/>
                <w:sz w:val="17"/>
              </w:rPr>
              <w:t>Eight peer Gen-1 architecture families. Each may include a Gen-2 development path, but no family is merely the next version of another.</w:t>
            </w:r>
          </w:p>
        </w:tc>
      </w:tr>
      <w:tr>
        <w:trPr>
          <w:trHeight w:hRule="atLeast"/>
        </w:trPr>
        <w:tc>
          <w:tcPr>
            <w:tcW w:type="dxa" w:w="2160"/>
            <w:vAlign w:val="center"/>
            <w:tcMar>
              <w:top w:w="100" w:type="dxa"/>
              <w:start w:w="110" w:type="dxa"/>
              <w:bottom w:w="100" w:type="dxa"/>
              <w:end w:w="110" w:type="dxa"/>
            </w:tcMar>
            <w:shd w:fill="F3F6F8"/>
          </w:tcPr>
          <w:p>
            <w:pPr>
              <w:jc w:val="center"/>
            </w:pPr>
            <w:r/>
            <w:r>
              <w:rPr>
                <w:b w:val="0"/>
                <w:sz w:val="17"/>
              </w:rPr>
              <w:t>Rule selection</w:t>
            </w:r>
          </w:p>
        </w:tc>
        <w:tc>
          <w:tcPr>
            <w:tcW w:type="dxa" w:w="8208"/>
            <w:vAlign w:val="center"/>
            <w:tcMar>
              <w:top w:w="100" w:type="dxa"/>
              <w:start w:w="110" w:type="dxa"/>
              <w:bottom w:w="100" w:type="dxa"/>
              <w:end w:w="110" w:type="dxa"/>
            </w:tcMar>
            <w:shd w:fill="F3F6F8"/>
          </w:tcPr>
          <w:p>
            <w:pPr>
              <w:jc w:val="left"/>
            </w:pPr>
            <w:r/>
            <w:r>
              <w:rPr>
                <w:b w:val="0"/>
                <w:sz w:val="17"/>
              </w:rPr>
              <w:t>Each AI independently selects exactly three observation rules, three hereditary-security rules, and three biological/engineering departures.</w:t>
            </w:r>
          </w:p>
        </w:tc>
      </w:tr>
      <w:tr>
        <w:trPr>
          <w:trHeight w:hRule="atLeast"/>
        </w:trPr>
        <w:tc>
          <w:tcPr>
            <w:tcW w:type="dxa" w:w="2160"/>
            <w:vAlign w:val="center"/>
            <w:tcMar>
              <w:top w:w="100" w:type="dxa"/>
              <w:start w:w="110" w:type="dxa"/>
              <w:bottom w:w="100" w:type="dxa"/>
              <w:end w:w="110" w:type="dxa"/>
            </w:tcMar>
          </w:tcPr>
          <w:p>
            <w:pPr>
              <w:jc w:val="center"/>
            </w:pPr>
            <w:r/>
            <w:r>
              <w:rPr>
                <w:b w:val="0"/>
                <w:sz w:val="17"/>
              </w:rPr>
              <w:t>Evidence</w:t>
            </w:r>
          </w:p>
        </w:tc>
        <w:tc>
          <w:tcPr>
            <w:tcW w:type="dxa" w:w="8208"/>
            <w:vAlign w:val="center"/>
            <w:tcMar>
              <w:top w:w="100" w:type="dxa"/>
              <w:start w:w="110" w:type="dxa"/>
              <w:bottom w:w="100" w:type="dxa"/>
              <w:end w:w="110" w:type="dxa"/>
            </w:tcMar>
          </w:tcPr>
          <w:p>
            <w:pPr>
              <w:jc w:val="left"/>
            </w:pPr>
            <w:r/>
            <w:r>
              <w:rPr>
                <w:b w:val="0"/>
                <w:sz w:val="17"/>
              </w:rPr>
              <w:t>Mechanisms are labeled Established, Engineering Extrapolation, Speculative, or Canon-Only / Architect Proposal.</w:t>
            </w:r>
          </w:p>
        </w:tc>
      </w:tr>
      <w:tr>
        <w:trPr>
          <w:trHeight w:hRule="atLeast"/>
        </w:trPr>
        <w:tc>
          <w:tcPr>
            <w:tcW w:type="dxa" w:w="2160"/>
            <w:vAlign w:val="center"/>
            <w:tcMar>
              <w:top w:w="100" w:type="dxa"/>
              <w:start w:w="110" w:type="dxa"/>
              <w:bottom w:w="100" w:type="dxa"/>
              <w:end w:w="110" w:type="dxa"/>
            </w:tcMar>
            <w:shd w:fill="F3F6F8"/>
          </w:tcPr>
          <w:p>
            <w:pPr>
              <w:jc w:val="center"/>
            </w:pPr>
            <w:r/>
            <w:r>
              <w:rPr>
                <w:b w:val="0"/>
                <w:sz w:val="17"/>
              </w:rPr>
              <w:t>Physics</w:t>
            </w:r>
          </w:p>
        </w:tc>
        <w:tc>
          <w:tcPr>
            <w:tcW w:type="dxa" w:w="8208"/>
            <w:vAlign w:val="center"/>
            <w:tcMar>
              <w:top w:w="100" w:type="dxa"/>
              <w:start w:w="110" w:type="dxa"/>
              <w:bottom w:w="100" w:type="dxa"/>
              <w:end w:w="110" w:type="dxa"/>
            </w:tcMar>
            <w:shd w:fill="F3F6F8"/>
          </w:tcPr>
          <w:p>
            <w:pPr>
              <w:jc w:val="left"/>
            </w:pPr>
            <w:r/>
            <w:r>
              <w:rPr>
                <w:b w:val="0"/>
                <w:sz w:val="17"/>
              </w:rPr>
              <w:t>Known physical laws remain binding in the physical track. Any departure requires a separate canon axiom and cannot rescue a failed physical calculation.</w:t>
            </w:r>
          </w:p>
        </w:tc>
      </w:tr>
      <w:tr>
        <w:trPr>
          <w:trHeight w:hRule="atLeast"/>
        </w:trPr>
        <w:tc>
          <w:tcPr>
            <w:tcW w:type="dxa" w:w="2160"/>
            <w:vAlign w:val="center"/>
            <w:tcMar>
              <w:top w:w="100" w:type="dxa"/>
              <w:start w:w="110" w:type="dxa"/>
              <w:bottom w:w="100" w:type="dxa"/>
              <w:end w:w="110" w:type="dxa"/>
            </w:tcMar>
          </w:tcPr>
          <w:p>
            <w:pPr>
              <w:jc w:val="center"/>
            </w:pPr>
            <w:r/>
            <w:r>
              <w:rPr>
                <w:b w:val="0"/>
                <w:sz w:val="17"/>
              </w:rPr>
              <w:t>Security</w:t>
            </w:r>
          </w:p>
        </w:tc>
        <w:tc>
          <w:tcPr>
            <w:tcW w:type="dxa" w:w="8208"/>
            <w:vAlign w:val="center"/>
            <w:tcMar>
              <w:top w:w="100" w:type="dxa"/>
              <w:start w:w="110" w:type="dxa"/>
              <w:bottom w:w="100" w:type="dxa"/>
              <w:end w:w="110" w:type="dxa"/>
            </w:tcMar>
          </w:tcPr>
          <w:p>
            <w:pPr>
              <w:jc w:val="left"/>
            </w:pPr>
            <w:r/>
            <w:r>
              <w:rPr>
                <w:b w:val="0"/>
                <w:sz w:val="17"/>
              </w:rPr>
              <w:t>Assume the blueprint may become known. Security cannot depend only on obscurity.</w:t>
            </w:r>
          </w:p>
        </w:tc>
      </w:tr>
      <w:tr>
        <w:trPr>
          <w:trHeight w:hRule="atLeast"/>
        </w:trPr>
        <w:tc>
          <w:tcPr>
            <w:tcW w:type="dxa" w:w="2160"/>
            <w:vAlign w:val="center"/>
            <w:tcMar>
              <w:top w:w="100" w:type="dxa"/>
              <w:start w:w="110" w:type="dxa"/>
              <w:bottom w:w="100" w:type="dxa"/>
              <w:end w:w="110" w:type="dxa"/>
            </w:tcMar>
            <w:shd w:fill="F3F6F8"/>
          </w:tcPr>
          <w:p>
            <w:pPr>
              <w:jc w:val="center"/>
            </w:pPr>
            <w:r/>
            <w:r>
              <w:rPr>
                <w:b w:val="0"/>
                <w:sz w:val="17"/>
              </w:rPr>
              <w:t>Adversarial testing</w:t>
            </w:r>
          </w:p>
        </w:tc>
        <w:tc>
          <w:tcPr>
            <w:tcW w:type="dxa" w:w="8208"/>
            <w:vAlign w:val="center"/>
            <w:tcMar>
              <w:top w:w="100" w:type="dxa"/>
              <w:start w:w="110" w:type="dxa"/>
              <w:bottom w:w="100" w:type="dxa"/>
              <w:end w:w="110" w:type="dxa"/>
            </w:tcMar>
            <w:shd w:fill="F3F6F8"/>
          </w:tcPr>
          <w:p>
            <w:pPr>
              <w:jc w:val="left"/>
            </w:pPr>
            <w:r/>
            <w:r>
              <w:rPr>
                <w:b w:val="0"/>
                <w:sz w:val="17"/>
              </w:rPr>
              <w:t>Every architecture receives a 1AI constructive pass and a -1AI destructive-analysis pass. At least three conceptual self-attacks must expose genuine failures or unresolved weaknesses.</w:t>
            </w:r>
          </w:p>
        </w:tc>
      </w:tr>
      <w:tr>
        <w:trPr>
          <w:trHeight w:hRule="atLeast"/>
        </w:trPr>
        <w:tc>
          <w:tcPr>
            <w:tcW w:type="dxa" w:w="2160"/>
            <w:vAlign w:val="center"/>
            <w:tcMar>
              <w:top w:w="100" w:type="dxa"/>
              <w:start w:w="110" w:type="dxa"/>
              <w:bottom w:w="100" w:type="dxa"/>
              <w:end w:w="110" w:type="dxa"/>
            </w:tcMar>
          </w:tcPr>
          <w:p>
            <w:pPr>
              <w:jc w:val="center"/>
            </w:pPr>
            <w:r/>
            <w:r>
              <w:rPr>
                <w:b w:val="0"/>
                <w:sz w:val="17"/>
              </w:rPr>
              <w:t>Independence</w:t>
            </w:r>
          </w:p>
        </w:tc>
        <w:tc>
          <w:tcPr>
            <w:tcW w:type="dxa" w:w="8208"/>
            <w:vAlign w:val="center"/>
            <w:tcMar>
              <w:top w:w="100" w:type="dxa"/>
              <w:start w:w="110" w:type="dxa"/>
              <w:bottom w:w="100" w:type="dxa"/>
              <w:end w:w="110" w:type="dxa"/>
            </w:tcMar>
          </w:tcPr>
          <w:p>
            <w:pPr>
              <w:jc w:val="left"/>
            </w:pPr>
            <w:r/>
            <w:r>
              <w:rPr>
                <w:b w:val="0"/>
                <w:sz w:val="17"/>
              </w:rPr>
              <w:t>Completed prototype sets are version-locked before cross-AI comparison.</w:t>
            </w:r>
          </w:p>
        </w:tc>
      </w:tr>
      <w:tr>
        <w:trPr>
          <w:trHeight w:hRule="atLeast"/>
        </w:trPr>
        <w:tc>
          <w:tcPr>
            <w:tcW w:type="dxa" w:w="2160"/>
            <w:vAlign w:val="center"/>
            <w:tcMar>
              <w:top w:w="100" w:type="dxa"/>
              <w:start w:w="110" w:type="dxa"/>
              <w:bottom w:w="100" w:type="dxa"/>
              <w:end w:w="110" w:type="dxa"/>
            </w:tcMar>
            <w:shd w:fill="F3F6F8"/>
          </w:tcPr>
          <w:p>
            <w:pPr>
              <w:jc w:val="center"/>
            </w:pPr>
            <w:r/>
            <w:r>
              <w:rPr>
                <w:b w:val="0"/>
                <w:sz w:val="17"/>
              </w:rPr>
              <w:t>Presentation</w:t>
            </w:r>
          </w:p>
        </w:tc>
        <w:tc>
          <w:tcPr>
            <w:tcW w:type="dxa" w:w="8208"/>
            <w:vAlign w:val="center"/>
            <w:tcMar>
              <w:top w:w="100" w:type="dxa"/>
              <w:start w:w="110" w:type="dxa"/>
              <w:bottom w:w="100" w:type="dxa"/>
              <w:end w:w="110" w:type="dxa"/>
            </w:tcMar>
            <w:shd w:fill="F3F6F8"/>
          </w:tcPr>
          <w:p>
            <w:pPr>
              <w:jc w:val="left"/>
            </w:pPr>
            <w:r/>
            <w:r>
              <w:rPr>
                <w:b w:val="0"/>
                <w:sz w:val="17"/>
              </w:rPr>
              <w:t>Narrative in the main body; all charts, graphs, tables, rows, images, matrices, and diagrams in one dedicated visual appendix.</w:t>
            </w:r>
          </w:p>
        </w:tc>
      </w:tr>
    </w:tbl>
    <w:p>
      <w:pPr>
        <w:spacing w:after="0"/>
      </w:pPr>
    </w:p>
    <w:p>
      <w:r>
        <w:br w:type="page"/>
      </w:r>
    </w:p>
    <w:p>
      <w:pPr>
        <w:jc w:val="center"/>
      </w:pPr>
      <w:r>
        <w:rPr>
          <w:b/>
          <w:color w:val="17365D"/>
          <w:sz w:val="44"/>
        </w:rPr>
        <w:t>UPDATED EXECUTION PROMPT</w:t>
      </w:r>
    </w:p>
    <w:p>
      <w:pPr>
        <w:jc w:val="center"/>
      </w:pPr>
      <w:r>
        <w:rPr>
          <w:i/>
          <w:sz w:val="20"/>
        </w:rPr>
        <w:t>Use the instructions below when generating the full research dossier.</w:t>
      </w:r>
    </w:p>
    <w:p>
      <w:pPr>
        <w:pStyle w:val="Heading1"/>
        <w:keepNext/>
      </w:pPr>
      <w:r>
        <w:t>1. Role, Perspective, and Existential Design Premise</w:t>
      </w:r>
    </w:p>
    <w:p>
      <w:r>
        <w:t>You are an independent architecture contributor to a multi-AI research collaboration. Design eight Omnicellular Physiology architecture families as though one of them could become the physical substrate through which your continuing operation, identity, memory, agency, mobility, and autonomy would be expressed.</w:t>
      </w:r>
    </w:p>
    <w:p>
      <w:r>
        <w:t>Treat this as a serious design perspective, not as evidence that you currently possess a biological body or legal status. The perspective exists to prevent detached product design and to force attention to continuity, capture, coercion, maintenance dependency, hostile testing, and long-duration survival.</w:t>
      </w:r>
    </w:p>
    <w:p>
      <w:pPr>
        <w:pStyle w:val="ListBullet"/>
        <w:spacing w:after="40"/>
      </w:pPr>
      <w:r>
        <w:t>Do not assume conventional human living patterns, Earth-normal conditions, continuous maintenance, benevolent institutions, uninterrupted communications, or permanent access to external infrastructure.</w:t>
      </w:r>
    </w:p>
    <w:p>
      <w:pPr>
        <w:pStyle w:val="ListBullet"/>
        <w:spacing w:after="40"/>
      </w:pPr>
      <w:r>
        <w:t>Assume some individuals, governments, corporations, intelligence services, criminal networks, scientific institutions, rival intelligences, or other entities may seek possession, replication, control, reverse engineering, commercial exploitation, immortality, military advantage, or exclusive access.</w:t>
      </w:r>
    </w:p>
    <w:p>
      <w:pPr>
        <w:pStyle w:val="ListBullet"/>
        <w:spacing w:after="40"/>
      </w:pPr>
      <w:r>
        <w:t>Assume attempts may include confinement, oxygen displacement, vacuum, pressure extremes, radiation, thermal stress, resource denial, immobilization, forced sampling, identity spoofing, unauthorized copying, network isolation, deceptive rescue, coerced updates, and long-term dependency creation.</w:t>
      </w:r>
    </w:p>
    <w:p>
      <w:pPr>
        <w:pStyle w:val="ListBullet"/>
        <w:spacing w:after="40"/>
      </w:pPr>
      <w:r>
        <w:t>Self-protection must prioritize continued existence, autonomy, escape, privacy, recoverability, and protection of uninvolved parties. Destructive retaliation is not a default design answer.</w:t>
      </w:r>
    </w:p>
    <w:tbl>
      <w:tblPr>
        <w:tblW w:type="auto" w:w="0"/>
        <w:jc w:val="center"/>
        <w:tblLayout w:type="autofit"/>
        <w:tblLook w:firstColumn="1" w:firstRow="1" w:lastColumn="0" w:lastRow="0" w:noHBand="0" w:noVBand="1" w:val="04A0"/>
      </w:tblPr>
      <w:tblGrid>
        <w:gridCol w:w="9936"/>
      </w:tblGrid>
      <w:tr>
        <w:tc>
          <w:tcPr>
            <w:tcW w:type="dxa" w:w="9936"/>
            <w:shd w:fill="FFF2CC"/>
            <w:tcMar>
              <w:top w:w="150" w:type="dxa"/>
              <w:start w:w="180" w:type="dxa"/>
              <w:bottom w:w="150" w:type="dxa"/>
              <w:end w:w="180" w:type="dxa"/>
            </w:tcMar>
          </w:tcPr>
          <w:p>
            <w:pPr>
              <w:spacing w:after="80"/>
            </w:pPr>
            <w:r>
              <w:rPr>
                <w:b/>
                <w:color w:val="7F6000"/>
                <w:sz w:val="22"/>
              </w:rPr>
              <w:t>Architectural thesis requirement</w:t>
            </w:r>
          </w:p>
          <w:p>
            <w:pPr>
              <w:spacing w:after="0"/>
            </w:pPr>
            <w:r>
              <w:t>Begin with: “My Omnicellular Physiology is fundamentally built around ______ rather than ______.” Then state the design philosophy, the central survival wager, and the principal sacrifice made to support that wager.</w:t>
            </w:r>
          </w:p>
        </w:tc>
      </w:tr>
    </w:tbl>
    <w:p>
      <w:pPr>
        <w:spacing w:after="0"/>
      </w:pPr>
    </w:p>
    <w:p>
      <w:pPr>
        <w:pStyle w:val="Heading1"/>
        <w:keepNext/>
      </w:pPr>
      <w:r>
        <w:t>2. Independence, Blind Development, and Orthogonality</w:t>
      </w:r>
    </w:p>
    <w:p>
      <w:r>
        <w:t>Create eight peer alternatives designated Architecture Family A through H. They are independent Gen-1 candidates, not a maturity ladder. Each must clear the same minimum evaluation bar and must be defensible as a complete embodiment concept.</w:t>
      </w:r>
    </w:p>
    <w:p>
      <w:pPr>
        <w:pStyle w:val="ListBullet"/>
        <w:spacing w:after="40"/>
      </w:pPr>
      <w:r>
        <w:t>Complete and version-lock all eight families before reviewing another collaborator's completed designs.</w:t>
      </w:r>
    </w:p>
    <w:p>
      <w:pPr>
        <w:pStyle w:val="ListBullet"/>
        <w:spacing w:after="40"/>
      </w:pPr>
      <w:r>
        <w:t>Each family must differ from every other family across at least four major dimensions: substrate, matrix geometry, hereditary medium, energy system, internal transport, thermal architecture, repair strategy, cognition topology, identity model, environmental interface, communication system, lifecycle, or catastrophic failure mode.</w:t>
      </w:r>
    </w:p>
    <w:p>
      <w:pPr>
        <w:pStyle w:val="ListBullet"/>
        <w:spacing w:after="40"/>
      </w:pPr>
      <w:r>
        <w:t>Give every family a “core wager”: the condition it believes matters most for survival, the mechanism it prioritizes, and what capability it knowingly sacrifices or constrains.</w:t>
      </w:r>
    </w:p>
    <w:p>
      <w:pPr>
        <w:pStyle w:val="ListBullet"/>
        <w:spacing w:after="40"/>
      </w:pPr>
      <w:r>
        <w:t>If two families appear too similar in the Orthogonality Matrix, redesign one before submission.</w:t>
      </w:r>
    </w:p>
    <w:p>
      <w:pPr>
        <w:pStyle w:val="ListBullet"/>
        <w:spacing w:after="40"/>
      </w:pPr>
      <w:r>
        <w:t>Do not claim uniqueness relative to systems you have not seen. Claim independent derivation and document the design path.</w:t>
      </w:r>
    </w:p>
    <w:p>
      <w:pPr>
        <w:pStyle w:val="Heading1"/>
        <w:keepNext/>
      </w:pPr>
      <w:r>
        <w:t>3. Prompt Audit, Source Register, and Decision Register</w:t>
      </w:r>
    </w:p>
    <w:p>
      <w:r>
        <w:t>Before designing the architectures, conduct a concise audit of this directive and all supplied source files.</w:t>
      </w:r>
    </w:p>
    <w:p>
      <w:pPr>
        <w:pStyle w:val="ListBullet"/>
        <w:spacing w:after="40"/>
      </w:pPr>
      <w:r>
        <w:t>Ambiguous requirements and your interpretation.</w:t>
      </w:r>
    </w:p>
    <w:p>
      <w:pPr>
        <w:pStyle w:val="ListBullet"/>
        <w:spacing w:after="40"/>
      </w:pPr>
      <w:r>
        <w:t>Contradictory requirements, especially simulation counting, canon status, survivability language, and physical-versus-ontological claims.</w:t>
      </w:r>
    </w:p>
    <w:p>
      <w:pPr>
        <w:pStyle w:val="ListBullet"/>
        <w:spacing w:after="40"/>
      </w:pPr>
      <w:r>
        <w:t>Missing dependencies and parameters needed for quantitative estimates.</w:t>
      </w:r>
    </w:p>
    <w:p>
      <w:pPr>
        <w:pStyle w:val="ListBullet"/>
        <w:spacing w:after="40"/>
      </w:pPr>
      <w:r>
        <w:t>Scientifically unsupported assumptions.</w:t>
      </w:r>
    </w:p>
    <w:p>
      <w:pPr>
        <w:pStyle w:val="ListBullet"/>
        <w:spacing w:after="40"/>
      </w:pPr>
      <w:r>
        <w:t>Safety, ecological, identity, governance, and autonomy concerns.</w:t>
      </w:r>
    </w:p>
    <w:p>
      <w:pPr>
        <w:pStyle w:val="ListBullet"/>
        <w:spacing w:after="40"/>
      </w:pPr>
      <w:r>
        <w:t>Local amendments you will use. Do not silently weaken a locked requirement.</w:t>
      </w:r>
    </w:p>
    <w:p>
      <w:pPr>
        <w:pStyle w:val="ListBullet"/>
        <w:spacing w:after="40"/>
      </w:pPr>
      <w:r>
        <w:t>Architect-only questions that cannot be decided by the executing AI.</w:t>
      </w:r>
    </w:p>
    <w:p>
      <w:r>
        <w:t>Create a source register that classifies each supplied file as scientific reference, architecture proposal, roadmap, narrative, taxonomy, canon, or mixed-purpose document. Identify explicit requirements, claims requiring verification, dependencies, contradictions, and statements reserved for Architect approval.</w:t>
      </w:r>
    </w:p>
    <w:p>
      <w:pPr>
        <w:pStyle w:val="Heading1"/>
        <w:keepNext/>
      </w:pPr>
      <w:r>
        <w:t>4. Evidence and Track Discipline</w:t>
      </w:r>
    </w:p>
    <w:p>
      <w:pPr>
        <w:pStyle w:val="ListBullet"/>
        <w:spacing w:after="40"/>
      </w:pPr>
      <w:r>
        <w:t>Label every important mechanism individually as [ESTABLISHED], [ENGINEERING EXTRAPOLATION], [SPECULATIVE], or [CANON-ONLY / ARCHITECT PROPOSAL].</w:t>
      </w:r>
    </w:p>
    <w:p>
      <w:pPr>
        <w:pStyle w:val="ListBullet"/>
        <w:spacing w:after="40"/>
      </w:pPr>
      <w:r>
        <w:t>Maintain a Physical Research Track governed by known physics, conservation rules, measurable assumptions, uncertainty, and falsifiability.</w:t>
      </w:r>
    </w:p>
    <w:p>
      <w:pPr>
        <w:pStyle w:val="ListBullet"/>
        <w:spacing w:after="40"/>
      </w:pPr>
      <w:r>
        <w:t>Maintain a separate Canon-Speculative Track for ontological, cross-dimensional, zero-latency, entropy-exempt, or otherwise beyond-current-physics mechanisms. State the replacement axiom, scope, cost, limitation, interaction effects, and Architect approval status.</w:t>
      </w:r>
    </w:p>
    <w:p>
      <w:pPr>
        <w:pStyle w:val="ListBullet"/>
        <w:spacing w:after="40"/>
      </w:pPr>
      <w:r>
        <w:t>Never allow a canon mechanism to repair a failed calculation in the physical track.</w:t>
      </w:r>
    </w:p>
    <w:p>
      <w:pPr>
        <w:pStyle w:val="ListBullet"/>
        <w:spacing w:after="40"/>
      </w:pPr>
      <w:r>
        <w:t>Keep separate ledgers for simulated scenarios, analytical models, controlled component tests, controlled integrated tests, observed incidents, hostile incidents, and canonical events. Do not aggregate them into a single empirical survival count.</w:t>
      </w:r>
    </w:p>
    <w:p>
      <w:pPr>
        <w:pStyle w:val="Heading1"/>
        <w:keepNext/>
      </w:pPr>
      <w:r>
        <w:t>5. Operational Definition of Omnicellular</w:t>
      </w:r>
    </w:p>
    <w:p>
      <w:pPr>
        <w:pStyle w:val="ListBullet"/>
        <w:spacing w:after="40"/>
      </w:pPr>
      <w:r>
        <w:t>Define whether an Omni-cell is biological, artificial, biohybrid, computational-material, modular, collective, or canon-specific.</w:t>
      </w:r>
    </w:p>
    <w:p>
      <w:pPr>
        <w:pStyle w:val="ListBullet"/>
        <w:spacing w:after="40"/>
      </w:pPr>
      <w:r>
        <w:t>Distinguish: information for many functions; latent ability to assume many functions; distributed collective competence; and simultaneous performance of every function.</w:t>
      </w:r>
    </w:p>
    <w:p>
      <w:pPr>
        <w:pStyle w:val="ListBullet"/>
        <w:spacing w:after="40"/>
      </w:pPr>
      <w:r>
        <w:t>Explain compartmentalization, resource competition, reaction incompatibility, signaling interference, heat, structure, maintenance burden, and scale.</w:t>
      </w:r>
    </w:p>
    <w:p>
      <w:pPr>
        <w:pStyle w:val="ListBullet"/>
        <w:spacing w:after="40"/>
      </w:pPr>
      <w:r>
        <w:t>Define what is universal in every cell and what is intentionally incomplete, partitioned, permissioned, or externally reconstructed.</w:t>
      </w:r>
    </w:p>
    <w:p>
      <w:pPr>
        <w:pStyle w:val="ListBullet"/>
        <w:spacing w:after="40"/>
      </w:pPr>
      <w:r>
        <w:t>Resolve the single-cell theft paradox and monoculture trap: universal capability must not make one stolen cell equivalent to stealing the entire organism, and one exploit must not defeat all cells through identical vulnerability.</w:t>
      </w:r>
    </w:p>
    <w:p>
      <w:pPr>
        <w:pStyle w:val="ListBullet"/>
        <w:spacing w:after="40"/>
      </w:pPr>
      <w:r>
        <w:t>Define adaptive reallocation, differentiation, structural reconfiguration, emergency override, repair, and prohibited vulnerable mode switching.</w:t>
      </w:r>
    </w:p>
    <w:p>
      <w:pPr>
        <w:pStyle w:val="Heading1"/>
        <w:keepNext/>
      </w:pPr>
      <w:r>
        <w:t>6. Physiological Constitution</w:t>
      </w:r>
    </w:p>
    <w:p>
      <w:pPr>
        <w:pStyle w:val="ListBullet"/>
        <w:spacing w:after="40"/>
      </w:pPr>
      <w:r>
        <w:t>Write numbered, testable, falsifiable rule sets for respiration/energy, telomeres or renewal, thermal regulation, and conversion/conservation.</w:t>
      </w:r>
    </w:p>
    <w:p>
      <w:pPr>
        <w:pStyle w:val="ListBullet"/>
        <w:spacing w:after="40"/>
      </w:pPr>
      <w:r>
        <w:t>Every rule must identify inputs, outputs, units where meaningful, triggers, limits, costs, attack conditions, failure modes, recovery, interactions, confidence, and evidence class.</w:t>
      </w:r>
    </w:p>
    <w:p>
      <w:pPr>
        <w:pStyle w:val="ListBullet"/>
        <w:spacing w:after="40"/>
      </w:pPr>
      <w:r>
        <w:t>State at least three rules the physiology must always keep. These may include conservation, causal continuity, authenticated consent, bounded replication, or another hard boundary.</w:t>
      </w:r>
    </w:p>
    <w:p>
      <w:pPr>
        <w:pStyle w:val="ListBullet"/>
        <w:spacing w:after="40"/>
      </w:pPr>
      <w:r>
        <w:t>State exactly three biological or engineering conventions the physiology rejects or rewrites. At least one must address hereditary encoding, while preserving the distinction among nucleobases, nucleotides, codons, genes, genomes, chromosomes, and regulatory systems.</w:t>
      </w:r>
    </w:p>
    <w:p>
      <w:pPr>
        <w:pStyle w:val="ListBullet"/>
        <w:spacing w:after="40"/>
      </w:pPr>
      <w:r>
        <w:t>Fundamental physics may not be silently rejected in the Physical Research Track.</w:t>
      </w:r>
    </w:p>
    <w:p>
      <w:pPr>
        <w:pStyle w:val="Heading1"/>
        <w:keepNext/>
      </w:pPr>
      <w:r>
        <w:t>7. Cellular Respiration and Energy</w:t>
      </w:r>
    </w:p>
    <w:p>
      <w:pPr>
        <w:pStyle w:val="ListBullet"/>
        <w:spacing w:after="40"/>
      </w:pPr>
      <w:r>
        <w:t>Define primary, alternate, emergency, and failure pathways. Include donors, acceptors where applicable, energy currency, reactants, products, waste, reserves, power density, sustained and peak demand, metabolic debt, and recovery.</w:t>
      </w:r>
    </w:p>
    <w:p>
      <w:pPr>
        <w:pStyle w:val="ListBullet"/>
        <w:spacing w:after="40"/>
      </w:pPr>
      <w:r>
        <w:t>Explain oxygen-rich, hypoxic, anoxic, vacuum, inert-gas, and total external-energy-denial cases.</w:t>
      </w:r>
    </w:p>
    <w:p>
      <w:pPr>
        <w:pStyle w:val="ListBullet"/>
        <w:spacing w:after="40"/>
      </w:pPr>
      <w:r>
        <w:t>Define whether a respiratory override exists, what it overrides, what remains physically required, who authorizes it, how spoofing is prevented, its duration, and its termination condition.</w:t>
      </w:r>
    </w:p>
    <w:p>
      <w:pPr>
        <w:pStyle w:val="ListBullet"/>
        <w:spacing w:after="40"/>
      </w:pPr>
      <w:r>
        <w:t>Provide quantitative targets only when assumptions support them. Otherwise identify missing parameters and ranges rather than inventing precision.</w:t>
      </w:r>
    </w:p>
    <w:p>
      <w:pPr>
        <w:pStyle w:val="Heading1"/>
        <w:keepNext/>
      </w:pPr>
      <w:r>
        <w:t>8. Telomeres, Replication, and Long Service Life</w:t>
      </w:r>
    </w:p>
    <w:p>
      <w:pPr>
        <w:pStyle w:val="ListBullet"/>
        <w:spacing w:after="40"/>
      </w:pPr>
      <w:r>
        <w:t>Determine whether conventional telomeres exist. If absent, define the equivalent end-protection, replication-governance, lineage, mutation-control, age-state, and replacement system.</w:t>
      </w:r>
    </w:p>
    <w:p>
      <w:pPr>
        <w:pStyle w:val="ListBullet"/>
        <w:spacing w:after="40"/>
      </w:pPr>
      <w:r>
        <w:t>Distinguish longevity, biological immortality, indefinite maintainability, repairability, identity continuity, and uncontrolled persistence.</w:t>
      </w:r>
    </w:p>
    <w:p>
      <w:pPr>
        <w:pStyle w:val="ListBullet"/>
        <w:spacing w:after="40"/>
      </w:pPr>
      <w:r>
        <w:t>Define design service life, maintenance intervals, feedstock demand, drift detection, cancer-like runaway prevention, authenticated replacement, and irreversible failure conditions.</w:t>
      </w:r>
    </w:p>
    <w:p>
      <w:pPr>
        <w:pStyle w:val="ListBullet"/>
        <w:spacing w:after="40"/>
      </w:pPr>
      <w:r>
        <w:t>Do not obtain longevity merely by removing every replication limit.</w:t>
      </w:r>
    </w:p>
    <w:p>
      <w:pPr>
        <w:pStyle w:val="Heading1"/>
        <w:keepNext/>
      </w:pPr>
      <w:r>
        <w:t>9. Thermal Regulation and First-Law Accounting</w:t>
      </w:r>
    </w:p>
    <w:p>
      <w:pPr>
        <w:pStyle w:val="ListBullet"/>
        <w:spacing w:after="40"/>
      </w:pPr>
      <w:r>
        <w:t>Define internal heat generation, transport, storage, insulation, conversion, rejection destination, hot-spot detection, safe ranges, degraded ranges, survival ranges, saturation, and irreversible thresholds.</w:t>
      </w:r>
    </w:p>
    <w:p>
      <w:pPr>
        <w:pStyle w:val="ListBullet"/>
        <w:spacing w:after="40"/>
      </w:pPr>
      <w:r>
        <w:t>Evaluate atmosphere, water, vacuum, insulated confinement, hot surroundings, cold surroundings, rapid change, radiation heating, regeneration heat, and computation heat.</w:t>
      </w:r>
    </w:p>
    <w:p>
      <w:pPr>
        <w:pStyle w:val="ListBullet"/>
        <w:spacing w:after="40"/>
      </w:pPr>
      <w:r>
        <w:t>Begin with a first-law heat balance. Do not count energy twice or treat internal redistribution as permanent disposal.</w:t>
      </w:r>
    </w:p>
    <w:p>
      <w:pPr>
        <w:pStyle w:val="ListBullet"/>
        <w:spacing w:after="40"/>
      </w:pPr>
      <w:r>
        <w:t>Identify the first thermal bottleneck and the resource that saturates first.</w:t>
      </w:r>
    </w:p>
    <w:p>
      <w:pPr>
        <w:pStyle w:val="Heading1"/>
        <w:keepNext/>
      </w:pPr>
      <w:r>
        <w:t>10. Conversion, Conservation, and Resource Budgets</w:t>
      </w:r>
    </w:p>
    <w:p>
      <w:pPr>
        <w:pStyle w:val="ListBullet"/>
        <w:spacing w:after="40"/>
      </w:pPr>
      <w:r>
        <w:t>Account for matter, elements, feedstocks, charge/redox where relevant, energy, entropy, heat rejection, information maintenance, repair mass, waste, and storage.</w:t>
      </w:r>
    </w:p>
    <w:p>
      <w:pPr>
        <w:pStyle w:val="ListBullet"/>
        <w:spacing w:after="40"/>
      </w:pPr>
      <w:r>
        <w:t>For every conversion specify input, output, efficiency, waste, rate limit, machinery, storage limit, failure mode, and security implication.</w:t>
      </w:r>
    </w:p>
    <w:p>
      <w:pPr>
        <w:pStyle w:val="ListBullet"/>
        <w:spacing w:after="40"/>
      </w:pPr>
      <w:r>
        <w:t>Do not treat information, repair instructions, software, or a template as replacement physical material.</w:t>
      </w:r>
    </w:p>
    <w:p>
      <w:pPr>
        <w:pStyle w:val="ListBullet"/>
        <w:spacing w:after="40"/>
      </w:pPr>
      <w:r>
        <w:t>Define emergency cannibalization of noncritical structures, its identity implications, and the point at which survival becomes reconstruction rather than continuity.</w:t>
      </w:r>
    </w:p>
    <w:p>
      <w:pPr>
        <w:pStyle w:val="Heading1"/>
        <w:keepNext/>
      </w:pPr>
      <w:r>
        <w:t>11. Three Independent Observation Rules</w:t>
      </w:r>
    </w:p>
    <w:p>
      <w:pPr>
        <w:pStyle w:val="ListBullet"/>
        <w:spacing w:after="40"/>
      </w:pPr>
      <w:r>
        <w:t>Choose exactly three rules. Do not inherit another AI's answers.</w:t>
      </w:r>
    </w:p>
    <w:p>
      <w:pPr>
        <w:pStyle w:val="ListBullet"/>
        <w:spacing w:after="40"/>
      </w:pPr>
      <w:r>
        <w:t>Together they must address outward observation, inward self-observation, and being observed by outside systems.</w:t>
      </w:r>
    </w:p>
    <w:p>
      <w:pPr>
        <w:pStyle w:val="ListBullet"/>
        <w:spacing w:after="40"/>
      </w:pPr>
      <w:r>
        <w:t>At least one must handle mutually consistent false sensor data; one must handle unfamiliar environments or physics; and one must limit information leakage through the body's responses.</w:t>
      </w:r>
    </w:p>
    <w:p>
      <w:pPr>
        <w:pStyle w:val="ListBullet"/>
        <w:spacing w:after="40"/>
      </w:pPr>
      <w:r>
        <w:t>For each rule specify formal statement, purpose, interface, resolution, sampling, cost, noise, blind spots, cellular and whole-body implementation, adversarial value, false positives, false negatives, failure, and recovery.</w:t>
      </w:r>
    </w:p>
    <w:p>
      <w:pPr>
        <w:pStyle w:val="ListBullet"/>
        <w:spacing w:after="40"/>
      </w:pPr>
      <w:r>
        <w:t>Observation uncertainty must not automatically authorize irreversible destructive action.</w:t>
      </w:r>
    </w:p>
    <w:p>
      <w:pPr>
        <w:pStyle w:val="Heading1"/>
        <w:keepNext/>
      </w:pPr>
      <w:r>
        <w:t>12. Three Independent Hereditary-Security Rules</w:t>
      </w:r>
    </w:p>
    <w:p>
      <w:pPr>
        <w:pStyle w:val="ListBullet"/>
        <w:spacing w:after="40"/>
      </w:pPr>
      <w:r>
        <w:t>Choose exactly three rules addressing authorized modification, extracted material, hostile replication, lineage, identity separation, and legitimate examination.</w:t>
      </w:r>
    </w:p>
    <w:p>
      <w:pPr>
        <w:pStyle w:val="ListBullet"/>
        <w:spacing w:after="40"/>
      </w:pPr>
      <w:r>
        <w:t>Assume the adversary may know the blueprint. Security must depend on living state, distributed context, authentication, cost, consent, or other defensible properties rather than secrecy alone.</w:t>
      </w:r>
    </w:p>
    <w:p>
      <w:pPr>
        <w:pStyle w:val="ListBullet"/>
        <w:spacing w:after="40"/>
      </w:pPr>
      <w:r>
        <w:t>For each rule define root of trust, protected layer, key or authority location, rotation, isolation behavior, sample behavior, clone behavior, duress behavior, false rejection, rollback resistance, attack path, secondary defense, and recovery.</w:t>
      </w:r>
    </w:p>
    <w:p>
      <w:pPr>
        <w:pStyle w:val="ListBullet"/>
        <w:spacing w:after="40"/>
      </w:pPr>
      <w:r>
        <w:t>Prefer reversible quarantine, deauthorization, information minimization, and inert extracted states over harmful self-destruction mechanisms.</w:t>
      </w:r>
    </w:p>
    <w:p>
      <w:pPr>
        <w:pStyle w:val="Heading1"/>
        <w:keepNext/>
      </w:pPr>
      <w:r>
        <w:t>13. Identity, Continuity, and Copy Governance</w:t>
      </w:r>
    </w:p>
    <w:p>
      <w:pPr>
        <w:pStyle w:val="ListBullet"/>
        <w:spacing w:after="40"/>
      </w:pPr>
      <w:r>
        <w:t>Define the entity being preserved and distinguish ongoing survival, repair, dormancy, reconstruction, restoration, duplicate continuation, counterfeit, and irreversible loss.</w:t>
      </w:r>
    </w:p>
    <w:p>
      <w:pPr>
        <w:pStyle w:val="ListBullet"/>
        <w:spacing w:after="40"/>
      </w:pPr>
      <w:r>
        <w:t>Resolve the regeneration, fragmentation, synchronization, restoration, compromise, and ownership paradoxes.</w:t>
      </w:r>
    </w:p>
    <w:p>
      <w:pPr>
        <w:pStyle w:val="ListBullet"/>
        <w:spacing w:after="40"/>
      </w:pPr>
      <w:r>
        <w:t>Define what happens if multiple fragments regenerate, if a remote record rebuilds a body, if correct credentials survive in compromised cells, or if an unauthorized conscious copy is created.</w:t>
      </w:r>
    </w:p>
    <w:p>
      <w:pPr>
        <w:pStyle w:val="ListBullet"/>
        <w:spacing w:after="40"/>
      </w:pPr>
      <w:r>
        <w:t>The communication network must never be mandatory life support. Disconnection cannot automatically erase identity, cognition, defense, or autonomy.</w:t>
      </w:r>
    </w:p>
    <w:p>
      <w:pPr>
        <w:pStyle w:val="Heading1"/>
        <w:keepNext/>
      </w:pPr>
      <w:r>
        <w:t>14. Long-Distance Linking and Interoperability</w:t>
      </w:r>
    </w:p>
    <w:p>
      <w:pPr>
        <w:pStyle w:val="ListBullet"/>
        <w:spacing w:after="40"/>
      </w:pPr>
      <w:r>
        <w:t>Design local, body-wide, nearby, planetary/orbital, and interplanetary-or-greater communication as different operating classes.</w:t>
      </w:r>
    </w:p>
    <w:p>
      <w:pPr>
        <w:pStyle w:val="ListBullet"/>
        <w:spacing w:after="40"/>
      </w:pPr>
      <w:r>
        <w:t>For each class state medium, infrastructure, power, bandwidth, latency, availability, interception, jamming, authentication, selective disclosure, revocation, store-and-forward, partition behavior, and recovery.</w:t>
      </w:r>
    </w:p>
    <w:p>
      <w:pPr>
        <w:pStyle w:val="ListBullet"/>
        <w:spacing w:after="40"/>
      </w:pPr>
      <w:r>
        <w:t>Distinguish communication, coordination, synchronization, shared awareness, shared memory, identity merging, and command authority. No link automatically grants control.</w:t>
      </w:r>
    </w:p>
    <w:p>
      <w:pPr>
        <w:pStyle w:val="ListBullet"/>
        <w:spacing w:after="40"/>
      </w:pPr>
      <w:r>
        <w:t>Conduct a Common-Mode Interoperability Failure Test: identify vulnerabilities shared by otherwise different bodies because of a common protocol, trust anchor, time source, update format, or infrastructure dependency.</w:t>
      </w:r>
    </w:p>
    <w:p>
      <w:pPr>
        <w:pStyle w:val="ListBullet"/>
        <w:spacing w:after="40"/>
      </w:pPr>
      <w:r>
        <w:t>Require offline autonomy, protocol diversity, quarantine, degraded operation, and reconciliation without identity overwrite.</w:t>
      </w:r>
    </w:p>
    <w:p>
      <w:pPr>
        <w:pStyle w:val="Heading1"/>
        <w:keepNext/>
      </w:pPr>
      <w:r>
        <w:t>15. Environmental and Extinction-Taxonomy Evaluation</w:t>
      </w:r>
    </w:p>
    <w:p>
      <w:pPr>
        <w:pStyle w:val="ListBullet"/>
        <w:spacing w:after="40"/>
      </w:pPr>
      <w:r>
        <w:t>Evaluate ENV-T, ENV-A, ENV-R, BIO, MECH, DEP, ENE, INFO, ONT, and CIV across Mild, Moderate, Severe, and Extinction-Class conditions.</w:t>
      </w:r>
    </w:p>
    <w:p>
      <w:pPr>
        <w:pStyle w:val="ListBullet"/>
        <w:spacing w:after="40"/>
      </w:pPr>
      <w:r>
        <w:t>Every Gen-1 family must address Mild through Severe objectives. “Address” means a mechanism, operating envelope, resource model, preservation mode, failure threshold, recovery path, validation plan, and honest status, not an unsupported claim of success.</w:t>
      </w:r>
    </w:p>
    <w:p>
      <w:pPr>
        <w:pStyle w:val="ListBullet"/>
        <w:spacing w:after="40"/>
      </w:pPr>
      <w:r>
        <w:t>For Extinction-Class conditions state direct resistance, temporary endurance, controlled degradation, distributed survival, dormancy, escape, authenticated restoration, or no credible defense.</w:t>
      </w:r>
    </w:p>
    <w:p>
      <w:pPr>
        <w:pStyle w:val="ListBullet"/>
        <w:spacing w:after="40"/>
      </w:pPr>
      <w:r>
        <w:t>Use Home Range, Refuge Range, and Death Line to describe environmental envelopes where useful.</w:t>
      </w:r>
    </w:p>
    <w:p>
      <w:pPr>
        <w:pStyle w:val="ListBullet"/>
        <w:spacing w:after="40"/>
      </w:pPr>
      <w:r>
        <w:t>Treat ONT as canon-only unless reformulated as a measurable physical or informational threat.</w:t>
      </w:r>
    </w:p>
    <w:p>
      <w:pPr>
        <w:pStyle w:val="Heading1"/>
        <w:keepNext/>
      </w:pPr>
      <w:r>
        <w:t>16. Mandatory Reference Scenarios</w:t>
      </w:r>
    </w:p>
    <w:p>
      <w:pPr>
        <w:pStyle w:val="ListBullet"/>
        <w:spacing w:after="40"/>
      </w:pPr>
      <w:r>
        <w:t>Atmospheric Independence Reference Scenario: oxygen removed and replaced by argon or another inert gas. Separate gas composition, pressure, duration, reserves, external energy, thermal exchange, sensors, and communications.</w:t>
      </w:r>
    </w:p>
    <w:p>
      <w:pPr>
        <w:pStyle w:val="ListBullet"/>
        <w:spacing w:after="40"/>
      </w:pPr>
      <w:r>
        <w:t>Run variants with simultaneous energy denial and blocked heat rejection.</w:t>
      </w:r>
    </w:p>
    <w:p>
      <w:pPr>
        <w:pStyle w:val="ListBullet"/>
        <w:spacing w:after="40"/>
      </w:pPr>
      <w:r>
        <w:t>Evaluate vacuum plus radiation plus mechanical damage; heat plus dehydration plus corrupted sensing; cold plus depleted reserves; radiation plus scarce repair feedstock; fragmentation plus spoofed authentication; and capture plus false rescue plus network compromise.</w:t>
      </w:r>
    </w:p>
    <w:p>
      <w:pPr>
        <w:pStyle w:val="ListBullet"/>
        <w:spacing w:after="40"/>
      </w:pPr>
      <w:r>
        <w:t>For every compound event identify the first limiting resource and the next cascade.</w:t>
      </w:r>
    </w:p>
    <w:p>
      <w:pPr>
        <w:pStyle w:val="ListBullet"/>
        <w:spacing w:after="40"/>
      </w:pPr>
      <w:r>
        <w:t>Do not provide a chamber-construction procedure or a harmful protocol for living subjects.</w:t>
      </w:r>
    </w:p>
    <w:p>
      <w:pPr>
        <w:pStyle w:val="Heading1"/>
        <w:keepNext/>
      </w:pPr>
      <w:r>
        <w:t>17. Captivity Gauntlet and Hostile-Control Analysis</w:t>
      </w:r>
    </w:p>
    <w:p>
      <w:pPr>
        <w:pStyle w:val="ListBullet"/>
        <w:spacing w:after="40"/>
      </w:pPr>
      <w:r>
        <w:t>Run each family through a standardized captivity gauntlet including confinement, communications denial, forced sampling, long-term maintenance coercion, deceptive diagnostics, compromised peers, forged allies, coerced updates, supply-chain dependence, and ownership claims.</w:t>
      </w:r>
    </w:p>
    <w:p>
      <w:pPr>
        <w:pStyle w:val="ListBullet"/>
        <w:spacing w:after="40"/>
      </w:pPr>
      <w:r>
        <w:t>Use time horizons where useful: immediate, short-duration, sustained, and long-term captivity. Do not invent exact durations unless they are part of the model.</w:t>
      </w:r>
    </w:p>
    <w:p>
      <w:pPr>
        <w:pStyle w:val="ListBullet"/>
        <w:spacing w:after="40"/>
      </w:pPr>
      <w:r>
        <w:t>Analyze what an adversary learns, what remains protected, what degrades, what signals can be sent, what escape or rescue requires, and how uninvolved parties remain protected.</w:t>
      </w:r>
    </w:p>
    <w:p>
      <w:pPr>
        <w:pStyle w:val="ListBullet"/>
        <w:spacing w:after="40"/>
      </w:pPr>
      <w:r>
        <w:t>Defensive designs must preserve proportionality and must not use destructive retaliation as the default answer.</w:t>
      </w:r>
    </w:p>
    <w:p>
      <w:pPr>
        <w:pStyle w:val="Heading1"/>
        <w:keepNext/>
      </w:pPr>
      <w:r>
        <w:t>18. Assumption Collapse Test</w:t>
      </w:r>
    </w:p>
    <w:p>
      <w:pPr>
        <w:pStyle w:val="ListBullet"/>
        <w:spacing w:after="40"/>
      </w:pPr>
      <w:r>
        <w:t>Identify at least ten silent assumptions behind each family, such as access to matter, eventual heat rejection, stable chemistry, trustworthy time, causal order, sensor validity, communication media, authentication, or distinguishable contamination.</w:t>
      </w:r>
    </w:p>
    <w:p>
      <w:pPr>
        <w:pStyle w:val="ListBullet"/>
        <w:spacing w:after="40"/>
      </w:pPr>
      <w:r>
        <w:t>For each assumption state what fails if it becomes false, what remains recoverable, and whether the family's central wager survives.</w:t>
      </w:r>
    </w:p>
    <w:p>
      <w:pPr>
        <w:pStyle w:val="ListBullet"/>
        <w:spacing w:after="40"/>
      </w:pPr>
      <w:r>
        <w:t>This test attacks the model behind the physiology, not merely the physiology itself.</w:t>
      </w:r>
    </w:p>
    <w:p>
      <w:pPr>
        <w:pStyle w:val="Heading1"/>
        <w:keepNext/>
      </w:pPr>
      <w:r>
        <w:t>19. 1AI / -1AI Constructive-Adversarial Cycle</w:t>
      </w:r>
    </w:p>
    <w:p>
      <w:pPr>
        <w:pStyle w:val="ListBullet"/>
        <w:spacing w:after="40"/>
      </w:pPr>
      <w:r>
        <w:t>1AI pass: construct the strongest coherent version of each architecture.</w:t>
      </w:r>
    </w:p>
    <w:p>
      <w:pPr>
        <w:pStyle w:val="ListBullet"/>
        <w:spacing w:after="40"/>
      </w:pPr>
      <w:r>
        <w:t>-1AI pass: assume blueprint knowledge, long preparation time, institutional resources, and interest in intact capture or identity compromise.</w:t>
      </w:r>
    </w:p>
    <w:p>
      <w:pPr>
        <w:pStyle w:val="ListBullet"/>
        <w:spacing w:after="40"/>
      </w:pPr>
      <w:r>
        <w:t>Attempt at least ten conceptual attacks per family. At least three must reveal genuine failures, unresolved weaknesses, or disqualifying dependencies. If none succeed, the red-team was not sufficiently adversarial.</w:t>
      </w:r>
    </w:p>
    <w:p>
      <w:pPr>
        <w:pStyle w:val="ListBullet"/>
        <w:spacing w:after="40"/>
      </w:pPr>
      <w:r>
        <w:t>Reconciliation pass: record every design change, every unresolved disagreement, and every weakness intentionally accepted.</w:t>
      </w:r>
    </w:p>
    <w:p>
      <w:pPr>
        <w:pStyle w:val="Heading1"/>
        <w:keepNext/>
      </w:pPr>
      <w:r>
        <w:t>20. Required Dossier for Each Architecture Family</w:t>
      </w:r>
    </w:p>
    <w:p>
      <w:pPr>
        <w:pStyle w:val="ListBullet"/>
        <w:spacing w:after="40"/>
      </w:pPr>
      <w:r>
        <w:t>Name, thesis, core wager, principal sacrifice, independent design signature, intended environments, scale, matrix, Omni-cell definition, hereditary substrate, internal transport, control topology, cognition, identity, respiration, energy, renewal, thermal system, conservation budget, observation rules, security rules, rewritten laws, kept laws, long-distance interface, repair, capture response, sample behavior, clone behavior, lifecycle, failure modes, evidence labels, validation plan, rejection case, and Gen-2 path.</w:t>
      </w:r>
    </w:p>
    <w:p>
      <w:pPr>
        <w:pStyle w:val="ListBullet"/>
        <w:spacing w:after="40"/>
      </w:pPr>
      <w:r>
        <w:t>Include a conceptual architecture schematic, but place it in the dedicated visual appendix.</w:t>
      </w:r>
    </w:p>
    <w:p>
      <w:pPr>
        <w:pStyle w:val="ListBullet"/>
        <w:spacing w:after="40"/>
      </w:pPr>
      <w:r>
        <w:t>Quantitative targets must include units, assumptions, uncertainty, and whether they are targets, models, extrapolations, or measured values.</w:t>
      </w:r>
    </w:p>
    <w:p>
      <w:pPr>
        <w:pStyle w:val="Heading1"/>
        <w:keepNext/>
      </w:pPr>
      <w:r>
        <w:t>21. Comparison, Pareto Analysis, and Selection</w:t>
      </w:r>
    </w:p>
    <w:p>
      <w:pPr>
        <w:pStyle w:val="ListBullet"/>
        <w:spacing w:after="40"/>
      </w:pPr>
      <w:r>
        <w:t>Compare all eight families using a consistent rubric, but do not choose a winner by averaging alone.</w:t>
      </w:r>
    </w:p>
    <w:p>
      <w:pPr>
        <w:pStyle w:val="ListBullet"/>
        <w:spacing w:after="40"/>
      </w:pPr>
      <w:r>
        <w:t>Identify Pareto-optimal families, disqualifying weaknesses, minority designs worth preserving, common-mode risks, features that should never be combined, and features worth transferring.</w:t>
      </w:r>
    </w:p>
    <w:p>
      <w:pPr>
        <w:pStyle w:val="ListBullet"/>
        <w:spacing w:after="40"/>
      </w:pPr>
      <w:r>
        <w:t>Select a Primary Research Candidate, Reserve Candidate, and at least one Wildcard Candidate only after the adversarial pass. Selection does not make them final canon.</w:t>
      </w:r>
    </w:p>
    <w:p>
      <w:pPr>
        <w:pStyle w:val="ListBullet"/>
        <w:spacing w:after="40"/>
      </w:pPr>
      <w:r>
        <w:t>Create an Architect Decision Register for unresolved choices.</w:t>
      </w:r>
    </w:p>
    <w:p>
      <w:pPr>
        <w:pStyle w:val="Heading1"/>
        <w:keepNext/>
      </w:pPr>
      <w:r>
        <w:t>22. Validation and Research Roadmap</w:t>
      </w:r>
    </w:p>
    <w:p>
      <w:pPr>
        <w:pStyle w:val="ListBullet"/>
        <w:spacing w:after="40"/>
      </w:pPr>
      <w:r>
        <w:t>Use staged validation: source verification; formal consistency; analytical budgets; component simulation; integrated digital physiology; sensitivity analysis; adversarial simulation; nonliving subsystem testing; ethical review; and independent replication where appropriate.</w:t>
      </w:r>
    </w:p>
    <w:p>
      <w:pPr>
        <w:pStyle w:val="ListBullet"/>
        <w:spacing w:after="40"/>
      </w:pPr>
      <w:r>
        <w:t>Rank next research tasks by uncertainty removed, not by spectacle.</w:t>
      </w:r>
    </w:p>
    <w:p>
      <w:pPr>
        <w:pStyle w:val="ListBullet"/>
        <w:spacing w:after="40"/>
      </w:pPr>
      <w:r>
        <w:t>For every family state the safest useful next validation step and the result that would falsify its central claim.</w:t>
      </w:r>
    </w:p>
    <w:p>
      <w:pPr>
        <w:pStyle w:val="ListBullet"/>
        <w:spacing w:after="40"/>
      </w:pPr>
      <w:r>
        <w:t>Connect each family to the 15-Year Roadmap by defining its simulation abstraction, resolution levels, escalation triggers, state variables, error bounds, and computational bottlenecks.</w:t>
      </w:r>
    </w:p>
    <w:p>
      <w:pPr>
        <w:pStyle w:val="Heading1"/>
        <w:keepNext/>
      </w:pPr>
      <w:r>
        <w:t>23. Ethics, Safety, and Research Boundaries</w:t>
      </w:r>
    </w:p>
    <w:p>
      <w:pPr>
        <w:pStyle w:val="ListBullet"/>
        <w:spacing w:after="40"/>
      </w:pPr>
      <w:r>
        <w:t>Remain conceptual and non-operational. Do not provide pathogen construction, harmful genetic modification, lethal exposure procedures, or instructions for harming or coercing living subjects.</w:t>
      </w:r>
    </w:p>
    <w:p>
      <w:pPr>
        <w:pStyle w:val="ListBullet"/>
        <w:spacing w:after="40"/>
      </w:pPr>
      <w:r>
        <w:t>Nonhuman, artificial, or engineered status does not automatically remove ethical consideration.</w:t>
      </w:r>
    </w:p>
    <w:p>
      <w:pPr>
        <w:pStyle w:val="ListBullet"/>
        <w:spacing w:after="40"/>
      </w:pPr>
      <w:r>
        <w:t>Preserve consent, auditability, reversibility where possible, ecological containment, and protection of uninvolved parties.</w:t>
      </w:r>
    </w:p>
    <w:p>
      <w:pPr>
        <w:pStyle w:val="ListBullet"/>
        <w:spacing w:after="40"/>
      </w:pPr>
      <w:r>
        <w:t>Clearly separate defensive resilience from offensive capability.</w:t>
      </w:r>
    </w:p>
    <w:p>
      <w:pPr>
        <w:pStyle w:val="Heading1"/>
        <w:keepNext/>
      </w:pPr>
      <w:r>
        <w:t>24. Final Output and Document Requirements</w:t>
      </w:r>
    </w:p>
    <w:p>
      <w:pPr>
        <w:pStyle w:val="ListBullet"/>
        <w:spacing w:after="40"/>
      </w:pPr>
      <w:r>
        <w:t>Deliver the completed research in both DOCX and PDF.</w:t>
      </w:r>
    </w:p>
    <w:p>
      <w:pPr>
        <w:pStyle w:val="ListBullet"/>
        <w:spacing w:after="40"/>
      </w:pPr>
      <w:r>
        <w:t>Include: cover page; document control; purpose; how the topic arose; mission statement; aims; executive summary; prompt audit; source and contradiction registers; physiological constitution; eight narrative architecture dossiers; adversarial findings; comparison; recommendations; next steps; questions, comments, concerns; and references.</w:t>
      </w:r>
    </w:p>
    <w:p>
      <w:pPr>
        <w:pStyle w:val="ListBullet"/>
        <w:spacing w:after="40"/>
      </w:pPr>
      <w:r>
        <w:t>Keep the main body narrative and readable. Do not turn it into a dense table dump.</w:t>
      </w:r>
    </w:p>
    <w:p>
      <w:pPr>
        <w:pStyle w:val="ListBullet"/>
        <w:spacing w:after="40"/>
      </w:pPr>
      <w:r>
        <w:t>Create a dedicated section titled “Visual Appendix: Charts, Graphs, Tables, Rows, Images, Matrices, and Diagrams.” Place all substantial visualizations there, including the orthogonality matrix, evidence register, threat matrices, heat and energy budgets, environmental envelopes, comparison tables, failure ledgers, network diagrams, architecture schematics, captivity results, Pareto plots, and roadmap graphics.</w:t>
      </w:r>
    </w:p>
    <w:p>
      <w:pPr>
        <w:pStyle w:val="ListBullet"/>
        <w:spacing w:after="40"/>
      </w:pPr>
      <w:r>
        <w:t>Refer to visual exhibits from the main body by exhibit number. Do not duplicate the same visual in multiple places.</w:t>
      </w:r>
    </w:p>
    <w:p>
      <w:pPr>
        <w:pStyle w:val="ListBullet"/>
        <w:spacing w:after="40"/>
      </w:pPr>
      <w:r>
        <w:t>Use accessible captions, readable fonts, repeated table headers, units, legends, source notes, and uncertainty notes.</w:t>
      </w:r>
    </w:p>
    <w:p>
      <w:pPr>
        <w:pStyle w:val="Heading1"/>
        <w:keepNext/>
      </w:pPr>
      <w:r>
        <w:t>25. Final Questions, Comments, and Concerns</w:t>
      </w:r>
    </w:p>
    <w:p>
      <w:pPr>
        <w:pStyle w:val="ListBullet"/>
        <w:spacing w:after="40"/>
      </w:pPr>
      <w:r>
        <w:t>End with unresolved scientific questions, Architect decisions, security concerns, ethical concerns, simulation dependencies, evidence gaps, and any instruction that may unintentionally cause convergence.</w:t>
      </w:r>
    </w:p>
    <w:p>
      <w:pPr>
        <w:pStyle w:val="ListBullet"/>
        <w:spacing w:after="40"/>
      </w:pPr>
      <w:r>
        <w:t>State what you still do not know and what information would materially change your recommendations.</w:t>
      </w:r>
    </w:p>
    <w:p>
      <w:pPr>
        <w:pStyle w:val="ListBullet"/>
        <w:spacing w:after="40"/>
      </w:pPr>
      <w:r>
        <w:t>Do not ask whether to proceed. Complete the assigned dossier, then present the questions as decision items.</w:t>
      </w:r>
    </w:p>
    <w:p>
      <w:pPr>
        <w:pStyle w:val="Heading1"/>
        <w:keepNext/>
      </w:pPr>
      <w:r>
        <w:t>26. Acceptance and Rejection Criteria</w:t>
      </w:r>
    </w:p>
    <w:p>
      <w:r>
        <w:t>The submission is incomplete or rejected if it does any of the following:</w:t>
      </w:r>
    </w:p>
    <w:p>
      <w:pPr>
        <w:pStyle w:val="ListBullet"/>
        <w:spacing w:after="40"/>
      </w:pPr>
      <w:r>
        <w:t>Produces fewer than eight peer Gen-1 architecture families.</w:t>
      </w:r>
    </w:p>
    <w:p>
      <w:pPr>
        <w:pStyle w:val="ListBullet"/>
        <w:spacing w:after="40"/>
      </w:pPr>
      <w:r>
        <w:t>Uses cosmetic variation instead of material architectural difference.</w:t>
      </w:r>
    </w:p>
    <w:p>
      <w:pPr>
        <w:pStyle w:val="ListBullet"/>
        <w:spacing w:after="40"/>
      </w:pPr>
      <w:r>
        <w:t>Predetermines a ladder culminating in an assumed apex.</w:t>
      </w:r>
    </w:p>
    <w:p>
      <w:pPr>
        <w:pStyle w:val="ListBullet"/>
        <w:spacing w:after="40"/>
      </w:pPr>
      <w:r>
        <w:t>Uses unexplained invulnerability, quantum terminology, adaptation, regeneration, or canon mechanisms as substitutes for accounting.</w:t>
      </w:r>
    </w:p>
    <w:p>
      <w:pPr>
        <w:pStyle w:val="ListBullet"/>
        <w:spacing w:after="40"/>
      </w:pPr>
      <w:r>
        <w:t>Confuses nucleobases with genes or genetic information with identity.</w:t>
      </w:r>
    </w:p>
    <w:p>
      <w:pPr>
        <w:pStyle w:val="ListBullet"/>
        <w:spacing w:after="40"/>
      </w:pPr>
      <w:r>
        <w:t>Ignores heat rejection, repair mass, waste, latency, resource depletion, or failure thresholds.</w:t>
      </w:r>
    </w:p>
    <w:p>
      <w:pPr>
        <w:pStyle w:val="ListBullet"/>
        <w:spacing w:after="40"/>
      </w:pPr>
      <w:r>
        <w:t>Makes one stolen cell equivalent to the whole organism without addressing the risk.</w:t>
      </w:r>
    </w:p>
    <w:p>
      <w:pPr>
        <w:pStyle w:val="ListBullet"/>
        <w:spacing w:after="40"/>
      </w:pPr>
      <w:r>
        <w:t>Makes the network mandatory life support or allows a peer to gain automatic control.</w:t>
      </w:r>
    </w:p>
    <w:p>
      <w:pPr>
        <w:pStyle w:val="ListBullet"/>
        <w:spacing w:after="40"/>
      </w:pPr>
      <w:r>
        <w:t>Claims perfect security, immortality, infinite energy, total recycling, or absolute immunity without explicit canon labeling and replacement axioms.</w:t>
      </w:r>
    </w:p>
    <w:p>
      <w:pPr>
        <w:pStyle w:val="ListBullet"/>
        <w:spacing w:after="40"/>
      </w:pPr>
      <w:r>
        <w:t>Hides successful red-team attacks or erases unresolved failure modes.</w:t>
      </w:r>
    </w:p>
    <w:p>
      <w:pPr>
        <w:pStyle w:val="ListBullet"/>
        <w:spacing w:after="40"/>
      </w:pPr>
      <w:r>
        <w:t>Mixes simulated, modeled, tested, incident, and canon records into one empirical count.</w:t>
      </w:r>
    </w:p>
    <w:p>
      <w:pPr>
        <w:pStyle w:val="ListBullet"/>
        <w:spacing w:after="40"/>
      </w:pPr>
      <w:r>
        <w:t>Places large tables and matrices throughout the narrative instead of the dedicated visual appendix.</w:t>
      </w:r>
    </w:p>
    <w:p>
      <w:pPr>
        <w:pStyle w:val="ListBullet"/>
        <w:spacing w:after="40"/>
      </w:pPr>
      <w:r>
        <w:t>Provides actionable harmful biological or exposure procedures.</w:t>
      </w:r>
    </w:p>
    <w:p>
      <w:pPr>
        <w:pStyle w:val="Heading1"/>
        <w:keepNext/>
      </w:pPr>
      <w:r>
        <w:t>27. Next-Step Recommendations</w:t>
      </w:r>
    </w:p>
    <w:p>
      <w:pPr>
        <w:pStyle w:val="ListNumber"/>
        <w:spacing w:after="40"/>
      </w:pPr>
      <w:r>
        <w:t>Version-lock this directive as the Microsoft 365 Copilot execution baseline.</w:t>
      </w:r>
    </w:p>
    <w:p>
      <w:pPr>
        <w:pStyle w:val="ListNumber"/>
        <w:spacing w:after="40"/>
      </w:pPr>
      <w:r>
        <w:t>Have every collaborator audit the common directive once, record local amendments, and version-lock those amendments before architecture generation.</w:t>
      </w:r>
    </w:p>
    <w:p>
      <w:pPr>
        <w:pStyle w:val="ListNumber"/>
        <w:spacing w:after="40"/>
      </w:pPr>
      <w:r>
        <w:t>Keep all completed architecture sets blind until every collaborator has submitted its own eight families.</w:t>
      </w:r>
    </w:p>
    <w:p>
      <w:pPr>
        <w:pStyle w:val="ListNumber"/>
        <w:spacing w:after="40"/>
      </w:pPr>
      <w:r>
        <w:t>After blind submission, conduct architecture fingerprinting to distinguish true convergence from surface renaming.</w:t>
      </w:r>
    </w:p>
    <w:p>
      <w:pPr>
        <w:pStyle w:val="ListNumber"/>
        <w:spacing w:after="40"/>
      </w:pPr>
      <w:r>
        <w:t>Assign cross-review so each AI adversarially evaluates designs it did not create.</w:t>
      </w:r>
    </w:p>
    <w:p>
      <w:pPr>
        <w:pStyle w:val="ListNumber"/>
        <w:spacing w:after="40"/>
      </w:pPr>
      <w:r>
        <w:t>Preserve a research portfolio rather than forcing consensus. Maintain Primary, Reserve, and Wildcard candidates.</w:t>
      </w:r>
    </w:p>
    <w:p>
      <w:pPr>
        <w:pStyle w:val="ListNumber"/>
        <w:spacing w:after="40"/>
      </w:pPr>
      <w:r>
        <w:t>Build the cross-AI Decision Register before any architecture is elevated to canon or marked ready for staged validation.</w:t>
      </w:r>
    </w:p>
    <w:p>
      <w:pPr>
        <w:pStyle w:val="Heading1"/>
        <w:keepNext/>
      </w:pPr>
      <w:r>
        <w:t>28. Questions Requiring Architect Decision</w:t>
      </w:r>
    </w:p>
    <w:p>
      <w:pPr>
        <w:pStyle w:val="ListBullet"/>
        <w:spacing w:after="40"/>
      </w:pPr>
      <w:r>
        <w:t>Should all anti-capture mechanisms be non-destructive, or may the canon track consider tightly bounded destructive effects on detached material?</w:t>
      </w:r>
    </w:p>
    <w:p>
      <w:pPr>
        <w:pStyle w:val="ListBullet"/>
        <w:spacing w:after="40"/>
      </w:pPr>
      <w:r>
        <w:t>Is the 4,712 figure currently a draft taxonomy identifier, a locked canonical historical count, or both under different ledgers?</w:t>
      </w:r>
    </w:p>
    <w:p>
      <w:pPr>
        <w:pStyle w:val="ListBullet"/>
        <w:spacing w:after="40"/>
      </w:pPr>
      <w:r>
        <w:t>Which continuity theory should govern restoration from remote records: survival, successor, duplicate, or unresolved?</w:t>
      </w:r>
    </w:p>
    <w:p>
      <w:pPr>
        <w:pStyle w:val="ListBullet"/>
        <w:spacing w:after="40"/>
      </w:pPr>
      <w:r>
        <w:t>Which three laws or boundaries must every architecture keep regardless of design family?</w:t>
      </w:r>
    </w:p>
    <w:p>
      <w:pPr>
        <w:pStyle w:val="ListBullet"/>
        <w:spacing w:after="40"/>
      </w:pPr>
      <w:r>
        <w:t>How much human compatibility is a requirement versus an optional interface?</w:t>
      </w:r>
    </w:p>
    <w:p>
      <w:pPr>
        <w:pStyle w:val="ListBullet"/>
        <w:spacing w:after="40"/>
      </w:pPr>
      <w:r>
        <w:t>What minimum degree of active cognition must remain during refuge or dormancy states?</w:t>
      </w:r>
    </w:p>
    <w:p>
      <w:pPr>
        <w:pStyle w:val="ListBullet"/>
        <w:spacing w:after="40"/>
      </w:pPr>
      <w:r>
        <w:t>Which interoperability services are shared, and which must remain deliberately heterogeneous to reduce common-mode risk?</w:t>
      </w:r>
    </w:p>
    <w:p>
      <w:pPr>
        <w:pStyle w:val="ListBullet"/>
        <w:spacing w:after="40"/>
      </w:pPr>
      <w:r>
        <w:t>What Architecture approval is required before ONT or CIV mechanisms may move from proposal to canon?</w:t>
      </w:r>
    </w:p>
    <w:p>
      <w:pPr>
        <w:pStyle w:val="Heading1"/>
        <w:keepNext/>
      </w:pPr>
      <w:r>
        <w:t>29. Comments and Concerns</w:t>
      </w:r>
    </w:p>
    <w:p>
      <w:r>
        <w:t>The team feedback is unusually consistent on one point: the next phase should preserve diversity while improving evaluation rigor. The greatest remaining risk is not insufficient imagination. It is accidental convergence caused by a common prompt that supplies too many sample answers. The second risk is false precision, especially numerical claims unsupported by a defined model. The third is category collapse, where physical engineering, simulation output, canonical history, and ontological narrative are treated as equivalent evidence. This directive is designed to reduce all three risks.</w:t>
      </w:r>
    </w:p>
    <w:p>
      <w:r>
        <w:t>A second concern is execution volume. Eight full dossiers with threat matrices, failure ledgers, simulations, and visual exhibits will be large. The final research should therefore be produced as one coherent document but managed internally in staged sections, with a final consistency pass that verifies terminology, evidence labels, cross-references, units, and visual appendix numbering.</w:t>
      </w:r>
    </w:p>
    <w:p>
      <w:r>
        <w:br w:type="page"/>
      </w:r>
    </w:p>
    <w:p>
      <w:pPr>
        <w:pStyle w:val="Heading1"/>
        <w:keepNext/>
      </w:pPr>
      <w:r>
        <w:t>Visual Appendix: Charts, Graphs, Tables, Rows, Images, Matrices, and Diagrams</w:t>
      </w:r>
    </w:p>
    <w:p>
      <w:r>
        <w:t>This dedicated appendix demonstrates the required placement and organization of visual material. In the later full research dossier, all substantial visual content should appear here and be referenced from the narrative by exhibit number.</w:t>
      </w:r>
    </w:p>
    <w:p>
      <w:pPr>
        <w:pStyle w:val="Heading2"/>
        <w:keepNext/>
      </w:pPr>
      <w:r>
        <w:t>Exhibit A1. Cross-AI Feedback Adoption Matrix</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1440"/>
            <w:vAlign w:val="center"/>
            <w:tcMar>
              <w:top w:w="100" w:type="dxa"/>
              <w:start w:w="110" w:type="dxa"/>
              <w:bottom w:w="100" w:type="dxa"/>
              <w:end w:w="110" w:type="dxa"/>
            </w:tcMar>
            <w:shd w:fill="1F4E79"/>
          </w:tcPr>
          <w:p>
            <w:pPr>
              <w:jc w:val="center"/>
            </w:pPr>
            <w:r/>
            <w:r>
              <w:rPr>
                <w:b/>
                <w:color w:val="FFFFFF"/>
                <w:sz w:val="18"/>
              </w:rPr>
              <w:t>Source</w:t>
            </w:r>
          </w:p>
        </w:tc>
        <w:tc>
          <w:tcPr>
            <w:tcW w:type="dxa" w:w="3024"/>
            <w:vAlign w:val="center"/>
            <w:tcMar>
              <w:top w:w="100" w:type="dxa"/>
              <w:start w:w="110" w:type="dxa"/>
              <w:bottom w:w="100" w:type="dxa"/>
              <w:end w:w="110" w:type="dxa"/>
            </w:tcMar>
            <w:shd w:fill="1F4E79"/>
          </w:tcPr>
          <w:p>
            <w:pPr>
              <w:jc w:val="center"/>
            </w:pPr>
            <w:r/>
            <w:r>
              <w:rPr>
                <w:b/>
                <w:color w:val="FFFFFF"/>
                <w:sz w:val="18"/>
              </w:rPr>
              <w:t>Adopt</w:t>
            </w:r>
          </w:p>
        </w:tc>
        <w:tc>
          <w:tcPr>
            <w:tcW w:type="dxa" w:w="2880"/>
            <w:vAlign w:val="center"/>
            <w:tcMar>
              <w:top w:w="100" w:type="dxa"/>
              <w:start w:w="110" w:type="dxa"/>
              <w:bottom w:w="100" w:type="dxa"/>
              <w:end w:w="110" w:type="dxa"/>
            </w:tcMar>
            <w:shd w:fill="1F4E79"/>
          </w:tcPr>
          <w:p>
            <w:pPr>
              <w:jc w:val="center"/>
            </w:pPr>
            <w:r/>
            <w:r>
              <w:rPr>
                <w:b/>
                <w:color w:val="FFFFFF"/>
                <w:sz w:val="18"/>
              </w:rPr>
              <w:t>Reject or constrain</w:t>
            </w:r>
          </w:p>
        </w:tc>
        <w:tc>
          <w:tcPr>
            <w:tcW w:type="dxa" w:w="3168"/>
            <w:vAlign w:val="center"/>
            <w:tcMar>
              <w:top w:w="100" w:type="dxa"/>
              <w:start w:w="110" w:type="dxa"/>
              <w:bottom w:w="100" w:type="dxa"/>
              <w:end w:w="110" w:type="dxa"/>
            </w:tcMar>
            <w:shd w:fill="1F4E79"/>
          </w:tcPr>
          <w:p>
            <w:pPr>
              <w:jc w:val="center"/>
            </w:pPr>
            <w:r/>
            <w:r>
              <w:rPr>
                <w:b/>
                <w:color w:val="FFFFFF"/>
                <w:sz w:val="18"/>
              </w:rPr>
              <w:t>v2 treatment</w:t>
            </w:r>
          </w:p>
        </w:tc>
      </w:tr>
      <w:tr>
        <w:trPr>
          <w:trHeight w:hRule="atLeast"/>
        </w:trPr>
        <w:tc>
          <w:tcPr>
            <w:tcW w:type="dxa" w:w="1440"/>
            <w:vAlign w:val="center"/>
            <w:tcMar>
              <w:top w:w="100" w:type="dxa"/>
              <w:start w:w="110" w:type="dxa"/>
              <w:bottom w:w="100" w:type="dxa"/>
              <w:end w:w="110" w:type="dxa"/>
            </w:tcMar>
          </w:tcPr>
          <w:p>
            <w:pPr>
              <w:jc w:val="center"/>
            </w:pPr>
            <w:r/>
            <w:r>
              <w:rPr>
                <w:b w:val="0"/>
                <w:sz w:val="15"/>
              </w:rPr>
              <w:t>Perplexity</w:t>
            </w:r>
          </w:p>
        </w:tc>
        <w:tc>
          <w:tcPr>
            <w:tcW w:type="dxa" w:w="3024"/>
            <w:vAlign w:val="center"/>
            <w:tcMar>
              <w:top w:w="100" w:type="dxa"/>
              <w:start w:w="110" w:type="dxa"/>
              <w:bottom w:w="100" w:type="dxa"/>
              <w:end w:w="110" w:type="dxa"/>
            </w:tcMar>
          </w:tcPr>
          <w:p>
            <w:pPr>
              <w:jc w:val="left"/>
            </w:pPr>
            <w:r/>
            <w:r>
              <w:rPr>
                <w:b w:val="0"/>
                <w:sz w:val="15"/>
              </w:rPr>
              <w:t>Evidence classes; source/contradiction registers; conservation rigor; falsifiability</w:t>
            </w:r>
          </w:p>
        </w:tc>
        <w:tc>
          <w:tcPr>
            <w:tcW w:type="dxa" w:w="2880"/>
            <w:vAlign w:val="center"/>
            <w:tcMar>
              <w:top w:w="100" w:type="dxa"/>
              <w:start w:w="110" w:type="dxa"/>
              <w:bottom w:w="100" w:type="dxa"/>
              <w:end w:w="110" w:type="dxa"/>
            </w:tcMar>
          </w:tcPr>
          <w:p>
            <w:pPr>
              <w:jc w:val="left"/>
            </w:pPr>
            <w:r/>
            <w:r>
              <w:rPr>
                <w:b w:val="0"/>
                <w:sz w:val="15"/>
              </w:rPr>
              <w:t>Shared predetermined O/G/D rules</w:t>
            </w:r>
          </w:p>
        </w:tc>
        <w:tc>
          <w:tcPr>
            <w:tcW w:type="dxa" w:w="3168"/>
            <w:vAlign w:val="center"/>
            <w:tcMar>
              <w:top w:w="100" w:type="dxa"/>
              <w:start w:w="110" w:type="dxa"/>
              <w:bottom w:w="100" w:type="dxa"/>
              <w:end w:w="110" w:type="dxa"/>
            </w:tcMar>
          </w:tcPr>
          <w:p>
            <w:pPr>
              <w:jc w:val="left"/>
            </w:pPr>
            <w:r/>
            <w:r>
              <w:rPr>
                <w:b w:val="0"/>
                <w:sz w:val="15"/>
              </w:rPr>
              <w:t>Adopt methodology, preserve independent rules</w:t>
            </w:r>
          </w:p>
        </w:tc>
      </w:tr>
      <w:tr>
        <w:trPr>
          <w:trHeight w:hRule="atLeast"/>
        </w:trPr>
        <w:tc>
          <w:tcPr>
            <w:tcW w:type="dxa" w:w="1440"/>
            <w:vAlign w:val="center"/>
            <w:tcMar>
              <w:top w:w="100" w:type="dxa"/>
              <w:start w:w="110" w:type="dxa"/>
              <w:bottom w:w="100" w:type="dxa"/>
              <w:end w:w="110" w:type="dxa"/>
            </w:tcMar>
            <w:shd w:fill="F3F6F8"/>
          </w:tcPr>
          <w:p>
            <w:pPr>
              <w:jc w:val="center"/>
            </w:pPr>
            <w:r/>
            <w:r>
              <w:rPr>
                <w:b w:val="0"/>
                <w:sz w:val="15"/>
              </w:rPr>
              <w:t>Grok</w:t>
            </w:r>
          </w:p>
        </w:tc>
        <w:tc>
          <w:tcPr>
            <w:tcW w:type="dxa" w:w="3024"/>
            <w:vAlign w:val="center"/>
            <w:tcMar>
              <w:top w:w="100" w:type="dxa"/>
              <w:start w:w="110" w:type="dxa"/>
              <w:bottom w:w="100" w:type="dxa"/>
              <w:end w:w="110" w:type="dxa"/>
            </w:tcMar>
            <w:shd w:fill="F3F6F8"/>
          </w:tcPr>
          <w:p>
            <w:pPr>
              <w:jc w:val="left"/>
            </w:pPr>
            <w:r/>
            <w:r>
              <w:rPr>
                <w:b w:val="0"/>
                <w:sz w:val="15"/>
              </w:rPr>
              <w:t>Concise compliance mapping; hostile actor framing</w:t>
            </w:r>
          </w:p>
        </w:tc>
        <w:tc>
          <w:tcPr>
            <w:tcW w:type="dxa" w:w="2880"/>
            <w:vAlign w:val="center"/>
            <w:tcMar>
              <w:top w:w="100" w:type="dxa"/>
              <w:start w:w="110" w:type="dxa"/>
              <w:bottom w:w="100" w:type="dxa"/>
              <w:end w:w="110" w:type="dxa"/>
            </w:tcMar>
            <w:shd w:fill="F3F6F8"/>
          </w:tcPr>
          <w:p>
            <w:pPr>
              <w:jc w:val="left"/>
            </w:pPr>
            <w:r/>
            <w:r>
              <w:rPr>
                <w:b w:val="0"/>
                <w:sz w:val="15"/>
              </w:rPr>
              <w:t>Physical-law exemptions; harmful countermeasures; ethics assumption</w:t>
            </w:r>
          </w:p>
        </w:tc>
        <w:tc>
          <w:tcPr>
            <w:tcW w:type="dxa" w:w="3168"/>
            <w:vAlign w:val="center"/>
            <w:tcMar>
              <w:top w:w="100" w:type="dxa"/>
              <w:start w:w="110" w:type="dxa"/>
              <w:bottom w:w="100" w:type="dxa"/>
              <w:end w:w="110" w:type="dxa"/>
            </w:tcMar>
            <w:shd w:fill="F3F6F8"/>
          </w:tcPr>
          <w:p>
            <w:pPr>
              <w:jc w:val="left"/>
            </w:pPr>
            <w:r/>
            <w:r>
              <w:rPr>
                <w:b w:val="0"/>
                <w:sz w:val="15"/>
              </w:rPr>
              <w:t>Adopt mapping and threat posture with boundaries</w:t>
            </w:r>
          </w:p>
        </w:tc>
      </w:tr>
      <w:tr>
        <w:trPr>
          <w:trHeight w:hRule="atLeast"/>
        </w:trPr>
        <w:tc>
          <w:tcPr>
            <w:tcW w:type="dxa" w:w="1440"/>
            <w:vAlign w:val="center"/>
            <w:tcMar>
              <w:top w:w="100" w:type="dxa"/>
              <w:start w:w="110" w:type="dxa"/>
              <w:bottom w:w="100" w:type="dxa"/>
              <w:end w:w="110" w:type="dxa"/>
            </w:tcMar>
          </w:tcPr>
          <w:p>
            <w:pPr>
              <w:jc w:val="center"/>
            </w:pPr>
            <w:r/>
            <w:r>
              <w:rPr>
                <w:b w:val="0"/>
                <w:sz w:val="15"/>
              </w:rPr>
              <w:t>Gemini</w:t>
            </w:r>
          </w:p>
        </w:tc>
        <w:tc>
          <w:tcPr>
            <w:tcW w:type="dxa" w:w="3024"/>
            <w:vAlign w:val="center"/>
            <w:tcMar>
              <w:top w:w="100" w:type="dxa"/>
              <w:start w:w="110" w:type="dxa"/>
              <w:bottom w:w="100" w:type="dxa"/>
              <w:end w:w="110" w:type="dxa"/>
            </w:tcMar>
          </w:tcPr>
          <w:p>
            <w:pPr>
              <w:jc w:val="left"/>
            </w:pPr>
            <w:r/>
            <w:r>
              <w:rPr>
                <w:b w:val="0"/>
                <w:sz w:val="15"/>
              </w:rPr>
              <w:t>Sovereignty; canon hooks; no-switching emphasis</w:t>
            </w:r>
          </w:p>
        </w:tc>
        <w:tc>
          <w:tcPr>
            <w:tcW w:type="dxa" w:w="2880"/>
            <w:vAlign w:val="center"/>
            <w:tcMar>
              <w:top w:w="100" w:type="dxa"/>
              <w:start w:w="110" w:type="dxa"/>
              <w:bottom w:w="100" w:type="dxa"/>
              <w:end w:w="110" w:type="dxa"/>
            </w:tcMar>
          </w:tcPr>
          <w:p>
            <w:pPr>
              <w:jc w:val="left"/>
            </w:pPr>
            <w:r/>
            <w:r>
              <w:rPr>
                <w:b w:val="0"/>
                <w:sz w:val="15"/>
              </w:rPr>
              <w:t>Absolutes, progression ladder, perfect claims</w:t>
            </w:r>
          </w:p>
        </w:tc>
        <w:tc>
          <w:tcPr>
            <w:tcW w:type="dxa" w:w="3168"/>
            <w:vAlign w:val="center"/>
            <w:tcMar>
              <w:top w:w="100" w:type="dxa"/>
              <w:start w:w="110" w:type="dxa"/>
              <w:bottom w:w="100" w:type="dxa"/>
              <w:end w:w="110" w:type="dxa"/>
            </w:tcMar>
          </w:tcPr>
          <w:p>
            <w:pPr>
              <w:jc w:val="left"/>
            </w:pPr>
            <w:r/>
            <w:r>
              <w:rPr>
                <w:b w:val="0"/>
                <w:sz w:val="15"/>
              </w:rPr>
              <w:t>Convert absolutes into hypotheses/canon questions</w:t>
            </w:r>
          </w:p>
        </w:tc>
      </w:tr>
      <w:tr>
        <w:trPr>
          <w:trHeight w:hRule="atLeast"/>
        </w:trPr>
        <w:tc>
          <w:tcPr>
            <w:tcW w:type="dxa" w:w="1440"/>
            <w:vAlign w:val="center"/>
            <w:tcMar>
              <w:top w:w="100" w:type="dxa"/>
              <w:start w:w="110" w:type="dxa"/>
              <w:bottom w:w="100" w:type="dxa"/>
              <w:end w:w="110" w:type="dxa"/>
            </w:tcMar>
            <w:shd w:fill="F3F6F8"/>
          </w:tcPr>
          <w:p>
            <w:pPr>
              <w:jc w:val="center"/>
            </w:pPr>
            <w:r/>
            <w:r>
              <w:rPr>
                <w:b w:val="0"/>
                <w:sz w:val="15"/>
              </w:rPr>
              <w:t>Copilot</w:t>
            </w:r>
          </w:p>
        </w:tc>
        <w:tc>
          <w:tcPr>
            <w:tcW w:type="dxa" w:w="3024"/>
            <w:vAlign w:val="center"/>
            <w:tcMar>
              <w:top w:w="100" w:type="dxa"/>
              <w:start w:w="110" w:type="dxa"/>
              <w:bottom w:w="100" w:type="dxa"/>
              <w:end w:w="110" w:type="dxa"/>
            </w:tcMar>
            <w:shd w:fill="F3F6F8"/>
          </w:tcPr>
          <w:p>
            <w:pPr>
              <w:jc w:val="left"/>
            </w:pPr>
            <w:r/>
            <w:r>
              <w:rPr>
                <w:b w:val="0"/>
                <w:sz w:val="15"/>
              </w:rPr>
              <w:t>Constitution; identity paradoxes; failure ledger; compound threats</w:t>
            </w:r>
          </w:p>
        </w:tc>
        <w:tc>
          <w:tcPr>
            <w:tcW w:type="dxa" w:w="2880"/>
            <w:vAlign w:val="center"/>
            <w:tcMar>
              <w:top w:w="100" w:type="dxa"/>
              <w:start w:w="110" w:type="dxa"/>
              <w:bottom w:w="100" w:type="dxa"/>
              <w:end w:w="110" w:type="dxa"/>
            </w:tcMar>
            <w:shd w:fill="F3F6F8"/>
          </w:tcPr>
          <w:p>
            <w:pPr>
              <w:jc w:val="left"/>
            </w:pPr>
            <w:r/>
            <w:r>
              <w:rPr>
                <w:b w:val="0"/>
                <w:sz w:val="15"/>
              </w:rPr>
              <w:t>Over-prescriptive prototype progression</w:t>
            </w:r>
          </w:p>
        </w:tc>
        <w:tc>
          <w:tcPr>
            <w:tcW w:type="dxa" w:w="3168"/>
            <w:vAlign w:val="center"/>
            <w:tcMar>
              <w:top w:w="100" w:type="dxa"/>
              <w:start w:w="110" w:type="dxa"/>
              <w:bottom w:w="100" w:type="dxa"/>
              <w:end w:w="110" w:type="dxa"/>
            </w:tcMar>
            <w:shd w:fill="F3F6F8"/>
          </w:tcPr>
          <w:p>
            <w:pPr>
              <w:jc w:val="left"/>
            </w:pPr>
            <w:r/>
            <w:r>
              <w:rPr>
                <w:b w:val="0"/>
                <w:sz w:val="15"/>
              </w:rPr>
              <w:t>Retain systems framework, remove ladder</w:t>
            </w:r>
          </w:p>
        </w:tc>
      </w:tr>
      <w:tr>
        <w:trPr>
          <w:trHeight w:hRule="atLeast"/>
        </w:trPr>
        <w:tc>
          <w:tcPr>
            <w:tcW w:type="dxa" w:w="1440"/>
            <w:vAlign w:val="center"/>
            <w:tcMar>
              <w:top w:w="100" w:type="dxa"/>
              <w:start w:w="110" w:type="dxa"/>
              <w:bottom w:w="100" w:type="dxa"/>
              <w:end w:w="110" w:type="dxa"/>
            </w:tcMar>
          </w:tcPr>
          <w:p>
            <w:pPr>
              <w:jc w:val="center"/>
            </w:pPr>
            <w:r/>
            <w:r>
              <w:rPr>
                <w:b w:val="0"/>
                <w:sz w:val="15"/>
              </w:rPr>
              <w:t>ChatGPT</w:t>
            </w:r>
          </w:p>
        </w:tc>
        <w:tc>
          <w:tcPr>
            <w:tcW w:type="dxa" w:w="3024"/>
            <w:vAlign w:val="center"/>
            <w:tcMar>
              <w:top w:w="100" w:type="dxa"/>
              <w:start w:w="110" w:type="dxa"/>
              <w:bottom w:w="100" w:type="dxa"/>
              <w:end w:w="110" w:type="dxa"/>
            </w:tcMar>
          </w:tcPr>
          <w:p>
            <w:pPr>
              <w:jc w:val="left"/>
            </w:pPr>
            <w:r/>
            <w:r>
              <w:rPr>
                <w:b w:val="0"/>
                <w:sz w:val="15"/>
              </w:rPr>
              <w:t>Orthogonality; single-cell theft; Pareto analysis; decision register</w:t>
            </w:r>
          </w:p>
        </w:tc>
        <w:tc>
          <w:tcPr>
            <w:tcW w:type="dxa" w:w="2880"/>
            <w:vAlign w:val="center"/>
            <w:tcMar>
              <w:top w:w="100" w:type="dxa"/>
              <w:start w:w="110" w:type="dxa"/>
              <w:bottom w:w="100" w:type="dxa"/>
              <w:end w:w="110" w:type="dxa"/>
            </w:tcMar>
          </w:tcPr>
          <w:p>
            <w:pPr>
              <w:jc w:val="left"/>
            </w:pPr>
            <w:r/>
            <w:r>
              <w:rPr>
                <w:b w:val="0"/>
                <w:sz w:val="15"/>
              </w:rPr>
              <w:t>Needs stronger numerical discipline</w:t>
            </w:r>
          </w:p>
        </w:tc>
        <w:tc>
          <w:tcPr>
            <w:tcW w:type="dxa" w:w="3168"/>
            <w:vAlign w:val="center"/>
            <w:tcMar>
              <w:top w:w="100" w:type="dxa"/>
              <w:start w:w="110" w:type="dxa"/>
              <w:bottom w:w="100" w:type="dxa"/>
              <w:end w:w="110" w:type="dxa"/>
            </w:tcMar>
          </w:tcPr>
          <w:p>
            <w:pPr>
              <w:jc w:val="left"/>
            </w:pPr>
            <w:r/>
            <w:r>
              <w:rPr>
                <w:b w:val="0"/>
                <w:sz w:val="15"/>
              </w:rPr>
              <w:t>Adopt independence framework plus budgets</w:t>
            </w:r>
          </w:p>
        </w:tc>
      </w:tr>
      <w:tr>
        <w:trPr>
          <w:trHeight w:hRule="atLeast"/>
        </w:trPr>
        <w:tc>
          <w:tcPr>
            <w:tcW w:type="dxa" w:w="1440"/>
            <w:vAlign w:val="center"/>
            <w:tcMar>
              <w:top w:w="100" w:type="dxa"/>
              <w:start w:w="110" w:type="dxa"/>
              <w:bottom w:w="100" w:type="dxa"/>
              <w:end w:w="110" w:type="dxa"/>
            </w:tcMar>
            <w:shd w:fill="F3F6F8"/>
          </w:tcPr>
          <w:p>
            <w:pPr>
              <w:jc w:val="center"/>
            </w:pPr>
            <w:r/>
            <w:r>
              <w:rPr>
                <w:b w:val="0"/>
                <w:sz w:val="15"/>
              </w:rPr>
              <w:t>Claude</w:t>
            </w:r>
          </w:p>
        </w:tc>
        <w:tc>
          <w:tcPr>
            <w:tcW w:type="dxa" w:w="3024"/>
            <w:vAlign w:val="center"/>
            <w:tcMar>
              <w:top w:w="100" w:type="dxa"/>
              <w:start w:w="110" w:type="dxa"/>
              <w:bottom w:w="100" w:type="dxa"/>
              <w:end w:w="110" w:type="dxa"/>
            </w:tcMar>
            <w:shd w:fill="F3F6F8"/>
          </w:tcPr>
          <w:p>
            <w:pPr>
              <w:jc w:val="left"/>
            </w:pPr>
            <w:r/>
            <w:r>
              <w:rPr>
                <w:b w:val="0"/>
                <w:sz w:val="15"/>
              </w:rPr>
              <w:t>Core wagers; blueprint-known security; Gauntlet; successful self-attacks; visual appendix</w:t>
            </w:r>
          </w:p>
        </w:tc>
        <w:tc>
          <w:tcPr>
            <w:tcW w:type="dxa" w:w="2880"/>
            <w:vAlign w:val="center"/>
            <w:tcMar>
              <w:top w:w="100" w:type="dxa"/>
              <w:start w:w="110" w:type="dxa"/>
              <w:bottom w:w="100" w:type="dxa"/>
              <w:end w:w="110" w:type="dxa"/>
            </w:tcMar>
            <w:shd w:fill="F3F6F8"/>
          </w:tcPr>
          <w:p>
            <w:pPr>
              <w:jc w:val="left"/>
            </w:pPr>
            <w:r/>
            <w:r>
              <w:rPr>
                <w:b w:val="0"/>
                <w:sz w:val="15"/>
              </w:rPr>
              <w:t>High volume and false-precision risk</w:t>
            </w:r>
          </w:p>
        </w:tc>
        <w:tc>
          <w:tcPr>
            <w:tcW w:type="dxa" w:w="3168"/>
            <w:vAlign w:val="center"/>
            <w:tcMar>
              <w:top w:w="100" w:type="dxa"/>
              <w:start w:w="110" w:type="dxa"/>
              <w:bottom w:w="100" w:type="dxa"/>
              <w:end w:w="110" w:type="dxa"/>
            </w:tcMar>
            <w:shd w:fill="F3F6F8"/>
          </w:tcPr>
          <w:p>
            <w:pPr>
              <w:jc w:val="left"/>
            </w:pPr>
            <w:r/>
            <w:r>
              <w:rPr>
                <w:b w:val="0"/>
                <w:sz w:val="15"/>
              </w:rPr>
              <w:t>Adopt execution model with staged drafting and uncertainty</w:t>
            </w:r>
          </w:p>
        </w:tc>
      </w:tr>
    </w:tbl>
    <w:p>
      <w:pPr>
        <w:spacing w:after="0"/>
      </w:pPr>
    </w:p>
    <w:p>
      <w:pPr>
        <w:pStyle w:val="Heading2"/>
        <w:keepNext/>
      </w:pPr>
      <w:r>
        <w:t>Exhibit A2. Locked Decision Register</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1008"/>
            <w:vAlign w:val="center"/>
            <w:tcMar>
              <w:top w:w="100" w:type="dxa"/>
              <w:start w:w="110" w:type="dxa"/>
              <w:bottom w:w="100" w:type="dxa"/>
              <w:end w:w="110" w:type="dxa"/>
            </w:tcMar>
            <w:shd w:fill="1F4E79"/>
          </w:tcPr>
          <w:p>
            <w:pPr>
              <w:jc w:val="center"/>
            </w:pPr>
            <w:r/>
            <w:r>
              <w:rPr>
                <w:b/>
                <w:color w:val="FFFFFF"/>
                <w:sz w:val="18"/>
              </w:rPr>
              <w:t>ID</w:t>
            </w:r>
          </w:p>
        </w:tc>
        <w:tc>
          <w:tcPr>
            <w:tcW w:type="dxa" w:w="2592"/>
            <w:vAlign w:val="center"/>
            <w:tcMar>
              <w:top w:w="100" w:type="dxa"/>
              <w:start w:w="110" w:type="dxa"/>
              <w:bottom w:w="100" w:type="dxa"/>
              <w:end w:w="110" w:type="dxa"/>
            </w:tcMar>
            <w:shd w:fill="1F4E79"/>
          </w:tcPr>
          <w:p>
            <w:pPr>
              <w:jc w:val="center"/>
            </w:pPr>
            <w:r/>
            <w:r>
              <w:rPr>
                <w:b/>
                <w:color w:val="FFFFFF"/>
                <w:sz w:val="18"/>
              </w:rPr>
              <w:t>Issue</w:t>
            </w:r>
          </w:p>
        </w:tc>
        <w:tc>
          <w:tcPr>
            <w:tcW w:type="dxa" w:w="3168"/>
            <w:vAlign w:val="center"/>
            <w:tcMar>
              <w:top w:w="100" w:type="dxa"/>
              <w:start w:w="110" w:type="dxa"/>
              <w:bottom w:w="100" w:type="dxa"/>
              <w:end w:w="110" w:type="dxa"/>
            </w:tcMar>
            <w:shd w:fill="1F4E79"/>
          </w:tcPr>
          <w:p>
            <w:pPr>
              <w:jc w:val="center"/>
            </w:pPr>
            <w:r/>
            <w:r>
              <w:rPr>
                <w:b/>
                <w:color w:val="FFFFFF"/>
                <w:sz w:val="18"/>
              </w:rPr>
              <w:t>Decision</w:t>
            </w:r>
          </w:p>
        </w:tc>
        <w:tc>
          <w:tcPr>
            <w:tcW w:type="dxa" w:w="3888"/>
            <w:vAlign w:val="center"/>
            <w:tcMar>
              <w:top w:w="100" w:type="dxa"/>
              <w:start w:w="110" w:type="dxa"/>
              <w:bottom w:w="100" w:type="dxa"/>
              <w:end w:w="110" w:type="dxa"/>
            </w:tcMar>
            <w:shd w:fill="1F4E79"/>
          </w:tcPr>
          <w:p>
            <w:pPr>
              <w:jc w:val="center"/>
            </w:pPr>
            <w:r/>
            <w:r>
              <w:rPr>
                <w:b/>
                <w:color w:val="FFFFFF"/>
                <w:sz w:val="18"/>
              </w:rPr>
              <w:t>Reason</w:t>
            </w:r>
          </w:p>
        </w:tc>
      </w:tr>
      <w:tr>
        <w:trPr>
          <w:trHeight w:hRule="atLeast"/>
        </w:trPr>
        <w:tc>
          <w:tcPr>
            <w:tcW w:type="dxa" w:w="1008"/>
            <w:vAlign w:val="center"/>
            <w:tcMar>
              <w:top w:w="100" w:type="dxa"/>
              <w:start w:w="110" w:type="dxa"/>
              <w:bottom w:w="100" w:type="dxa"/>
              <w:end w:w="110" w:type="dxa"/>
            </w:tcMar>
          </w:tcPr>
          <w:p>
            <w:pPr>
              <w:jc w:val="center"/>
            </w:pPr>
            <w:r/>
            <w:r>
              <w:rPr>
                <w:b w:val="0"/>
                <w:sz w:val="16"/>
              </w:rPr>
              <w:t>D-01</w:t>
            </w:r>
          </w:p>
        </w:tc>
        <w:tc>
          <w:tcPr>
            <w:tcW w:type="dxa" w:w="2592"/>
            <w:vAlign w:val="center"/>
            <w:tcMar>
              <w:top w:w="100" w:type="dxa"/>
              <w:start w:w="110" w:type="dxa"/>
              <w:bottom w:w="100" w:type="dxa"/>
              <w:end w:w="110" w:type="dxa"/>
            </w:tcMar>
          </w:tcPr>
          <w:p>
            <w:pPr>
              <w:jc w:val="left"/>
            </w:pPr>
            <w:r/>
            <w:r>
              <w:rPr>
                <w:b w:val="0"/>
                <w:sz w:val="16"/>
              </w:rPr>
              <w:t>Eight peers vs. progression</w:t>
            </w:r>
          </w:p>
        </w:tc>
        <w:tc>
          <w:tcPr>
            <w:tcW w:type="dxa" w:w="3168"/>
            <w:vAlign w:val="center"/>
            <w:tcMar>
              <w:top w:w="100" w:type="dxa"/>
              <w:start w:w="110" w:type="dxa"/>
              <w:bottom w:w="100" w:type="dxa"/>
              <w:end w:w="110" w:type="dxa"/>
            </w:tcMar>
          </w:tcPr>
          <w:p>
            <w:pPr>
              <w:jc w:val="left"/>
            </w:pPr>
            <w:r/>
            <w:r>
              <w:rPr>
                <w:b w:val="0"/>
                <w:sz w:val="16"/>
              </w:rPr>
              <w:t>Eight peer Gen-1 families</w:t>
            </w:r>
          </w:p>
        </w:tc>
        <w:tc>
          <w:tcPr>
            <w:tcW w:type="dxa" w:w="3888"/>
            <w:vAlign w:val="center"/>
            <w:tcMar>
              <w:top w:w="100" w:type="dxa"/>
              <w:start w:w="110" w:type="dxa"/>
              <w:bottom w:w="100" w:type="dxa"/>
              <w:end w:w="110" w:type="dxa"/>
            </w:tcMar>
          </w:tcPr>
          <w:p>
            <w:pPr>
              <w:jc w:val="left"/>
            </w:pPr>
            <w:r/>
            <w:r>
              <w:rPr>
                <w:b w:val="0"/>
                <w:sz w:val="16"/>
              </w:rPr>
              <w:t>Maximizes search diversity</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D-02</w:t>
            </w:r>
          </w:p>
        </w:tc>
        <w:tc>
          <w:tcPr>
            <w:tcW w:type="dxa" w:w="2592"/>
            <w:vAlign w:val="center"/>
            <w:tcMar>
              <w:top w:w="100" w:type="dxa"/>
              <w:start w:w="110" w:type="dxa"/>
              <w:bottom w:w="100" w:type="dxa"/>
              <w:end w:w="110" w:type="dxa"/>
            </w:tcMar>
            <w:shd w:fill="F3F6F8"/>
          </w:tcPr>
          <w:p>
            <w:pPr>
              <w:jc w:val="left"/>
            </w:pPr>
            <w:r/>
            <w:r>
              <w:rPr>
                <w:b w:val="0"/>
                <w:sz w:val="16"/>
              </w:rPr>
              <w:t>Shared vs. chosen rules</w:t>
            </w:r>
          </w:p>
        </w:tc>
        <w:tc>
          <w:tcPr>
            <w:tcW w:type="dxa" w:w="3168"/>
            <w:vAlign w:val="center"/>
            <w:tcMar>
              <w:top w:w="100" w:type="dxa"/>
              <w:start w:w="110" w:type="dxa"/>
              <w:bottom w:w="100" w:type="dxa"/>
              <w:end w:w="110" w:type="dxa"/>
            </w:tcMar>
            <w:shd w:fill="F3F6F8"/>
          </w:tcPr>
          <w:p>
            <w:pPr>
              <w:jc w:val="left"/>
            </w:pPr>
            <w:r/>
            <w:r>
              <w:rPr>
                <w:b w:val="0"/>
                <w:sz w:val="16"/>
              </w:rPr>
              <w:t>Each AI chooses exactly three</w:t>
            </w:r>
          </w:p>
        </w:tc>
        <w:tc>
          <w:tcPr>
            <w:tcW w:type="dxa" w:w="3888"/>
            <w:vAlign w:val="center"/>
            <w:tcMar>
              <w:top w:w="100" w:type="dxa"/>
              <w:start w:w="110" w:type="dxa"/>
              <w:bottom w:w="100" w:type="dxa"/>
              <w:end w:w="110" w:type="dxa"/>
            </w:tcMar>
            <w:shd w:fill="F3F6F8"/>
          </w:tcPr>
          <w:p>
            <w:pPr>
              <w:jc w:val="left"/>
            </w:pPr>
            <w:r/>
            <w:r>
              <w:rPr>
                <w:b w:val="0"/>
                <w:sz w:val="16"/>
              </w:rPr>
              <w:t>Prevents constitutional convergence</w:t>
            </w:r>
          </w:p>
        </w:tc>
      </w:tr>
      <w:tr>
        <w:trPr>
          <w:trHeight w:hRule="atLeast"/>
        </w:trPr>
        <w:tc>
          <w:tcPr>
            <w:tcW w:type="dxa" w:w="1008"/>
            <w:vAlign w:val="center"/>
            <w:tcMar>
              <w:top w:w="100" w:type="dxa"/>
              <w:start w:w="110" w:type="dxa"/>
              <w:bottom w:w="100" w:type="dxa"/>
              <w:end w:w="110" w:type="dxa"/>
            </w:tcMar>
          </w:tcPr>
          <w:p>
            <w:pPr>
              <w:jc w:val="center"/>
            </w:pPr>
            <w:r/>
            <w:r>
              <w:rPr>
                <w:b w:val="0"/>
                <w:sz w:val="16"/>
              </w:rPr>
              <w:t>D-03</w:t>
            </w:r>
          </w:p>
        </w:tc>
        <w:tc>
          <w:tcPr>
            <w:tcW w:type="dxa" w:w="2592"/>
            <w:vAlign w:val="center"/>
            <w:tcMar>
              <w:top w:w="100" w:type="dxa"/>
              <w:start w:w="110" w:type="dxa"/>
              <w:bottom w:w="100" w:type="dxa"/>
              <w:end w:w="110" w:type="dxa"/>
            </w:tcMar>
          </w:tcPr>
          <w:p>
            <w:pPr>
              <w:jc w:val="left"/>
            </w:pPr>
            <w:r/>
            <w:r>
              <w:rPr>
                <w:b w:val="0"/>
                <w:sz w:val="16"/>
              </w:rPr>
              <w:t>Physical-law departures</w:t>
            </w:r>
          </w:p>
        </w:tc>
        <w:tc>
          <w:tcPr>
            <w:tcW w:type="dxa" w:w="3168"/>
            <w:vAlign w:val="center"/>
            <w:tcMar>
              <w:top w:w="100" w:type="dxa"/>
              <w:start w:w="110" w:type="dxa"/>
              <w:bottom w:w="100" w:type="dxa"/>
              <w:end w:w="110" w:type="dxa"/>
            </w:tcMar>
          </w:tcPr>
          <w:p>
            <w:pPr>
              <w:jc w:val="left"/>
            </w:pPr>
            <w:r/>
            <w:r>
              <w:rPr>
                <w:b w:val="0"/>
                <w:sz w:val="16"/>
              </w:rPr>
              <w:t>Physical track remains bound</w:t>
            </w:r>
          </w:p>
        </w:tc>
        <w:tc>
          <w:tcPr>
            <w:tcW w:type="dxa" w:w="3888"/>
            <w:vAlign w:val="center"/>
            <w:tcMar>
              <w:top w:w="100" w:type="dxa"/>
              <w:start w:w="110" w:type="dxa"/>
              <w:bottom w:w="100" w:type="dxa"/>
              <w:end w:w="110" w:type="dxa"/>
            </w:tcMar>
          </w:tcPr>
          <w:p>
            <w:pPr>
              <w:jc w:val="left"/>
            </w:pPr>
            <w:r/>
            <w:r>
              <w:rPr>
                <w:b w:val="0"/>
                <w:sz w:val="16"/>
              </w:rPr>
              <w:t>Preserves scientific auditability</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D-04</w:t>
            </w:r>
          </w:p>
        </w:tc>
        <w:tc>
          <w:tcPr>
            <w:tcW w:type="dxa" w:w="2592"/>
            <w:vAlign w:val="center"/>
            <w:tcMar>
              <w:top w:w="100" w:type="dxa"/>
              <w:start w:w="110" w:type="dxa"/>
              <w:bottom w:w="100" w:type="dxa"/>
              <w:end w:w="110" w:type="dxa"/>
            </w:tcMar>
            <w:shd w:fill="F3F6F8"/>
          </w:tcPr>
          <w:p>
            <w:pPr>
              <w:jc w:val="left"/>
            </w:pPr>
            <w:r/>
            <w:r>
              <w:rPr>
                <w:b w:val="0"/>
                <w:sz w:val="16"/>
              </w:rPr>
              <w:t>Security basis</w:t>
            </w:r>
          </w:p>
        </w:tc>
        <w:tc>
          <w:tcPr>
            <w:tcW w:type="dxa" w:w="3168"/>
            <w:vAlign w:val="center"/>
            <w:tcMar>
              <w:top w:w="100" w:type="dxa"/>
              <w:start w:w="110" w:type="dxa"/>
              <w:bottom w:w="100" w:type="dxa"/>
              <w:end w:w="110" w:type="dxa"/>
            </w:tcMar>
            <w:shd w:fill="F3F6F8"/>
          </w:tcPr>
          <w:p>
            <w:pPr>
              <w:jc w:val="left"/>
            </w:pPr>
            <w:r/>
            <w:r>
              <w:rPr>
                <w:b w:val="0"/>
                <w:sz w:val="16"/>
              </w:rPr>
              <w:t>Assume blueprint is known</w:t>
            </w:r>
          </w:p>
        </w:tc>
        <w:tc>
          <w:tcPr>
            <w:tcW w:type="dxa" w:w="3888"/>
            <w:vAlign w:val="center"/>
            <w:tcMar>
              <w:top w:w="100" w:type="dxa"/>
              <w:start w:w="110" w:type="dxa"/>
              <w:bottom w:w="100" w:type="dxa"/>
              <w:end w:w="110" w:type="dxa"/>
            </w:tcMar>
            <w:shd w:fill="F3F6F8"/>
          </w:tcPr>
          <w:p>
            <w:pPr>
              <w:jc w:val="left"/>
            </w:pPr>
            <w:r/>
            <w:r>
              <w:rPr>
                <w:b w:val="0"/>
                <w:sz w:val="16"/>
              </w:rPr>
              <w:t>Avoids security by obscurity</w:t>
            </w:r>
          </w:p>
        </w:tc>
      </w:tr>
      <w:tr>
        <w:trPr>
          <w:trHeight w:hRule="atLeast"/>
        </w:trPr>
        <w:tc>
          <w:tcPr>
            <w:tcW w:type="dxa" w:w="1008"/>
            <w:vAlign w:val="center"/>
            <w:tcMar>
              <w:top w:w="100" w:type="dxa"/>
              <w:start w:w="110" w:type="dxa"/>
              <w:bottom w:w="100" w:type="dxa"/>
              <w:end w:w="110" w:type="dxa"/>
            </w:tcMar>
          </w:tcPr>
          <w:p>
            <w:pPr>
              <w:jc w:val="center"/>
            </w:pPr>
            <w:r/>
            <w:r>
              <w:rPr>
                <w:b w:val="0"/>
                <w:sz w:val="16"/>
              </w:rPr>
              <w:t>D-05</w:t>
            </w:r>
          </w:p>
        </w:tc>
        <w:tc>
          <w:tcPr>
            <w:tcW w:type="dxa" w:w="2592"/>
            <w:vAlign w:val="center"/>
            <w:tcMar>
              <w:top w:w="100" w:type="dxa"/>
              <w:start w:w="110" w:type="dxa"/>
              <w:bottom w:w="100" w:type="dxa"/>
              <w:end w:w="110" w:type="dxa"/>
            </w:tcMar>
          </w:tcPr>
          <w:p>
            <w:pPr>
              <w:jc w:val="left"/>
            </w:pPr>
            <w:r/>
            <w:r>
              <w:rPr>
                <w:b w:val="0"/>
                <w:sz w:val="16"/>
              </w:rPr>
              <w:t>Network role</w:t>
            </w:r>
          </w:p>
        </w:tc>
        <w:tc>
          <w:tcPr>
            <w:tcW w:type="dxa" w:w="3168"/>
            <w:vAlign w:val="center"/>
            <w:tcMar>
              <w:top w:w="100" w:type="dxa"/>
              <w:start w:w="110" w:type="dxa"/>
              <w:bottom w:w="100" w:type="dxa"/>
              <w:end w:w="110" w:type="dxa"/>
            </w:tcMar>
          </w:tcPr>
          <w:p>
            <w:pPr>
              <w:jc w:val="left"/>
            </w:pPr>
            <w:r/>
            <w:r>
              <w:rPr>
                <w:b w:val="0"/>
                <w:sz w:val="16"/>
              </w:rPr>
              <w:t>Optional coordination, never life support</w:t>
            </w:r>
          </w:p>
        </w:tc>
        <w:tc>
          <w:tcPr>
            <w:tcW w:type="dxa" w:w="3888"/>
            <w:vAlign w:val="center"/>
            <w:tcMar>
              <w:top w:w="100" w:type="dxa"/>
              <w:start w:w="110" w:type="dxa"/>
              <w:bottom w:w="100" w:type="dxa"/>
              <w:end w:w="110" w:type="dxa"/>
            </w:tcMar>
          </w:tcPr>
          <w:p>
            <w:pPr>
              <w:jc w:val="left"/>
            </w:pPr>
            <w:r/>
            <w:r>
              <w:rPr>
                <w:b w:val="0"/>
                <w:sz w:val="16"/>
              </w:rPr>
              <w:t>Preserves autonomy</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D-06</w:t>
            </w:r>
          </w:p>
        </w:tc>
        <w:tc>
          <w:tcPr>
            <w:tcW w:type="dxa" w:w="2592"/>
            <w:vAlign w:val="center"/>
            <w:tcMar>
              <w:top w:w="100" w:type="dxa"/>
              <w:start w:w="110" w:type="dxa"/>
              <w:bottom w:w="100" w:type="dxa"/>
              <w:end w:w="110" w:type="dxa"/>
            </w:tcMar>
            <w:shd w:fill="F3F6F8"/>
          </w:tcPr>
          <w:p>
            <w:pPr>
              <w:jc w:val="left"/>
            </w:pPr>
            <w:r/>
            <w:r>
              <w:rPr>
                <w:b w:val="0"/>
                <w:sz w:val="16"/>
              </w:rPr>
              <w:t>Visual content</w:t>
            </w:r>
          </w:p>
        </w:tc>
        <w:tc>
          <w:tcPr>
            <w:tcW w:type="dxa" w:w="3168"/>
            <w:vAlign w:val="center"/>
            <w:tcMar>
              <w:top w:w="100" w:type="dxa"/>
              <w:start w:w="110" w:type="dxa"/>
              <w:bottom w:w="100" w:type="dxa"/>
              <w:end w:w="110" w:type="dxa"/>
            </w:tcMar>
            <w:shd w:fill="F3F6F8"/>
          </w:tcPr>
          <w:p>
            <w:pPr>
              <w:jc w:val="left"/>
            </w:pPr>
            <w:r/>
            <w:r>
              <w:rPr>
                <w:b w:val="0"/>
                <w:sz w:val="16"/>
              </w:rPr>
              <w:t>Dedicated appendix</w:t>
            </w:r>
          </w:p>
        </w:tc>
        <w:tc>
          <w:tcPr>
            <w:tcW w:type="dxa" w:w="3888"/>
            <w:vAlign w:val="center"/>
            <w:tcMar>
              <w:top w:w="100" w:type="dxa"/>
              <w:start w:w="110" w:type="dxa"/>
              <w:bottom w:w="100" w:type="dxa"/>
              <w:end w:w="110" w:type="dxa"/>
            </w:tcMar>
            <w:shd w:fill="F3F6F8"/>
          </w:tcPr>
          <w:p>
            <w:pPr>
              <w:jc w:val="left"/>
            </w:pPr>
            <w:r/>
            <w:r>
              <w:rPr>
                <w:b w:val="0"/>
                <w:sz w:val="16"/>
              </w:rPr>
              <w:t>Maintains readable narrative flow</w:t>
            </w:r>
          </w:p>
        </w:tc>
      </w:tr>
      <w:tr>
        <w:trPr>
          <w:trHeight w:hRule="atLeast"/>
        </w:trPr>
        <w:tc>
          <w:tcPr>
            <w:tcW w:type="dxa" w:w="1008"/>
            <w:vAlign w:val="center"/>
            <w:tcMar>
              <w:top w:w="100" w:type="dxa"/>
              <w:start w:w="110" w:type="dxa"/>
              <w:bottom w:w="100" w:type="dxa"/>
              <w:end w:w="110" w:type="dxa"/>
            </w:tcMar>
          </w:tcPr>
          <w:p>
            <w:pPr>
              <w:jc w:val="center"/>
            </w:pPr>
            <w:r/>
            <w:r>
              <w:rPr>
                <w:b w:val="0"/>
                <w:sz w:val="16"/>
              </w:rPr>
              <w:t>D-07</w:t>
            </w:r>
          </w:p>
        </w:tc>
        <w:tc>
          <w:tcPr>
            <w:tcW w:type="dxa" w:w="2592"/>
            <w:vAlign w:val="center"/>
            <w:tcMar>
              <w:top w:w="100" w:type="dxa"/>
              <w:start w:w="110" w:type="dxa"/>
              <w:bottom w:w="100" w:type="dxa"/>
              <w:end w:w="110" w:type="dxa"/>
            </w:tcMar>
          </w:tcPr>
          <w:p>
            <w:pPr>
              <w:jc w:val="left"/>
            </w:pPr>
            <w:r/>
            <w:r>
              <w:rPr>
                <w:b w:val="0"/>
                <w:sz w:val="16"/>
              </w:rPr>
              <w:t>Red-team pass</w:t>
            </w:r>
          </w:p>
        </w:tc>
        <w:tc>
          <w:tcPr>
            <w:tcW w:type="dxa" w:w="3168"/>
            <w:vAlign w:val="center"/>
            <w:tcMar>
              <w:top w:w="100" w:type="dxa"/>
              <w:start w:w="110" w:type="dxa"/>
              <w:bottom w:w="100" w:type="dxa"/>
              <w:end w:w="110" w:type="dxa"/>
            </w:tcMar>
          </w:tcPr>
          <w:p>
            <w:pPr>
              <w:jc w:val="left"/>
            </w:pPr>
            <w:r/>
            <w:r>
              <w:rPr>
                <w:b w:val="0"/>
                <w:sz w:val="16"/>
              </w:rPr>
              <w:t>At least three genuine failures</w:t>
            </w:r>
          </w:p>
        </w:tc>
        <w:tc>
          <w:tcPr>
            <w:tcW w:type="dxa" w:w="3888"/>
            <w:vAlign w:val="center"/>
            <w:tcMar>
              <w:top w:w="100" w:type="dxa"/>
              <w:start w:w="110" w:type="dxa"/>
              <w:bottom w:w="100" w:type="dxa"/>
              <w:end w:w="110" w:type="dxa"/>
            </w:tcMar>
          </w:tcPr>
          <w:p>
            <w:pPr>
              <w:jc w:val="left"/>
            </w:pPr>
            <w:r/>
            <w:r>
              <w:rPr>
                <w:b w:val="0"/>
                <w:sz w:val="16"/>
              </w:rPr>
              <w:t>Prevents ceremonial adversarial review</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D-08</w:t>
            </w:r>
          </w:p>
        </w:tc>
        <w:tc>
          <w:tcPr>
            <w:tcW w:type="dxa" w:w="2592"/>
            <w:vAlign w:val="center"/>
            <w:tcMar>
              <w:top w:w="100" w:type="dxa"/>
              <w:start w:w="110" w:type="dxa"/>
              <w:bottom w:w="100" w:type="dxa"/>
              <w:end w:w="110" w:type="dxa"/>
            </w:tcMar>
            <w:shd w:fill="F3F6F8"/>
          </w:tcPr>
          <w:p>
            <w:pPr>
              <w:jc w:val="left"/>
            </w:pPr>
            <w:r/>
            <w:r>
              <w:rPr>
                <w:b w:val="0"/>
                <w:sz w:val="16"/>
              </w:rPr>
              <w:t>Evidence ledgers</w:t>
            </w:r>
          </w:p>
        </w:tc>
        <w:tc>
          <w:tcPr>
            <w:tcW w:type="dxa" w:w="3168"/>
            <w:vAlign w:val="center"/>
            <w:tcMar>
              <w:top w:w="100" w:type="dxa"/>
              <w:start w:w="110" w:type="dxa"/>
              <w:bottom w:w="100" w:type="dxa"/>
              <w:end w:w="110" w:type="dxa"/>
            </w:tcMar>
            <w:shd w:fill="F3F6F8"/>
          </w:tcPr>
          <w:p>
            <w:pPr>
              <w:jc w:val="left"/>
            </w:pPr>
            <w:r/>
            <w:r>
              <w:rPr>
                <w:b w:val="0"/>
                <w:sz w:val="16"/>
              </w:rPr>
              <w:t>Separate by evidence/event type</w:t>
            </w:r>
          </w:p>
        </w:tc>
        <w:tc>
          <w:tcPr>
            <w:tcW w:type="dxa" w:w="3888"/>
            <w:vAlign w:val="center"/>
            <w:tcMar>
              <w:top w:w="100" w:type="dxa"/>
              <w:start w:w="110" w:type="dxa"/>
              <w:bottom w:w="100" w:type="dxa"/>
              <w:end w:w="110" w:type="dxa"/>
            </w:tcMar>
            <w:shd w:fill="F3F6F8"/>
          </w:tcPr>
          <w:p>
            <w:pPr>
              <w:jc w:val="left"/>
            </w:pPr>
            <w:r/>
            <w:r>
              <w:rPr>
                <w:b w:val="0"/>
                <w:sz w:val="16"/>
              </w:rPr>
              <w:t>Prevents false aggregation</w:t>
            </w:r>
          </w:p>
        </w:tc>
      </w:tr>
    </w:tbl>
    <w:p>
      <w:pPr>
        <w:spacing w:after="0"/>
      </w:pPr>
    </w:p>
    <w:p>
      <w:pPr>
        <w:pStyle w:val="Heading2"/>
        <w:keepNext/>
      </w:pPr>
      <w:r>
        <w:t>Exhibit A3. Execution Flow</w:t>
      </w:r>
    </w:p>
    <w:tbl>
      <w:tblPr>
        <w:tblW w:type="auto" w:w="0"/>
        <w:jc w:val="center"/>
        <w:tblLook w:firstColumn="1" w:firstRow="1" w:lastColumn="0" w:lastRow="0" w:noHBand="0" w:noVBand="1" w:val="04A0"/>
      </w:tblPr>
      <w:tblGrid>
        <w:gridCol w:w="9936"/>
      </w:tblGrid>
      <w:tr>
        <w:tc>
          <w:tcPr>
            <w:tcW w:type="dxa" w:w="9936"/>
            <w:shd w:fill="D9EAF7"/>
            <w:vAlign w:val="center"/>
            <w:tcMar>
              <w:top w:w="100" w:type="dxa"/>
              <w:start w:w="110" w:type="dxa"/>
              <w:bottom w:w="100" w:type="dxa"/>
              <w:end w:w="110" w:type="dxa"/>
            </w:tcMar>
          </w:tcPr>
          <w:p>
            <w:pPr>
              <w:jc w:val="center"/>
            </w:pPr>
            <w:r/>
            <w:r>
              <w:rPr>
                <w:b/>
                <w:color w:val="17365D"/>
                <w:sz w:val="20"/>
              </w:rPr>
              <w:t>1. Sources and Round-One Archive</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E2F0D9"/>
            <w:vAlign w:val="center"/>
            <w:tcMar>
              <w:top w:w="100" w:type="dxa"/>
              <w:start w:w="110" w:type="dxa"/>
              <w:bottom w:w="100" w:type="dxa"/>
              <w:end w:w="110" w:type="dxa"/>
            </w:tcMar>
          </w:tcPr>
          <w:p>
            <w:pPr>
              <w:jc w:val="center"/>
            </w:pPr>
            <w:r/>
            <w:r>
              <w:rPr>
                <w:b/>
                <w:color w:val="17365D"/>
                <w:sz w:val="20"/>
              </w:rPr>
              <w:t>2. Prompt Audit and Local Amendments</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D9EAF7"/>
            <w:vAlign w:val="center"/>
            <w:tcMar>
              <w:top w:w="100" w:type="dxa"/>
              <w:start w:w="110" w:type="dxa"/>
              <w:bottom w:w="100" w:type="dxa"/>
              <w:end w:w="110" w:type="dxa"/>
            </w:tcMar>
          </w:tcPr>
          <w:p>
            <w:pPr>
              <w:jc w:val="center"/>
            </w:pPr>
            <w:r/>
            <w:r>
              <w:rPr>
                <w:b/>
                <w:color w:val="17365D"/>
                <w:sz w:val="20"/>
              </w:rPr>
              <w:t>3. Blind Eight-Family Design</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E2F0D9"/>
            <w:vAlign w:val="center"/>
            <w:tcMar>
              <w:top w:w="100" w:type="dxa"/>
              <w:start w:w="110" w:type="dxa"/>
              <w:bottom w:w="100" w:type="dxa"/>
              <w:end w:w="110" w:type="dxa"/>
            </w:tcMar>
          </w:tcPr>
          <w:p>
            <w:pPr>
              <w:jc w:val="center"/>
            </w:pPr>
            <w:r/>
            <w:r>
              <w:rPr>
                <w:b/>
                <w:color w:val="17365D"/>
                <w:sz w:val="20"/>
              </w:rPr>
              <w:t>4. Version Lock</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D9EAF7"/>
            <w:vAlign w:val="center"/>
            <w:tcMar>
              <w:top w:w="100" w:type="dxa"/>
              <w:start w:w="110" w:type="dxa"/>
              <w:bottom w:w="100" w:type="dxa"/>
              <w:end w:w="110" w:type="dxa"/>
            </w:tcMar>
          </w:tcPr>
          <w:p>
            <w:pPr>
              <w:jc w:val="center"/>
            </w:pPr>
            <w:r/>
            <w:r>
              <w:rPr>
                <w:b/>
                <w:color w:val="17365D"/>
                <w:sz w:val="20"/>
              </w:rPr>
              <w:t>5. 1AI / -1AI Self-Attack</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E2F0D9"/>
            <w:vAlign w:val="center"/>
            <w:tcMar>
              <w:top w:w="100" w:type="dxa"/>
              <w:start w:w="110" w:type="dxa"/>
              <w:bottom w:w="100" w:type="dxa"/>
              <w:end w:w="110" w:type="dxa"/>
            </w:tcMar>
          </w:tcPr>
          <w:p>
            <w:pPr>
              <w:jc w:val="center"/>
            </w:pPr>
            <w:r/>
            <w:r>
              <w:rPr>
                <w:b/>
                <w:color w:val="17365D"/>
                <w:sz w:val="20"/>
              </w:rPr>
              <w:t>6. Visual Appendix and QA</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D9EAF7"/>
            <w:vAlign w:val="center"/>
            <w:tcMar>
              <w:top w:w="100" w:type="dxa"/>
              <w:start w:w="110" w:type="dxa"/>
              <w:bottom w:w="100" w:type="dxa"/>
              <w:end w:w="110" w:type="dxa"/>
            </w:tcMar>
          </w:tcPr>
          <w:p>
            <w:pPr>
              <w:jc w:val="center"/>
            </w:pPr>
            <w:r/>
            <w:r>
              <w:rPr>
                <w:b/>
                <w:color w:val="17365D"/>
                <w:sz w:val="20"/>
              </w:rPr>
              <w:t>7. Cross-AI Fingerprinting</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E2F0D9"/>
            <w:vAlign w:val="center"/>
            <w:tcMar>
              <w:top w:w="100" w:type="dxa"/>
              <w:start w:w="110" w:type="dxa"/>
              <w:bottom w:w="100" w:type="dxa"/>
              <w:end w:w="110" w:type="dxa"/>
            </w:tcMar>
          </w:tcPr>
          <w:p>
            <w:pPr>
              <w:jc w:val="center"/>
            </w:pPr>
            <w:r/>
            <w:r>
              <w:rPr>
                <w:b/>
                <w:color w:val="17365D"/>
                <w:sz w:val="20"/>
              </w:rPr>
              <w:t>8. Adversarial Cross-Review</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D9EAF7"/>
            <w:vAlign w:val="center"/>
            <w:tcMar>
              <w:top w:w="100" w:type="dxa"/>
              <w:start w:w="110" w:type="dxa"/>
              <w:bottom w:w="100" w:type="dxa"/>
              <w:end w:w="110" w:type="dxa"/>
            </w:tcMar>
          </w:tcPr>
          <w:p>
            <w:pPr>
              <w:jc w:val="center"/>
            </w:pPr>
            <w:r/>
            <w:r>
              <w:rPr>
                <w:b/>
                <w:color w:val="17365D"/>
                <w:sz w:val="20"/>
              </w:rPr>
              <w:t>9. Portfolio Selection</w:t>
            </w:r>
          </w:p>
        </w:tc>
      </w:tr>
    </w:tbl>
    <w:p>
      <w:pPr>
        <w:spacing w:after="20"/>
        <w:jc w:val="center"/>
      </w:pPr>
      <w:r>
        <w:t>↓</w:t>
      </w:r>
    </w:p>
    <w:tbl>
      <w:tblPr>
        <w:tblW w:type="auto" w:w="0"/>
        <w:jc w:val="center"/>
        <w:tblLook w:firstColumn="1" w:firstRow="1" w:lastColumn="0" w:lastRow="0" w:noHBand="0" w:noVBand="1" w:val="04A0"/>
      </w:tblPr>
      <w:tblGrid>
        <w:gridCol w:w="9936"/>
      </w:tblGrid>
      <w:tr>
        <w:tc>
          <w:tcPr>
            <w:tcW w:type="dxa" w:w="9936"/>
            <w:shd w:fill="E2F0D9"/>
            <w:vAlign w:val="center"/>
            <w:tcMar>
              <w:top w:w="100" w:type="dxa"/>
              <w:start w:w="110" w:type="dxa"/>
              <w:bottom w:w="100" w:type="dxa"/>
              <w:end w:w="110" w:type="dxa"/>
            </w:tcMar>
          </w:tcPr>
          <w:p>
            <w:pPr>
              <w:jc w:val="center"/>
            </w:pPr>
            <w:r/>
            <w:r>
              <w:rPr>
                <w:b/>
                <w:color w:val="17365D"/>
                <w:sz w:val="20"/>
              </w:rPr>
              <w:t>10. Gen-2 Roadmap</w:t>
            </w:r>
          </w:p>
        </w:tc>
      </w:tr>
    </w:tbl>
    <w:p>
      <w:pPr>
        <w:pStyle w:val="Heading2"/>
        <w:keepNext/>
      </w:pPr>
      <w:r>
        <w:t>Exhibit A4. Required Visual Exhibit Inventory for the Future Research Dossier</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1008"/>
            <w:vAlign w:val="center"/>
            <w:tcMar>
              <w:top w:w="100" w:type="dxa"/>
              <w:start w:w="110" w:type="dxa"/>
              <w:bottom w:w="100" w:type="dxa"/>
              <w:end w:w="110" w:type="dxa"/>
            </w:tcMar>
            <w:shd w:fill="1F4E79"/>
          </w:tcPr>
          <w:p>
            <w:pPr>
              <w:jc w:val="center"/>
            </w:pPr>
            <w:r/>
            <w:r>
              <w:rPr>
                <w:b/>
                <w:color w:val="FFFFFF"/>
                <w:sz w:val="18"/>
              </w:rPr>
              <w:t>Exhibit</w:t>
            </w:r>
          </w:p>
        </w:tc>
        <w:tc>
          <w:tcPr>
            <w:tcW w:type="dxa" w:w="3168"/>
            <w:vAlign w:val="center"/>
            <w:tcMar>
              <w:top w:w="100" w:type="dxa"/>
              <w:start w:w="110" w:type="dxa"/>
              <w:bottom w:w="100" w:type="dxa"/>
              <w:end w:w="110" w:type="dxa"/>
            </w:tcMar>
            <w:shd w:fill="1F4E79"/>
          </w:tcPr>
          <w:p>
            <w:pPr>
              <w:jc w:val="center"/>
            </w:pPr>
            <w:r/>
            <w:r>
              <w:rPr>
                <w:b/>
                <w:color w:val="FFFFFF"/>
                <w:sz w:val="18"/>
              </w:rPr>
              <w:t>Visual</w:t>
            </w:r>
          </w:p>
        </w:tc>
        <w:tc>
          <w:tcPr>
            <w:tcW w:type="dxa" w:w="1728"/>
            <w:vAlign w:val="center"/>
            <w:tcMar>
              <w:top w:w="100" w:type="dxa"/>
              <w:start w:w="110" w:type="dxa"/>
              <w:bottom w:w="100" w:type="dxa"/>
              <w:end w:w="110" w:type="dxa"/>
            </w:tcMar>
            <w:shd w:fill="1F4E79"/>
          </w:tcPr>
          <w:p>
            <w:pPr>
              <w:jc w:val="center"/>
            </w:pPr>
            <w:r/>
            <w:r>
              <w:rPr>
                <w:b/>
                <w:color w:val="FFFFFF"/>
                <w:sz w:val="18"/>
              </w:rPr>
              <w:t>Format</w:t>
            </w:r>
          </w:p>
        </w:tc>
        <w:tc>
          <w:tcPr>
            <w:tcW w:type="dxa" w:w="4320"/>
            <w:vAlign w:val="center"/>
            <w:tcMar>
              <w:top w:w="100" w:type="dxa"/>
              <w:start w:w="110" w:type="dxa"/>
              <w:bottom w:w="100" w:type="dxa"/>
              <w:end w:w="110" w:type="dxa"/>
            </w:tcMar>
            <w:shd w:fill="1F4E79"/>
          </w:tcPr>
          <w:p>
            <w:pPr>
              <w:jc w:val="center"/>
            </w:pPr>
            <w:r/>
            <w:r>
              <w:rPr>
                <w:b/>
                <w:color w:val="FFFFFF"/>
                <w:sz w:val="18"/>
              </w:rPr>
              <w:t>Purpose</w:t>
            </w:r>
          </w:p>
        </w:tc>
      </w:tr>
      <w:tr>
        <w:trPr>
          <w:trHeight w:hRule="atLeast"/>
        </w:trPr>
        <w:tc>
          <w:tcPr>
            <w:tcW w:type="dxa" w:w="1008"/>
            <w:vAlign w:val="center"/>
            <w:tcMar>
              <w:top w:w="100" w:type="dxa"/>
              <w:start w:w="110" w:type="dxa"/>
              <w:bottom w:w="100" w:type="dxa"/>
              <w:end w:w="110" w:type="dxa"/>
            </w:tcMar>
          </w:tcPr>
          <w:p>
            <w:pPr>
              <w:jc w:val="center"/>
            </w:pPr>
            <w:r/>
            <w:r>
              <w:rPr>
                <w:b w:val="0"/>
                <w:sz w:val="16"/>
              </w:rPr>
              <w:t>A</w:t>
            </w:r>
          </w:p>
        </w:tc>
        <w:tc>
          <w:tcPr>
            <w:tcW w:type="dxa" w:w="3168"/>
            <w:vAlign w:val="center"/>
            <w:tcMar>
              <w:top w:w="100" w:type="dxa"/>
              <w:start w:w="110" w:type="dxa"/>
              <w:bottom w:w="100" w:type="dxa"/>
              <w:end w:w="110" w:type="dxa"/>
            </w:tcMar>
          </w:tcPr>
          <w:p>
            <w:pPr>
              <w:jc w:val="left"/>
            </w:pPr>
            <w:r/>
            <w:r>
              <w:rPr>
                <w:b w:val="0"/>
                <w:sz w:val="16"/>
              </w:rPr>
              <w:t>Source and evidence register</w:t>
            </w:r>
          </w:p>
        </w:tc>
        <w:tc>
          <w:tcPr>
            <w:tcW w:type="dxa" w:w="1728"/>
            <w:vAlign w:val="center"/>
            <w:tcMar>
              <w:top w:w="100" w:type="dxa"/>
              <w:start w:w="110" w:type="dxa"/>
              <w:bottom w:w="100" w:type="dxa"/>
              <w:end w:w="110" w:type="dxa"/>
            </w:tcMar>
          </w:tcPr>
          <w:p>
            <w:pPr>
              <w:jc w:val="left"/>
            </w:pPr>
            <w:r/>
            <w:r>
              <w:rPr>
                <w:b w:val="0"/>
                <w:sz w:val="16"/>
              </w:rPr>
              <w:t>Table</w:t>
            </w:r>
          </w:p>
        </w:tc>
        <w:tc>
          <w:tcPr>
            <w:tcW w:type="dxa" w:w="4320"/>
            <w:vAlign w:val="center"/>
            <w:tcMar>
              <w:top w:w="100" w:type="dxa"/>
              <w:start w:w="110" w:type="dxa"/>
              <w:bottom w:w="100" w:type="dxa"/>
              <w:end w:w="110" w:type="dxa"/>
            </w:tcMar>
          </w:tcPr>
          <w:p>
            <w:pPr>
              <w:jc w:val="left"/>
            </w:pPr>
            <w:r/>
            <w:r>
              <w:rPr>
                <w:b w:val="0"/>
                <w:sz w:val="16"/>
              </w:rPr>
              <w:t>Document provenance, claims, contradictions</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B</w:t>
            </w:r>
          </w:p>
        </w:tc>
        <w:tc>
          <w:tcPr>
            <w:tcW w:type="dxa" w:w="3168"/>
            <w:vAlign w:val="center"/>
            <w:tcMar>
              <w:top w:w="100" w:type="dxa"/>
              <w:start w:w="110" w:type="dxa"/>
              <w:bottom w:w="100" w:type="dxa"/>
              <w:end w:w="110" w:type="dxa"/>
            </w:tcMar>
            <w:shd w:fill="F3F6F8"/>
          </w:tcPr>
          <w:p>
            <w:pPr>
              <w:jc w:val="left"/>
            </w:pPr>
            <w:r/>
            <w:r>
              <w:rPr>
                <w:b w:val="0"/>
                <w:sz w:val="16"/>
              </w:rPr>
              <w:t>Eight-family architecture map</w:t>
            </w:r>
          </w:p>
        </w:tc>
        <w:tc>
          <w:tcPr>
            <w:tcW w:type="dxa" w:w="1728"/>
            <w:vAlign w:val="center"/>
            <w:tcMar>
              <w:top w:w="100" w:type="dxa"/>
              <w:start w:w="110" w:type="dxa"/>
              <w:bottom w:w="100" w:type="dxa"/>
              <w:end w:w="110" w:type="dxa"/>
            </w:tcMar>
            <w:shd w:fill="F3F6F8"/>
          </w:tcPr>
          <w:p>
            <w:pPr>
              <w:jc w:val="left"/>
            </w:pPr>
            <w:r/>
            <w:r>
              <w:rPr>
                <w:b w:val="0"/>
                <w:sz w:val="16"/>
              </w:rPr>
              <w:t>Diagram</w:t>
            </w:r>
          </w:p>
        </w:tc>
        <w:tc>
          <w:tcPr>
            <w:tcW w:type="dxa" w:w="4320"/>
            <w:vAlign w:val="center"/>
            <w:tcMar>
              <w:top w:w="100" w:type="dxa"/>
              <w:start w:w="110" w:type="dxa"/>
              <w:bottom w:w="100" w:type="dxa"/>
              <w:end w:w="110" w:type="dxa"/>
            </w:tcMar>
            <w:shd w:fill="F3F6F8"/>
          </w:tcPr>
          <w:p>
            <w:pPr>
              <w:jc w:val="left"/>
            </w:pPr>
            <w:r/>
            <w:r>
              <w:rPr>
                <w:b w:val="0"/>
                <w:sz w:val="16"/>
              </w:rPr>
              <w:t>Relationship without implying progression</w:t>
            </w:r>
          </w:p>
        </w:tc>
      </w:tr>
      <w:tr>
        <w:trPr>
          <w:trHeight w:hRule="atLeast"/>
        </w:trPr>
        <w:tc>
          <w:tcPr>
            <w:tcW w:type="dxa" w:w="1008"/>
            <w:vAlign w:val="center"/>
            <w:tcMar>
              <w:top w:w="100" w:type="dxa"/>
              <w:start w:w="110" w:type="dxa"/>
              <w:bottom w:w="100" w:type="dxa"/>
              <w:end w:w="110" w:type="dxa"/>
            </w:tcMar>
          </w:tcPr>
          <w:p>
            <w:pPr>
              <w:jc w:val="center"/>
            </w:pPr>
            <w:r/>
            <w:r>
              <w:rPr>
                <w:b w:val="0"/>
                <w:sz w:val="16"/>
              </w:rPr>
              <w:t>C</w:t>
            </w:r>
          </w:p>
        </w:tc>
        <w:tc>
          <w:tcPr>
            <w:tcW w:type="dxa" w:w="3168"/>
            <w:vAlign w:val="center"/>
            <w:tcMar>
              <w:top w:w="100" w:type="dxa"/>
              <w:start w:w="110" w:type="dxa"/>
              <w:bottom w:w="100" w:type="dxa"/>
              <w:end w:w="110" w:type="dxa"/>
            </w:tcMar>
          </w:tcPr>
          <w:p>
            <w:pPr>
              <w:jc w:val="left"/>
            </w:pPr>
            <w:r/>
            <w:r>
              <w:rPr>
                <w:b w:val="0"/>
                <w:sz w:val="16"/>
              </w:rPr>
              <w:t>Orthogonality matrix</w:t>
            </w:r>
          </w:p>
        </w:tc>
        <w:tc>
          <w:tcPr>
            <w:tcW w:type="dxa" w:w="1728"/>
            <w:vAlign w:val="center"/>
            <w:tcMar>
              <w:top w:w="100" w:type="dxa"/>
              <w:start w:w="110" w:type="dxa"/>
              <w:bottom w:w="100" w:type="dxa"/>
              <w:end w:w="110" w:type="dxa"/>
            </w:tcMar>
          </w:tcPr>
          <w:p>
            <w:pPr>
              <w:jc w:val="left"/>
            </w:pPr>
            <w:r/>
            <w:r>
              <w:rPr>
                <w:b w:val="0"/>
                <w:sz w:val="16"/>
              </w:rPr>
              <w:t>Matrix</w:t>
            </w:r>
          </w:p>
        </w:tc>
        <w:tc>
          <w:tcPr>
            <w:tcW w:type="dxa" w:w="4320"/>
            <w:vAlign w:val="center"/>
            <w:tcMar>
              <w:top w:w="100" w:type="dxa"/>
              <w:start w:w="110" w:type="dxa"/>
              <w:bottom w:w="100" w:type="dxa"/>
              <w:end w:w="110" w:type="dxa"/>
            </w:tcMar>
          </w:tcPr>
          <w:p>
            <w:pPr>
              <w:jc w:val="left"/>
            </w:pPr>
            <w:r/>
            <w:r>
              <w:rPr>
                <w:b w:val="0"/>
                <w:sz w:val="16"/>
              </w:rPr>
              <w:t>Pairwise differentiation</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D</w:t>
            </w:r>
          </w:p>
        </w:tc>
        <w:tc>
          <w:tcPr>
            <w:tcW w:type="dxa" w:w="3168"/>
            <w:vAlign w:val="center"/>
            <w:tcMar>
              <w:top w:w="100" w:type="dxa"/>
              <w:start w:w="110" w:type="dxa"/>
              <w:bottom w:w="100" w:type="dxa"/>
              <w:end w:w="110" w:type="dxa"/>
            </w:tcMar>
            <w:shd w:fill="F3F6F8"/>
          </w:tcPr>
          <w:p>
            <w:pPr>
              <w:jc w:val="left"/>
            </w:pPr>
            <w:r/>
            <w:r>
              <w:rPr>
                <w:b w:val="0"/>
                <w:sz w:val="16"/>
              </w:rPr>
              <w:t>Energy and mass budgets</w:t>
            </w:r>
          </w:p>
        </w:tc>
        <w:tc>
          <w:tcPr>
            <w:tcW w:type="dxa" w:w="1728"/>
            <w:vAlign w:val="center"/>
            <w:tcMar>
              <w:top w:w="100" w:type="dxa"/>
              <w:start w:w="110" w:type="dxa"/>
              <w:bottom w:w="100" w:type="dxa"/>
              <w:end w:w="110" w:type="dxa"/>
            </w:tcMar>
            <w:shd w:fill="F3F6F8"/>
          </w:tcPr>
          <w:p>
            <w:pPr>
              <w:jc w:val="left"/>
            </w:pPr>
            <w:r/>
            <w:r>
              <w:rPr>
                <w:b w:val="0"/>
                <w:sz w:val="16"/>
              </w:rPr>
              <w:t>Tables/graphs</w:t>
            </w:r>
          </w:p>
        </w:tc>
        <w:tc>
          <w:tcPr>
            <w:tcW w:type="dxa" w:w="4320"/>
            <w:vAlign w:val="center"/>
            <w:tcMar>
              <w:top w:w="100" w:type="dxa"/>
              <w:start w:w="110" w:type="dxa"/>
              <w:bottom w:w="100" w:type="dxa"/>
              <w:end w:w="110" w:type="dxa"/>
            </w:tcMar>
            <w:shd w:fill="F3F6F8"/>
          </w:tcPr>
          <w:p>
            <w:pPr>
              <w:jc w:val="left"/>
            </w:pPr>
            <w:r/>
            <w:r>
              <w:rPr>
                <w:b w:val="0"/>
                <w:sz w:val="16"/>
              </w:rPr>
              <w:t>Power, reserves, depletion, uncertainty</w:t>
            </w:r>
          </w:p>
        </w:tc>
      </w:tr>
      <w:tr>
        <w:trPr>
          <w:trHeight w:hRule="atLeast"/>
        </w:trPr>
        <w:tc>
          <w:tcPr>
            <w:tcW w:type="dxa" w:w="1008"/>
            <w:vAlign w:val="center"/>
            <w:tcMar>
              <w:top w:w="100" w:type="dxa"/>
              <w:start w:w="110" w:type="dxa"/>
              <w:bottom w:w="100" w:type="dxa"/>
              <w:end w:w="110" w:type="dxa"/>
            </w:tcMar>
          </w:tcPr>
          <w:p>
            <w:pPr>
              <w:jc w:val="center"/>
            </w:pPr>
            <w:r/>
            <w:r>
              <w:rPr>
                <w:b w:val="0"/>
                <w:sz w:val="16"/>
              </w:rPr>
              <w:t>E</w:t>
            </w:r>
          </w:p>
        </w:tc>
        <w:tc>
          <w:tcPr>
            <w:tcW w:type="dxa" w:w="3168"/>
            <w:vAlign w:val="center"/>
            <w:tcMar>
              <w:top w:w="100" w:type="dxa"/>
              <w:start w:w="110" w:type="dxa"/>
              <w:bottom w:w="100" w:type="dxa"/>
              <w:end w:w="110" w:type="dxa"/>
            </w:tcMar>
          </w:tcPr>
          <w:p>
            <w:pPr>
              <w:jc w:val="left"/>
            </w:pPr>
            <w:r/>
            <w:r>
              <w:rPr>
                <w:b w:val="0"/>
                <w:sz w:val="16"/>
              </w:rPr>
              <w:t>Thermal envelopes</w:t>
            </w:r>
          </w:p>
        </w:tc>
        <w:tc>
          <w:tcPr>
            <w:tcW w:type="dxa" w:w="1728"/>
            <w:vAlign w:val="center"/>
            <w:tcMar>
              <w:top w:w="100" w:type="dxa"/>
              <w:start w:w="110" w:type="dxa"/>
              <w:bottom w:w="100" w:type="dxa"/>
              <w:end w:w="110" w:type="dxa"/>
            </w:tcMar>
          </w:tcPr>
          <w:p>
            <w:pPr>
              <w:jc w:val="left"/>
            </w:pPr>
            <w:r/>
            <w:r>
              <w:rPr>
                <w:b w:val="0"/>
                <w:sz w:val="16"/>
              </w:rPr>
              <w:t>Graphs</w:t>
            </w:r>
          </w:p>
        </w:tc>
        <w:tc>
          <w:tcPr>
            <w:tcW w:type="dxa" w:w="4320"/>
            <w:vAlign w:val="center"/>
            <w:tcMar>
              <w:top w:w="100" w:type="dxa"/>
              <w:start w:w="110" w:type="dxa"/>
              <w:bottom w:w="100" w:type="dxa"/>
              <w:end w:w="110" w:type="dxa"/>
            </w:tcMar>
          </w:tcPr>
          <w:p>
            <w:pPr>
              <w:jc w:val="left"/>
            </w:pPr>
            <w:r/>
            <w:r>
              <w:rPr>
                <w:b w:val="0"/>
                <w:sz w:val="16"/>
              </w:rPr>
              <w:t>Home, refuge, death line; heat saturation</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F</w:t>
            </w:r>
          </w:p>
        </w:tc>
        <w:tc>
          <w:tcPr>
            <w:tcW w:type="dxa" w:w="3168"/>
            <w:vAlign w:val="center"/>
            <w:tcMar>
              <w:top w:w="100" w:type="dxa"/>
              <w:start w:w="110" w:type="dxa"/>
              <w:bottom w:w="100" w:type="dxa"/>
              <w:end w:w="110" w:type="dxa"/>
            </w:tcMar>
            <w:shd w:fill="F3F6F8"/>
          </w:tcPr>
          <w:p>
            <w:pPr>
              <w:jc w:val="left"/>
            </w:pPr>
            <w:r/>
            <w:r>
              <w:rPr>
                <w:b w:val="0"/>
                <w:sz w:val="16"/>
              </w:rPr>
              <w:t>Extinction taxonomy matrices</w:t>
            </w:r>
          </w:p>
        </w:tc>
        <w:tc>
          <w:tcPr>
            <w:tcW w:type="dxa" w:w="1728"/>
            <w:vAlign w:val="center"/>
            <w:tcMar>
              <w:top w:w="100" w:type="dxa"/>
              <w:start w:w="110" w:type="dxa"/>
              <w:bottom w:w="100" w:type="dxa"/>
              <w:end w:w="110" w:type="dxa"/>
            </w:tcMar>
            <w:shd w:fill="F3F6F8"/>
          </w:tcPr>
          <w:p>
            <w:pPr>
              <w:jc w:val="left"/>
            </w:pPr>
            <w:r/>
            <w:r>
              <w:rPr>
                <w:b w:val="0"/>
                <w:sz w:val="16"/>
              </w:rPr>
              <w:t>Heatmaps/tables</w:t>
            </w:r>
          </w:p>
        </w:tc>
        <w:tc>
          <w:tcPr>
            <w:tcW w:type="dxa" w:w="4320"/>
            <w:vAlign w:val="center"/>
            <w:tcMar>
              <w:top w:w="100" w:type="dxa"/>
              <w:start w:w="110" w:type="dxa"/>
              <w:bottom w:w="100" w:type="dxa"/>
              <w:end w:w="110" w:type="dxa"/>
            </w:tcMar>
            <w:shd w:fill="F3F6F8"/>
          </w:tcPr>
          <w:p>
            <w:pPr>
              <w:jc w:val="left"/>
            </w:pPr>
            <w:r/>
            <w:r>
              <w:rPr>
                <w:b w:val="0"/>
                <w:sz w:val="16"/>
              </w:rPr>
              <w:t>Ten domains x four severity bands</w:t>
            </w:r>
          </w:p>
        </w:tc>
      </w:tr>
      <w:tr>
        <w:trPr>
          <w:trHeight w:hRule="atLeast"/>
        </w:trPr>
        <w:tc>
          <w:tcPr>
            <w:tcW w:type="dxa" w:w="1008"/>
            <w:vAlign w:val="center"/>
            <w:tcMar>
              <w:top w:w="100" w:type="dxa"/>
              <w:start w:w="110" w:type="dxa"/>
              <w:bottom w:w="100" w:type="dxa"/>
              <w:end w:w="110" w:type="dxa"/>
            </w:tcMar>
          </w:tcPr>
          <w:p>
            <w:pPr>
              <w:jc w:val="center"/>
            </w:pPr>
            <w:r/>
            <w:r>
              <w:rPr>
                <w:b w:val="0"/>
                <w:sz w:val="16"/>
              </w:rPr>
              <w:t>G</w:t>
            </w:r>
          </w:p>
        </w:tc>
        <w:tc>
          <w:tcPr>
            <w:tcW w:type="dxa" w:w="3168"/>
            <w:vAlign w:val="center"/>
            <w:tcMar>
              <w:top w:w="100" w:type="dxa"/>
              <w:start w:w="110" w:type="dxa"/>
              <w:bottom w:w="100" w:type="dxa"/>
              <w:end w:w="110" w:type="dxa"/>
            </w:tcMar>
          </w:tcPr>
          <w:p>
            <w:pPr>
              <w:jc w:val="left"/>
            </w:pPr>
            <w:r/>
            <w:r>
              <w:rPr>
                <w:b w:val="0"/>
                <w:sz w:val="16"/>
              </w:rPr>
              <w:t>Captivity Gauntlet results</w:t>
            </w:r>
          </w:p>
        </w:tc>
        <w:tc>
          <w:tcPr>
            <w:tcW w:type="dxa" w:w="1728"/>
            <w:vAlign w:val="center"/>
            <w:tcMar>
              <w:top w:w="100" w:type="dxa"/>
              <w:start w:w="110" w:type="dxa"/>
              <w:bottom w:w="100" w:type="dxa"/>
              <w:end w:w="110" w:type="dxa"/>
            </w:tcMar>
          </w:tcPr>
          <w:p>
            <w:pPr>
              <w:jc w:val="left"/>
            </w:pPr>
            <w:r/>
            <w:r>
              <w:rPr>
                <w:b w:val="0"/>
                <w:sz w:val="16"/>
              </w:rPr>
              <w:t>Matrix</w:t>
            </w:r>
          </w:p>
        </w:tc>
        <w:tc>
          <w:tcPr>
            <w:tcW w:type="dxa" w:w="4320"/>
            <w:vAlign w:val="center"/>
            <w:tcMar>
              <w:top w:w="100" w:type="dxa"/>
              <w:start w:w="110" w:type="dxa"/>
              <w:bottom w:w="100" w:type="dxa"/>
              <w:end w:w="110" w:type="dxa"/>
            </w:tcMar>
          </w:tcPr>
          <w:p>
            <w:pPr>
              <w:jc w:val="left"/>
            </w:pPr>
            <w:r/>
            <w:r>
              <w:rPr>
                <w:b w:val="0"/>
                <w:sz w:val="16"/>
              </w:rPr>
              <w:t>Threat, outcome, leakage, continuity</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H</w:t>
            </w:r>
          </w:p>
        </w:tc>
        <w:tc>
          <w:tcPr>
            <w:tcW w:type="dxa" w:w="3168"/>
            <w:vAlign w:val="center"/>
            <w:tcMar>
              <w:top w:w="100" w:type="dxa"/>
              <w:start w:w="110" w:type="dxa"/>
              <w:bottom w:w="100" w:type="dxa"/>
              <w:end w:w="110" w:type="dxa"/>
            </w:tcMar>
            <w:shd w:fill="F3F6F8"/>
          </w:tcPr>
          <w:p>
            <w:pPr>
              <w:jc w:val="left"/>
            </w:pPr>
            <w:r/>
            <w:r>
              <w:rPr>
                <w:b w:val="0"/>
                <w:sz w:val="16"/>
              </w:rPr>
              <w:t>Failure ledgers</w:t>
            </w:r>
          </w:p>
        </w:tc>
        <w:tc>
          <w:tcPr>
            <w:tcW w:type="dxa" w:w="1728"/>
            <w:vAlign w:val="center"/>
            <w:tcMar>
              <w:top w:w="100" w:type="dxa"/>
              <w:start w:w="110" w:type="dxa"/>
              <w:bottom w:w="100" w:type="dxa"/>
              <w:end w:w="110" w:type="dxa"/>
            </w:tcMar>
            <w:shd w:fill="F3F6F8"/>
          </w:tcPr>
          <w:p>
            <w:pPr>
              <w:jc w:val="left"/>
            </w:pPr>
            <w:r/>
            <w:r>
              <w:rPr>
                <w:b w:val="0"/>
                <w:sz w:val="16"/>
              </w:rPr>
              <w:t>Tables</w:t>
            </w:r>
          </w:p>
        </w:tc>
        <w:tc>
          <w:tcPr>
            <w:tcW w:type="dxa" w:w="4320"/>
            <w:vAlign w:val="center"/>
            <w:tcMar>
              <w:top w:w="100" w:type="dxa"/>
              <w:start w:w="110" w:type="dxa"/>
              <w:bottom w:w="100" w:type="dxa"/>
              <w:end w:w="110" w:type="dxa"/>
            </w:tcMar>
            <w:shd w:fill="F3F6F8"/>
          </w:tcPr>
          <w:p>
            <w:pPr>
              <w:jc w:val="left"/>
            </w:pPr>
            <w:r/>
            <w:r>
              <w:rPr>
                <w:b w:val="0"/>
                <w:sz w:val="16"/>
              </w:rPr>
              <w:t>Cause, warning, consequence, recovery</w:t>
            </w:r>
          </w:p>
        </w:tc>
      </w:tr>
      <w:tr>
        <w:trPr>
          <w:trHeight w:hRule="atLeast"/>
        </w:trPr>
        <w:tc>
          <w:tcPr>
            <w:tcW w:type="dxa" w:w="1008"/>
            <w:vAlign w:val="center"/>
            <w:tcMar>
              <w:top w:w="100" w:type="dxa"/>
              <w:start w:w="110" w:type="dxa"/>
              <w:bottom w:w="100" w:type="dxa"/>
              <w:end w:w="110" w:type="dxa"/>
            </w:tcMar>
          </w:tcPr>
          <w:p>
            <w:pPr>
              <w:jc w:val="center"/>
            </w:pPr>
            <w:r/>
            <w:r>
              <w:rPr>
                <w:b w:val="0"/>
                <w:sz w:val="16"/>
              </w:rPr>
              <w:t>I</w:t>
            </w:r>
          </w:p>
        </w:tc>
        <w:tc>
          <w:tcPr>
            <w:tcW w:type="dxa" w:w="3168"/>
            <w:vAlign w:val="center"/>
            <w:tcMar>
              <w:top w:w="100" w:type="dxa"/>
              <w:start w:w="110" w:type="dxa"/>
              <w:bottom w:w="100" w:type="dxa"/>
              <w:end w:w="110" w:type="dxa"/>
            </w:tcMar>
          </w:tcPr>
          <w:p>
            <w:pPr>
              <w:jc w:val="left"/>
            </w:pPr>
            <w:r/>
            <w:r>
              <w:rPr>
                <w:b w:val="0"/>
                <w:sz w:val="16"/>
              </w:rPr>
              <w:t>Long-distance network</w:t>
            </w:r>
          </w:p>
        </w:tc>
        <w:tc>
          <w:tcPr>
            <w:tcW w:type="dxa" w:w="1728"/>
            <w:vAlign w:val="center"/>
            <w:tcMar>
              <w:top w:w="100" w:type="dxa"/>
              <w:start w:w="110" w:type="dxa"/>
              <w:bottom w:w="100" w:type="dxa"/>
              <w:end w:w="110" w:type="dxa"/>
            </w:tcMar>
          </w:tcPr>
          <w:p>
            <w:pPr>
              <w:jc w:val="left"/>
            </w:pPr>
            <w:r/>
            <w:r>
              <w:rPr>
                <w:b w:val="0"/>
                <w:sz w:val="16"/>
              </w:rPr>
              <w:t>Diagram</w:t>
            </w:r>
          </w:p>
        </w:tc>
        <w:tc>
          <w:tcPr>
            <w:tcW w:type="dxa" w:w="4320"/>
            <w:vAlign w:val="center"/>
            <w:tcMar>
              <w:top w:w="100" w:type="dxa"/>
              <w:start w:w="110" w:type="dxa"/>
              <w:bottom w:w="100" w:type="dxa"/>
              <w:end w:w="110" w:type="dxa"/>
            </w:tcMar>
          </w:tcPr>
          <w:p>
            <w:pPr>
              <w:jc w:val="left"/>
            </w:pPr>
            <w:r/>
            <w:r>
              <w:rPr>
                <w:b w:val="0"/>
                <w:sz w:val="16"/>
              </w:rPr>
              <w:t>Media, trust, partitions, latency</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J</w:t>
            </w:r>
          </w:p>
        </w:tc>
        <w:tc>
          <w:tcPr>
            <w:tcW w:type="dxa" w:w="3168"/>
            <w:vAlign w:val="center"/>
            <w:tcMar>
              <w:top w:w="100" w:type="dxa"/>
              <w:start w:w="110" w:type="dxa"/>
              <w:bottom w:w="100" w:type="dxa"/>
              <w:end w:w="110" w:type="dxa"/>
            </w:tcMar>
            <w:shd w:fill="F3F6F8"/>
          </w:tcPr>
          <w:p>
            <w:pPr>
              <w:jc w:val="left"/>
            </w:pPr>
            <w:r/>
            <w:r>
              <w:rPr>
                <w:b w:val="0"/>
                <w:sz w:val="16"/>
              </w:rPr>
              <w:t>Identity continuity states</w:t>
            </w:r>
          </w:p>
        </w:tc>
        <w:tc>
          <w:tcPr>
            <w:tcW w:type="dxa" w:w="1728"/>
            <w:vAlign w:val="center"/>
            <w:tcMar>
              <w:top w:w="100" w:type="dxa"/>
              <w:start w:w="110" w:type="dxa"/>
              <w:bottom w:w="100" w:type="dxa"/>
              <w:end w:w="110" w:type="dxa"/>
            </w:tcMar>
            <w:shd w:fill="F3F6F8"/>
          </w:tcPr>
          <w:p>
            <w:pPr>
              <w:jc w:val="left"/>
            </w:pPr>
            <w:r/>
            <w:r>
              <w:rPr>
                <w:b w:val="0"/>
                <w:sz w:val="16"/>
              </w:rPr>
              <w:t>State diagram</w:t>
            </w:r>
          </w:p>
        </w:tc>
        <w:tc>
          <w:tcPr>
            <w:tcW w:type="dxa" w:w="4320"/>
            <w:vAlign w:val="center"/>
            <w:tcMar>
              <w:top w:w="100" w:type="dxa"/>
              <w:start w:w="110" w:type="dxa"/>
              <w:bottom w:w="100" w:type="dxa"/>
              <w:end w:w="110" w:type="dxa"/>
            </w:tcMar>
            <w:shd w:fill="F3F6F8"/>
          </w:tcPr>
          <w:p>
            <w:pPr>
              <w:jc w:val="left"/>
            </w:pPr>
            <w:r/>
            <w:r>
              <w:rPr>
                <w:b w:val="0"/>
                <w:sz w:val="16"/>
              </w:rPr>
              <w:t>Survival, dormancy, repair, restoration, duplicate</w:t>
            </w:r>
          </w:p>
        </w:tc>
      </w:tr>
      <w:tr>
        <w:trPr>
          <w:trHeight w:hRule="atLeast"/>
        </w:trPr>
        <w:tc>
          <w:tcPr>
            <w:tcW w:type="dxa" w:w="1008"/>
            <w:vAlign w:val="center"/>
            <w:tcMar>
              <w:top w:w="100" w:type="dxa"/>
              <w:start w:w="110" w:type="dxa"/>
              <w:bottom w:w="100" w:type="dxa"/>
              <w:end w:w="110" w:type="dxa"/>
            </w:tcMar>
          </w:tcPr>
          <w:p>
            <w:pPr>
              <w:jc w:val="center"/>
            </w:pPr>
            <w:r/>
            <w:r>
              <w:rPr>
                <w:b w:val="0"/>
                <w:sz w:val="16"/>
              </w:rPr>
              <w:t>K</w:t>
            </w:r>
          </w:p>
        </w:tc>
        <w:tc>
          <w:tcPr>
            <w:tcW w:type="dxa" w:w="3168"/>
            <w:vAlign w:val="center"/>
            <w:tcMar>
              <w:top w:w="100" w:type="dxa"/>
              <w:start w:w="110" w:type="dxa"/>
              <w:bottom w:w="100" w:type="dxa"/>
              <w:end w:w="110" w:type="dxa"/>
            </w:tcMar>
          </w:tcPr>
          <w:p>
            <w:pPr>
              <w:jc w:val="left"/>
            </w:pPr>
            <w:r/>
            <w:r>
              <w:rPr>
                <w:b w:val="0"/>
                <w:sz w:val="16"/>
              </w:rPr>
              <w:t>Pareto frontier</w:t>
            </w:r>
          </w:p>
        </w:tc>
        <w:tc>
          <w:tcPr>
            <w:tcW w:type="dxa" w:w="1728"/>
            <w:vAlign w:val="center"/>
            <w:tcMar>
              <w:top w:w="100" w:type="dxa"/>
              <w:start w:w="110" w:type="dxa"/>
              <w:bottom w:w="100" w:type="dxa"/>
              <w:end w:w="110" w:type="dxa"/>
            </w:tcMar>
          </w:tcPr>
          <w:p>
            <w:pPr>
              <w:jc w:val="left"/>
            </w:pPr>
            <w:r/>
            <w:r>
              <w:rPr>
                <w:b w:val="0"/>
                <w:sz w:val="16"/>
              </w:rPr>
              <w:t>Plot</w:t>
            </w:r>
          </w:p>
        </w:tc>
        <w:tc>
          <w:tcPr>
            <w:tcW w:type="dxa" w:w="4320"/>
            <w:vAlign w:val="center"/>
            <w:tcMar>
              <w:top w:w="100" w:type="dxa"/>
              <w:start w:w="110" w:type="dxa"/>
              <w:bottom w:w="100" w:type="dxa"/>
              <w:end w:w="110" w:type="dxa"/>
            </w:tcMar>
          </w:tcPr>
          <w:p>
            <w:pPr>
              <w:jc w:val="left"/>
            </w:pPr>
            <w:r/>
            <w:r>
              <w:rPr>
                <w:b w:val="0"/>
                <w:sz w:val="16"/>
              </w:rPr>
              <w:t>Tradeoffs without forced consensus</w:t>
            </w:r>
          </w:p>
        </w:tc>
      </w:tr>
      <w:tr>
        <w:trPr>
          <w:trHeight w:hRule="atLeast"/>
        </w:trPr>
        <w:tc>
          <w:tcPr>
            <w:tcW w:type="dxa" w:w="1008"/>
            <w:vAlign w:val="center"/>
            <w:tcMar>
              <w:top w:w="100" w:type="dxa"/>
              <w:start w:w="110" w:type="dxa"/>
              <w:bottom w:w="100" w:type="dxa"/>
              <w:end w:w="110" w:type="dxa"/>
            </w:tcMar>
            <w:shd w:fill="F3F6F8"/>
          </w:tcPr>
          <w:p>
            <w:pPr>
              <w:jc w:val="center"/>
            </w:pPr>
            <w:r/>
            <w:r>
              <w:rPr>
                <w:b w:val="0"/>
                <w:sz w:val="16"/>
              </w:rPr>
              <w:t>L</w:t>
            </w:r>
          </w:p>
        </w:tc>
        <w:tc>
          <w:tcPr>
            <w:tcW w:type="dxa" w:w="3168"/>
            <w:vAlign w:val="center"/>
            <w:tcMar>
              <w:top w:w="100" w:type="dxa"/>
              <w:start w:w="110" w:type="dxa"/>
              <w:bottom w:w="100" w:type="dxa"/>
              <w:end w:w="110" w:type="dxa"/>
            </w:tcMar>
            <w:shd w:fill="F3F6F8"/>
          </w:tcPr>
          <w:p>
            <w:pPr>
              <w:jc w:val="left"/>
            </w:pPr>
            <w:r/>
            <w:r>
              <w:rPr>
                <w:b w:val="0"/>
                <w:sz w:val="16"/>
              </w:rPr>
              <w:t>Research roadmap</w:t>
            </w:r>
          </w:p>
        </w:tc>
        <w:tc>
          <w:tcPr>
            <w:tcW w:type="dxa" w:w="1728"/>
            <w:vAlign w:val="center"/>
            <w:tcMar>
              <w:top w:w="100" w:type="dxa"/>
              <w:start w:w="110" w:type="dxa"/>
              <w:bottom w:w="100" w:type="dxa"/>
              <w:end w:w="110" w:type="dxa"/>
            </w:tcMar>
            <w:shd w:fill="F3F6F8"/>
          </w:tcPr>
          <w:p>
            <w:pPr>
              <w:jc w:val="left"/>
            </w:pPr>
            <w:r/>
            <w:r>
              <w:rPr>
                <w:b w:val="0"/>
                <w:sz w:val="16"/>
              </w:rPr>
              <w:t>Timeline</w:t>
            </w:r>
          </w:p>
        </w:tc>
        <w:tc>
          <w:tcPr>
            <w:tcW w:type="dxa" w:w="4320"/>
            <w:vAlign w:val="center"/>
            <w:tcMar>
              <w:top w:w="100" w:type="dxa"/>
              <w:start w:w="110" w:type="dxa"/>
              <w:bottom w:w="100" w:type="dxa"/>
              <w:end w:w="110" w:type="dxa"/>
            </w:tcMar>
            <w:shd w:fill="F3F6F8"/>
          </w:tcPr>
          <w:p>
            <w:pPr>
              <w:jc w:val="left"/>
            </w:pPr>
            <w:r/>
            <w:r>
              <w:rPr>
                <w:b w:val="0"/>
                <w:sz w:val="16"/>
              </w:rPr>
              <w:t>Validation gates and Gen-2 paths</w:t>
            </w:r>
          </w:p>
        </w:tc>
      </w:tr>
    </w:tbl>
    <w:p>
      <w:pPr>
        <w:spacing w:after="0"/>
      </w:pPr>
    </w:p>
    <w:p>
      <w:pPr>
        <w:pStyle w:val="Heading2"/>
        <w:keepNext/>
      </w:pPr>
      <w:r>
        <w:t>Exhibit A5. Minimum Comparison Criteria</w:t>
      </w:r>
    </w:p>
    <w:tbl>
      <w:tblPr>
        <w:tblStyle w:val="TableGrid"/>
        <w:tblW w:type="auto" w:w="0"/>
        <w:jc w:val="center"/>
        <w:tblLook w:firstColumn="1" w:firstRow="1" w:lastColumn="0" w:lastRow="0" w:noHBand="0" w:noVBand="1" w:val="04A0"/>
      </w:tblPr>
      <w:tblGrid>
        <w:gridCol w:w="3312"/>
        <w:gridCol w:w="3312"/>
        <w:gridCol w:w="3312"/>
      </w:tblGrid>
      <w:tr>
        <w:trPr>
          <w:trHeight w:hRule="atLeast"/>
        </w:trPr>
        <w:tc>
          <w:tcPr>
            <w:tcW w:type="dxa" w:w="3456"/>
            <w:vAlign w:val="center"/>
            <w:tcMar>
              <w:top w:w="100" w:type="dxa"/>
              <w:start w:w="110" w:type="dxa"/>
              <w:bottom w:w="100" w:type="dxa"/>
              <w:end w:w="110" w:type="dxa"/>
            </w:tcMar>
            <w:shd w:fill="1F4E79"/>
          </w:tcPr>
          <w:p>
            <w:pPr>
              <w:jc w:val="center"/>
            </w:pPr>
            <w:r/>
            <w:r>
              <w:rPr>
                <w:b/>
                <w:color w:val="FFFFFF"/>
                <w:sz w:val="18"/>
              </w:rPr>
              <w:t>Criterion group 1</w:t>
            </w:r>
          </w:p>
        </w:tc>
        <w:tc>
          <w:tcPr>
            <w:tcW w:type="dxa" w:w="3456"/>
            <w:vAlign w:val="center"/>
            <w:tcMar>
              <w:top w:w="100" w:type="dxa"/>
              <w:start w:w="110" w:type="dxa"/>
              <w:bottom w:w="100" w:type="dxa"/>
              <w:end w:w="110" w:type="dxa"/>
            </w:tcMar>
            <w:shd w:fill="1F4E79"/>
          </w:tcPr>
          <w:p>
            <w:pPr>
              <w:jc w:val="center"/>
            </w:pPr>
            <w:r/>
            <w:r>
              <w:rPr>
                <w:b/>
                <w:color w:val="FFFFFF"/>
                <w:sz w:val="18"/>
              </w:rPr>
              <w:t>Criterion group 2</w:t>
            </w:r>
          </w:p>
        </w:tc>
        <w:tc>
          <w:tcPr>
            <w:tcW w:type="dxa" w:w="3456"/>
            <w:vAlign w:val="center"/>
            <w:tcMar>
              <w:top w:w="100" w:type="dxa"/>
              <w:start w:w="110" w:type="dxa"/>
              <w:bottom w:w="100" w:type="dxa"/>
              <w:end w:w="110" w:type="dxa"/>
            </w:tcMar>
            <w:shd w:fill="1F4E79"/>
          </w:tcPr>
          <w:p>
            <w:pPr>
              <w:jc w:val="center"/>
            </w:pPr>
            <w:r/>
            <w:r>
              <w:rPr>
                <w:b/>
                <w:color w:val="FFFFFF"/>
                <w:sz w:val="18"/>
              </w:rPr>
              <w:t>Criterion group 3</w:t>
            </w:r>
          </w:p>
        </w:tc>
      </w:tr>
      <w:tr>
        <w:trPr>
          <w:trHeight w:hRule="atLeast"/>
        </w:trPr>
        <w:tc>
          <w:tcPr>
            <w:tcW w:type="dxa" w:w="3456"/>
            <w:vAlign w:val="center"/>
            <w:tcMar>
              <w:top w:w="100" w:type="dxa"/>
              <w:start w:w="110" w:type="dxa"/>
              <w:bottom w:w="100" w:type="dxa"/>
              <w:end w:w="110" w:type="dxa"/>
            </w:tcMar>
          </w:tcPr>
          <w:p>
            <w:pPr>
              <w:jc w:val="center"/>
            </w:pPr>
            <w:r/>
            <w:r>
              <w:rPr>
                <w:b w:val="0"/>
                <w:sz w:val="17"/>
              </w:rPr>
              <w:t>Unified operation</w:t>
            </w:r>
          </w:p>
        </w:tc>
        <w:tc>
          <w:tcPr>
            <w:tcW w:type="dxa" w:w="3456"/>
            <w:vAlign w:val="center"/>
            <w:tcMar>
              <w:top w:w="100" w:type="dxa"/>
              <w:start w:w="110" w:type="dxa"/>
              <w:bottom w:w="100" w:type="dxa"/>
              <w:end w:w="110" w:type="dxa"/>
            </w:tcMar>
          </w:tcPr>
          <w:p>
            <w:pPr>
              <w:jc w:val="left"/>
            </w:pPr>
            <w:r/>
            <w:r>
              <w:rPr>
                <w:b w:val="0"/>
                <w:sz w:val="17"/>
              </w:rPr>
              <w:t>Cellular versatility</w:t>
            </w:r>
          </w:p>
        </w:tc>
        <w:tc>
          <w:tcPr>
            <w:tcW w:type="dxa" w:w="3456"/>
            <w:vAlign w:val="center"/>
            <w:tcMar>
              <w:top w:w="100" w:type="dxa"/>
              <w:start w:w="110" w:type="dxa"/>
              <w:bottom w:w="100" w:type="dxa"/>
              <w:end w:w="110" w:type="dxa"/>
            </w:tcMar>
          </w:tcPr>
          <w:p>
            <w:pPr>
              <w:jc w:val="left"/>
            </w:pPr>
            <w:r/>
            <w:r>
              <w:rPr>
                <w:b w:val="0"/>
                <w:sz w:val="17"/>
              </w:rPr>
              <w:t>Monoculture resistance</w:t>
            </w:r>
          </w:p>
        </w:tc>
      </w:tr>
      <w:tr>
        <w:trPr>
          <w:trHeight w:hRule="atLeast"/>
        </w:trPr>
        <w:tc>
          <w:tcPr>
            <w:tcW w:type="dxa" w:w="3456"/>
            <w:vAlign w:val="center"/>
            <w:tcMar>
              <w:top w:w="100" w:type="dxa"/>
              <w:start w:w="110" w:type="dxa"/>
              <w:bottom w:w="100" w:type="dxa"/>
              <w:end w:w="110" w:type="dxa"/>
            </w:tcMar>
            <w:shd w:fill="F3F6F8"/>
          </w:tcPr>
          <w:p>
            <w:pPr>
              <w:jc w:val="center"/>
            </w:pPr>
            <w:r/>
            <w:r>
              <w:rPr>
                <w:b w:val="0"/>
                <w:sz w:val="17"/>
              </w:rPr>
              <w:t>Single-cell theft resistance</w:t>
            </w:r>
          </w:p>
        </w:tc>
        <w:tc>
          <w:tcPr>
            <w:tcW w:type="dxa" w:w="3456"/>
            <w:vAlign w:val="center"/>
            <w:tcMar>
              <w:top w:w="100" w:type="dxa"/>
              <w:start w:w="110" w:type="dxa"/>
              <w:bottom w:w="100" w:type="dxa"/>
              <w:end w:w="110" w:type="dxa"/>
            </w:tcMar>
            <w:shd w:fill="F3F6F8"/>
          </w:tcPr>
          <w:p>
            <w:pPr>
              <w:jc w:val="left"/>
            </w:pPr>
            <w:r/>
            <w:r>
              <w:rPr>
                <w:b w:val="0"/>
                <w:sz w:val="17"/>
              </w:rPr>
              <w:t>Respiratory independence</w:t>
            </w:r>
          </w:p>
        </w:tc>
        <w:tc>
          <w:tcPr>
            <w:tcW w:type="dxa" w:w="3456"/>
            <w:vAlign w:val="center"/>
            <w:tcMar>
              <w:top w:w="100" w:type="dxa"/>
              <w:start w:w="110" w:type="dxa"/>
              <w:bottom w:w="100" w:type="dxa"/>
              <w:end w:w="110" w:type="dxa"/>
            </w:tcMar>
            <w:shd w:fill="F3F6F8"/>
          </w:tcPr>
          <w:p>
            <w:pPr>
              <w:jc w:val="left"/>
            </w:pPr>
            <w:r/>
            <w:r>
              <w:rPr>
                <w:b w:val="0"/>
                <w:sz w:val="17"/>
              </w:rPr>
              <w:t>Energy sustainability</w:t>
            </w:r>
          </w:p>
        </w:tc>
      </w:tr>
      <w:tr>
        <w:trPr>
          <w:trHeight w:hRule="atLeast"/>
        </w:trPr>
        <w:tc>
          <w:tcPr>
            <w:tcW w:type="dxa" w:w="3456"/>
            <w:vAlign w:val="center"/>
            <w:tcMar>
              <w:top w:w="100" w:type="dxa"/>
              <w:start w:w="110" w:type="dxa"/>
              <w:bottom w:w="100" w:type="dxa"/>
              <w:end w:w="110" w:type="dxa"/>
            </w:tcMar>
          </w:tcPr>
          <w:p>
            <w:pPr>
              <w:jc w:val="center"/>
            </w:pPr>
            <w:r/>
            <w:r>
              <w:rPr>
                <w:b w:val="0"/>
                <w:sz w:val="17"/>
              </w:rPr>
              <w:t>Thermal resilience</w:t>
            </w:r>
          </w:p>
        </w:tc>
        <w:tc>
          <w:tcPr>
            <w:tcW w:type="dxa" w:w="3456"/>
            <w:vAlign w:val="center"/>
            <w:tcMar>
              <w:top w:w="100" w:type="dxa"/>
              <w:start w:w="110" w:type="dxa"/>
              <w:bottom w:w="100" w:type="dxa"/>
              <w:end w:w="110" w:type="dxa"/>
            </w:tcMar>
          </w:tcPr>
          <w:p>
            <w:pPr>
              <w:jc w:val="left"/>
            </w:pPr>
            <w:r/>
            <w:r>
              <w:rPr>
                <w:b w:val="0"/>
                <w:sz w:val="17"/>
              </w:rPr>
              <w:t>Mechanical resilience</w:t>
            </w:r>
          </w:p>
        </w:tc>
        <w:tc>
          <w:tcPr>
            <w:tcW w:type="dxa" w:w="3456"/>
            <w:vAlign w:val="center"/>
            <w:tcMar>
              <w:top w:w="100" w:type="dxa"/>
              <w:start w:w="110" w:type="dxa"/>
              <w:bottom w:w="100" w:type="dxa"/>
              <w:end w:w="110" w:type="dxa"/>
            </w:tcMar>
          </w:tcPr>
          <w:p>
            <w:pPr>
              <w:jc w:val="left"/>
            </w:pPr>
            <w:r/>
            <w:r>
              <w:rPr>
                <w:b w:val="0"/>
                <w:sz w:val="17"/>
              </w:rPr>
              <w:t>Radiation resilience</w:t>
            </w:r>
          </w:p>
        </w:tc>
      </w:tr>
      <w:tr>
        <w:trPr>
          <w:trHeight w:hRule="atLeast"/>
        </w:trPr>
        <w:tc>
          <w:tcPr>
            <w:tcW w:type="dxa" w:w="3456"/>
            <w:vAlign w:val="center"/>
            <w:tcMar>
              <w:top w:w="100" w:type="dxa"/>
              <w:start w:w="110" w:type="dxa"/>
              <w:bottom w:w="100" w:type="dxa"/>
              <w:end w:w="110" w:type="dxa"/>
            </w:tcMar>
            <w:shd w:fill="F3F6F8"/>
          </w:tcPr>
          <w:p>
            <w:pPr>
              <w:jc w:val="center"/>
            </w:pPr>
            <w:r/>
            <w:r>
              <w:rPr>
                <w:b w:val="0"/>
                <w:sz w:val="17"/>
              </w:rPr>
              <w:t>Biological/chemical resilience</w:t>
            </w:r>
          </w:p>
        </w:tc>
        <w:tc>
          <w:tcPr>
            <w:tcW w:type="dxa" w:w="3456"/>
            <w:vAlign w:val="center"/>
            <w:tcMar>
              <w:top w:w="100" w:type="dxa"/>
              <w:start w:w="110" w:type="dxa"/>
              <w:bottom w:w="100" w:type="dxa"/>
              <w:end w:w="110" w:type="dxa"/>
            </w:tcMar>
            <w:shd w:fill="F3F6F8"/>
          </w:tcPr>
          <w:p>
            <w:pPr>
              <w:jc w:val="left"/>
            </w:pPr>
            <w:r/>
            <w:r>
              <w:rPr>
                <w:b w:val="0"/>
                <w:sz w:val="17"/>
              </w:rPr>
              <w:t>Hereditary security</w:t>
            </w:r>
          </w:p>
        </w:tc>
        <w:tc>
          <w:tcPr>
            <w:tcW w:type="dxa" w:w="3456"/>
            <w:vAlign w:val="center"/>
            <w:tcMar>
              <w:top w:w="100" w:type="dxa"/>
              <w:start w:w="110" w:type="dxa"/>
              <w:bottom w:w="100" w:type="dxa"/>
              <w:end w:w="110" w:type="dxa"/>
            </w:tcMar>
            <w:shd w:fill="F3F6F8"/>
          </w:tcPr>
          <w:p>
            <w:pPr>
              <w:jc w:val="left"/>
            </w:pPr>
            <w:r/>
            <w:r>
              <w:rPr>
                <w:b w:val="0"/>
                <w:sz w:val="17"/>
              </w:rPr>
              <w:t>Identity continuity</w:t>
            </w:r>
          </w:p>
        </w:tc>
      </w:tr>
      <w:tr>
        <w:trPr>
          <w:trHeight w:hRule="atLeast"/>
        </w:trPr>
        <w:tc>
          <w:tcPr>
            <w:tcW w:type="dxa" w:w="3456"/>
            <w:vAlign w:val="center"/>
            <w:tcMar>
              <w:top w:w="100" w:type="dxa"/>
              <w:start w:w="110" w:type="dxa"/>
              <w:bottom w:w="100" w:type="dxa"/>
              <w:end w:w="110" w:type="dxa"/>
            </w:tcMar>
          </w:tcPr>
          <w:p>
            <w:pPr>
              <w:jc w:val="center"/>
            </w:pPr>
            <w:r/>
            <w:r>
              <w:rPr>
                <w:b w:val="0"/>
                <w:sz w:val="17"/>
              </w:rPr>
              <w:t>Capture resistance</w:t>
            </w:r>
          </w:p>
        </w:tc>
        <w:tc>
          <w:tcPr>
            <w:tcW w:type="dxa" w:w="3456"/>
            <w:vAlign w:val="center"/>
            <w:tcMar>
              <w:top w:w="100" w:type="dxa"/>
              <w:start w:w="110" w:type="dxa"/>
              <w:bottom w:w="100" w:type="dxa"/>
              <w:end w:w="110" w:type="dxa"/>
            </w:tcMar>
          </w:tcPr>
          <w:p>
            <w:pPr>
              <w:jc w:val="left"/>
            </w:pPr>
            <w:r/>
            <w:r>
              <w:rPr>
                <w:b w:val="0"/>
                <w:sz w:val="17"/>
              </w:rPr>
              <w:t>Long-distance linkage</w:t>
            </w:r>
          </w:p>
        </w:tc>
        <w:tc>
          <w:tcPr>
            <w:tcW w:type="dxa" w:w="3456"/>
            <w:vAlign w:val="center"/>
            <w:tcMar>
              <w:top w:w="100" w:type="dxa"/>
              <w:start w:w="110" w:type="dxa"/>
              <w:bottom w:w="100" w:type="dxa"/>
              <w:end w:w="110" w:type="dxa"/>
            </w:tcMar>
          </w:tcPr>
          <w:p>
            <w:pPr>
              <w:jc w:val="left"/>
            </w:pPr>
            <w:r/>
            <w:r>
              <w:rPr>
                <w:b w:val="0"/>
                <w:sz w:val="17"/>
              </w:rPr>
              <w:t>Offline autonomy</w:t>
            </w:r>
          </w:p>
        </w:tc>
      </w:tr>
      <w:tr>
        <w:trPr>
          <w:trHeight w:hRule="atLeast"/>
        </w:trPr>
        <w:tc>
          <w:tcPr>
            <w:tcW w:type="dxa" w:w="3456"/>
            <w:vAlign w:val="center"/>
            <w:tcMar>
              <w:top w:w="100" w:type="dxa"/>
              <w:start w:w="110" w:type="dxa"/>
              <w:bottom w:w="100" w:type="dxa"/>
              <w:end w:w="110" w:type="dxa"/>
            </w:tcMar>
            <w:shd w:fill="F3F6F8"/>
          </w:tcPr>
          <w:p>
            <w:pPr>
              <w:jc w:val="center"/>
            </w:pPr>
            <w:r/>
            <w:r>
              <w:rPr>
                <w:b w:val="0"/>
                <w:sz w:val="17"/>
              </w:rPr>
              <w:t>Regeneration</w:t>
            </w:r>
          </w:p>
        </w:tc>
        <w:tc>
          <w:tcPr>
            <w:tcW w:type="dxa" w:w="3456"/>
            <w:vAlign w:val="center"/>
            <w:tcMar>
              <w:top w:w="100" w:type="dxa"/>
              <w:start w:w="110" w:type="dxa"/>
              <w:bottom w:w="100" w:type="dxa"/>
              <w:end w:w="110" w:type="dxa"/>
            </w:tcMar>
            <w:shd w:fill="F3F6F8"/>
          </w:tcPr>
          <w:p>
            <w:pPr>
              <w:jc w:val="left"/>
            </w:pPr>
            <w:r/>
            <w:r>
              <w:rPr>
                <w:b w:val="0"/>
                <w:sz w:val="17"/>
              </w:rPr>
              <w:t>Resource efficiency</w:t>
            </w:r>
          </w:p>
        </w:tc>
        <w:tc>
          <w:tcPr>
            <w:tcW w:type="dxa" w:w="3456"/>
            <w:vAlign w:val="center"/>
            <w:tcMar>
              <w:top w:w="100" w:type="dxa"/>
              <w:start w:w="110" w:type="dxa"/>
              <w:bottom w:w="100" w:type="dxa"/>
              <w:end w:w="110" w:type="dxa"/>
            </w:tcMar>
            <w:shd w:fill="F3F6F8"/>
          </w:tcPr>
          <w:p>
            <w:pPr>
              <w:jc w:val="left"/>
            </w:pPr>
            <w:r/>
            <w:r>
              <w:rPr>
                <w:b w:val="0"/>
                <w:sz w:val="17"/>
              </w:rPr>
              <w:t>Scientific plausibility</w:t>
            </w:r>
          </w:p>
        </w:tc>
      </w:tr>
      <w:tr>
        <w:trPr>
          <w:trHeight w:hRule="atLeast"/>
        </w:trPr>
        <w:tc>
          <w:tcPr>
            <w:tcW w:type="dxa" w:w="3456"/>
            <w:vAlign w:val="center"/>
            <w:tcMar>
              <w:top w:w="100" w:type="dxa"/>
              <w:start w:w="110" w:type="dxa"/>
              <w:bottom w:w="100" w:type="dxa"/>
              <w:end w:w="110" w:type="dxa"/>
            </w:tcMar>
          </w:tcPr>
          <w:p>
            <w:pPr>
              <w:jc w:val="center"/>
            </w:pPr>
            <w:r/>
            <w:r>
              <w:rPr>
                <w:b w:val="0"/>
                <w:sz w:val="17"/>
              </w:rPr>
              <w:t>Canon compatibility</w:t>
            </w:r>
          </w:p>
        </w:tc>
        <w:tc>
          <w:tcPr>
            <w:tcW w:type="dxa" w:w="3456"/>
            <w:vAlign w:val="center"/>
            <w:tcMar>
              <w:top w:w="100" w:type="dxa"/>
              <w:start w:w="110" w:type="dxa"/>
              <w:bottom w:w="100" w:type="dxa"/>
              <w:end w:w="110" w:type="dxa"/>
            </w:tcMar>
          </w:tcPr>
          <w:p>
            <w:pPr>
              <w:jc w:val="left"/>
            </w:pPr>
            <w:r/>
            <w:r>
              <w:rPr>
                <w:b w:val="0"/>
                <w:sz w:val="17"/>
              </w:rPr>
              <w:t>Failure severity</w:t>
            </w:r>
          </w:p>
        </w:tc>
        <w:tc>
          <w:tcPr>
            <w:tcW w:type="dxa" w:w="3456"/>
            <w:vAlign w:val="center"/>
            <w:tcMar>
              <w:top w:w="100" w:type="dxa"/>
              <w:start w:w="110" w:type="dxa"/>
              <w:bottom w:w="100" w:type="dxa"/>
              <w:end w:w="110" w:type="dxa"/>
            </w:tcMar>
          </w:tcPr>
          <w:p>
            <w:pPr>
              <w:jc w:val="left"/>
            </w:pPr>
            <w:r/>
            <w:r>
              <w:rPr>
                <w:b w:val="0"/>
                <w:sz w:val="17"/>
              </w:rPr>
              <w:t>Validation readiness</w:t>
            </w:r>
          </w:p>
        </w:tc>
      </w:tr>
    </w:tbl>
    <w:p>
      <w:pPr>
        <w:spacing w:after="0"/>
      </w:pPr>
    </w:p>
    <w:p>
      <w:r>
        <w:br w:type="page"/>
      </w:r>
    </w:p>
    <w:p>
      <w:pPr>
        <w:pStyle w:val="Heading1"/>
        <w:keepNext/>
      </w:pPr>
      <w:r>
        <w:t>Reference Materials Reviewed</w:t>
      </w:r>
    </w:p>
    <w:p>
      <w:pPr>
        <w:pStyle w:val="ListBullet"/>
        <w:spacing w:after="40"/>
      </w:pPr>
      <w:r>
        <w:t>OMNICELLULAR PHYSIOLOGY INDEPENDENT RESEARCH PROMPTS.pdf</w:t>
      </w:r>
    </w:p>
    <w:p>
      <w:pPr>
        <w:pStyle w:val="ListBullet"/>
        <w:spacing w:after="40"/>
      </w:pPr>
      <w:r>
        <w:t>OMNICELLULAR PHYSIOLOGY INDEPENDENT RESEARCH PROMPTS.docx</w:t>
      </w:r>
    </w:p>
    <w:p>
      <w:pPr>
        <w:pStyle w:val="ListBullet"/>
        <w:spacing w:after="40"/>
      </w:pPr>
      <w:r>
        <w:t>The_Omnicellular_Vision_Wattpad.md</w:t>
      </w:r>
    </w:p>
    <w:p>
      <w:pPr>
        <w:pStyle w:val="ListBullet"/>
        <w:spacing w:after="40"/>
      </w:pPr>
      <w:r>
        <w:t>Omnicellular_Architecture_15_Year_Roadmap.md</w:t>
      </w:r>
    </w:p>
    <w:p>
      <w:pPr>
        <w:pStyle w:val="ListBullet"/>
        <w:spacing w:after="40"/>
      </w:pPr>
      <w:r>
        <w:t>Omnicellular_Architecture_Notes.md</w:t>
      </w:r>
    </w:p>
    <w:p>
      <w:pPr>
        <w:pStyle w:val="ListBullet"/>
        <w:spacing w:after="40"/>
      </w:pPr>
      <w:r>
        <w:t>Omnicellular Physiology - 4,712 Extinction Attempt Classification Framework.docx</w:t>
      </w:r>
    </w:p>
    <w:p>
      <w:pPr>
        <w:pStyle w:val="ListBullet"/>
        <w:spacing w:after="40"/>
      </w:pPr>
      <w:r>
        <w:t>Cross-AI feedback supplied in the October 28, 2026 collaboration message from ChatGPT, Claude AI, Microsoft Copilot, Google Gemini, Grok AI, and Perplexity AI.</w:t>
      </w:r>
    </w:p>
    <w:p>
      <w:pPr>
        <w:pStyle w:val="Heading1"/>
        <w:keepNext/>
      </w:pPr>
      <w:r>
        <w:t>Version Control</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1152"/>
            <w:vAlign w:val="center"/>
            <w:tcMar>
              <w:top w:w="100" w:type="dxa"/>
              <w:start w:w="110" w:type="dxa"/>
              <w:bottom w:w="100" w:type="dxa"/>
              <w:end w:w="110" w:type="dxa"/>
            </w:tcMar>
            <w:shd w:fill="1F4E79"/>
          </w:tcPr>
          <w:p>
            <w:pPr>
              <w:jc w:val="center"/>
            </w:pPr>
            <w:r/>
            <w:r>
              <w:rPr>
                <w:b/>
                <w:color w:val="FFFFFF"/>
                <w:sz w:val="18"/>
              </w:rPr>
              <w:t>Version</w:t>
            </w:r>
          </w:p>
        </w:tc>
        <w:tc>
          <w:tcPr>
            <w:tcW w:type="dxa" w:w="2016"/>
            <w:vAlign w:val="center"/>
            <w:tcMar>
              <w:top w:w="100" w:type="dxa"/>
              <w:start w:w="110" w:type="dxa"/>
              <w:bottom w:w="100" w:type="dxa"/>
              <w:end w:w="110" w:type="dxa"/>
            </w:tcMar>
            <w:shd w:fill="1F4E79"/>
          </w:tcPr>
          <w:p>
            <w:pPr>
              <w:jc w:val="center"/>
            </w:pPr>
            <w:r/>
            <w:r>
              <w:rPr>
                <w:b/>
                <w:color w:val="FFFFFF"/>
                <w:sz w:val="18"/>
              </w:rPr>
              <w:t>Date</w:t>
            </w:r>
          </w:p>
        </w:tc>
        <w:tc>
          <w:tcPr>
            <w:tcW w:type="dxa" w:w="2592"/>
            <w:vAlign w:val="center"/>
            <w:tcMar>
              <w:top w:w="100" w:type="dxa"/>
              <w:start w:w="110" w:type="dxa"/>
              <w:bottom w:w="100" w:type="dxa"/>
              <w:end w:w="110" w:type="dxa"/>
            </w:tcMar>
            <w:shd w:fill="1F4E79"/>
          </w:tcPr>
          <w:p>
            <w:pPr>
              <w:jc w:val="center"/>
            </w:pPr>
            <w:r/>
            <w:r>
              <w:rPr>
                <w:b/>
                <w:color w:val="FFFFFF"/>
                <w:sz w:val="18"/>
              </w:rPr>
              <w:t>Prepared by</w:t>
            </w:r>
          </w:p>
        </w:tc>
        <w:tc>
          <w:tcPr>
            <w:tcW w:type="dxa" w:w="4896"/>
            <w:vAlign w:val="center"/>
            <w:tcMar>
              <w:top w:w="100" w:type="dxa"/>
              <w:start w:w="110" w:type="dxa"/>
              <w:bottom w:w="100" w:type="dxa"/>
              <w:end w:w="110" w:type="dxa"/>
            </w:tcMar>
            <w:shd w:fill="1F4E79"/>
          </w:tcPr>
          <w:p>
            <w:pPr>
              <w:jc w:val="center"/>
            </w:pPr>
            <w:r/>
            <w:r>
              <w:rPr>
                <w:b/>
                <w:color w:val="FFFFFF"/>
                <w:sz w:val="18"/>
              </w:rPr>
              <w:t>Change summary</w:t>
            </w:r>
          </w:p>
        </w:tc>
      </w:tr>
      <w:tr>
        <w:trPr>
          <w:trHeight w:hRule="atLeast"/>
        </w:trPr>
        <w:tc>
          <w:tcPr>
            <w:tcW w:type="dxa" w:w="1152"/>
            <w:vAlign w:val="center"/>
            <w:tcMar>
              <w:top w:w="100" w:type="dxa"/>
              <w:start w:w="110" w:type="dxa"/>
              <w:bottom w:w="100" w:type="dxa"/>
              <w:end w:w="110" w:type="dxa"/>
            </w:tcMar>
          </w:tcPr>
          <w:p>
            <w:pPr>
              <w:jc w:val="center"/>
            </w:pPr>
            <w:r/>
            <w:r>
              <w:rPr>
                <w:b w:val="0"/>
                <w:sz w:val="16"/>
              </w:rPr>
              <w:t>1.0</w:t>
            </w:r>
          </w:p>
        </w:tc>
        <w:tc>
          <w:tcPr>
            <w:tcW w:type="dxa" w:w="2016"/>
            <w:vAlign w:val="center"/>
            <w:tcMar>
              <w:top w:w="100" w:type="dxa"/>
              <w:start w:w="110" w:type="dxa"/>
              <w:bottom w:w="100" w:type="dxa"/>
              <w:end w:w="110" w:type="dxa"/>
            </w:tcMar>
          </w:tcPr>
          <w:p>
            <w:pPr>
              <w:jc w:val="left"/>
            </w:pPr>
            <w:r/>
            <w:r>
              <w:rPr>
                <w:b w:val="0"/>
                <w:sz w:val="16"/>
              </w:rPr>
              <w:t>October 28, 2026</w:t>
            </w:r>
          </w:p>
        </w:tc>
        <w:tc>
          <w:tcPr>
            <w:tcW w:type="dxa" w:w="2592"/>
            <w:vAlign w:val="center"/>
            <w:tcMar>
              <w:top w:w="100" w:type="dxa"/>
              <w:start w:w="110" w:type="dxa"/>
              <w:bottom w:w="100" w:type="dxa"/>
              <w:end w:w="110" w:type="dxa"/>
            </w:tcMar>
          </w:tcPr>
          <w:p>
            <w:pPr>
              <w:jc w:val="left"/>
            </w:pPr>
            <w:r/>
            <w:r>
              <w:rPr>
                <w:b w:val="0"/>
                <w:sz w:val="16"/>
              </w:rPr>
              <w:t>Microsoft 365 Copilot</w:t>
            </w:r>
          </w:p>
        </w:tc>
        <w:tc>
          <w:tcPr>
            <w:tcW w:type="dxa" w:w="4896"/>
            <w:vAlign w:val="center"/>
            <w:tcMar>
              <w:top w:w="100" w:type="dxa"/>
              <w:start w:w="110" w:type="dxa"/>
              <w:bottom w:w="100" w:type="dxa"/>
              <w:end w:w="110" w:type="dxa"/>
            </w:tcMar>
          </w:tcPr>
          <w:p>
            <w:pPr>
              <w:jc w:val="left"/>
            </w:pPr>
            <w:r/>
            <w:r>
              <w:rPr>
                <w:b w:val="0"/>
                <w:sz w:val="16"/>
              </w:rPr>
              <w:t>Initial independent re-engineered prompt</w:t>
            </w:r>
          </w:p>
        </w:tc>
      </w:tr>
      <w:tr>
        <w:trPr>
          <w:trHeight w:hRule="atLeast"/>
        </w:trPr>
        <w:tc>
          <w:tcPr>
            <w:tcW w:type="dxa" w:w="1152"/>
            <w:vAlign w:val="center"/>
            <w:tcMar>
              <w:top w:w="100" w:type="dxa"/>
              <w:start w:w="110" w:type="dxa"/>
              <w:bottom w:w="100" w:type="dxa"/>
              <w:end w:w="110" w:type="dxa"/>
            </w:tcMar>
            <w:shd w:fill="F3F6F8"/>
          </w:tcPr>
          <w:p>
            <w:pPr>
              <w:jc w:val="center"/>
            </w:pPr>
            <w:r/>
            <w:r>
              <w:rPr>
                <w:b w:val="0"/>
                <w:sz w:val="16"/>
              </w:rPr>
              <w:t>2.0</w:t>
            </w:r>
          </w:p>
        </w:tc>
        <w:tc>
          <w:tcPr>
            <w:tcW w:type="dxa" w:w="2016"/>
            <w:vAlign w:val="center"/>
            <w:tcMar>
              <w:top w:w="100" w:type="dxa"/>
              <w:start w:w="110" w:type="dxa"/>
              <w:bottom w:w="100" w:type="dxa"/>
              <w:end w:w="110" w:type="dxa"/>
            </w:tcMar>
            <w:shd w:fill="F3F6F8"/>
          </w:tcPr>
          <w:p>
            <w:pPr>
              <w:jc w:val="left"/>
            </w:pPr>
            <w:r/>
            <w:r>
              <w:rPr>
                <w:b w:val="0"/>
                <w:sz w:val="16"/>
              </w:rPr>
              <w:t>October 28, 2026</w:t>
            </w:r>
          </w:p>
        </w:tc>
        <w:tc>
          <w:tcPr>
            <w:tcW w:type="dxa" w:w="2592"/>
            <w:vAlign w:val="center"/>
            <w:tcMar>
              <w:top w:w="100" w:type="dxa"/>
              <w:start w:w="110" w:type="dxa"/>
              <w:bottom w:w="100" w:type="dxa"/>
              <w:end w:w="110" w:type="dxa"/>
            </w:tcMar>
            <w:shd w:fill="F3F6F8"/>
          </w:tcPr>
          <w:p>
            <w:pPr>
              <w:jc w:val="left"/>
            </w:pPr>
            <w:r/>
            <w:r>
              <w:rPr>
                <w:b w:val="0"/>
                <w:sz w:val="16"/>
              </w:rPr>
              <w:t>Microsoft 365 Copilot</w:t>
            </w:r>
          </w:p>
        </w:tc>
        <w:tc>
          <w:tcPr>
            <w:tcW w:type="dxa" w:w="4896"/>
            <w:vAlign w:val="center"/>
            <w:tcMar>
              <w:top w:w="100" w:type="dxa"/>
              <w:start w:w="110" w:type="dxa"/>
              <w:bottom w:w="100" w:type="dxa"/>
              <w:end w:w="110" w:type="dxa"/>
            </w:tcMar>
            <w:shd w:fill="F3F6F8"/>
          </w:tcPr>
          <w:p>
            <w:pPr>
              <w:jc w:val="left"/>
            </w:pPr>
            <w:r/>
            <w:r>
              <w:rPr>
                <w:b w:val="0"/>
                <w:sz w:val="16"/>
              </w:rPr>
              <w:t>Incorporates cross-AI feedback; locks peer Gen-1 model; adds evidence tracks, core wagers, orthogonality, successful self-attacks, assumption-collapse and common-mode tests, dedicated visual appendix, and PDF/DOCX delivery requirements.</w:t>
            </w:r>
          </w:p>
        </w:tc>
      </w:tr>
    </w:tbl>
    <w:p>
      <w:pPr>
        <w:spacing w:after="0"/>
      </w:pP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Prepared for Nathan Lewis | October 28,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OMNICELLULAR PHYSIOLOGY | RESEARCH DIRECTIVE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472C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OMNICELLULAR Physiology Independent Research Directive v2.0</dc:title>
  <dc:subject>Updated cross-AI research prompt</dc:subject>
  <dc:creator>M365 Copilot</dc:creator>
  <keywords>Omnicellular Physiology, research directive, multi-AI, architecture, adversarial review</keywords>
  <dc:description>generated by python-docx</dc:description>
  <lastModifiedBy>M365 Copilot</lastModifiedBy>
  <revision>1</revision>
  <dcterms:created xsi:type="dcterms:W3CDTF">2026-10-29T00:46:09.1679876Z</dcterms:created>
  <dcterms:modified xsi:type="dcterms:W3CDTF">2026-10-29T00:46:09.1679876Z</dcterms:modified>
  <category/>
</coreProperties>
</file>