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4F6FA" w:color="auto" w:val="clear"/>
            <w:tcMar>
              <w:top w:type="dxa" w:w="360"/>
              <w:left w:type="dxa" w:w="400"/>
              <w:bottom w:type="dxa" w:w="360"/>
              <w:right w:type="dxa" w:w="400"/>
            </w:tcMar>
          </w:tcPr>
          <w:p>
            <w:pPr>
              <w:spacing w:after="120" w:line="384" w:lineRule="auto"/>
            </w:pPr>
            <w:r>
              <w:rPr>
                <w:rFonts w:ascii="Cambria" w:cs="Cambria" w:eastAsia="Cambria" w:hAnsi="Cambria"/>
                <w:b/>
                <w:bCs/>
                <w:i w:val="false"/>
                <w:iCs w:val="false"/>
                <w:strike w:val="false"/>
                <w:color w:val="0A1628"/>
                <w:spacing w:val="20"/>
                <w:sz w:val="44"/>
                <w:szCs w:val="44"/>
              </w:rPr>
              <w:t xml:space="preserve">GOVERNANCE LABORATORY CHARTER</w:t>
            </w:r>
          </w:p>
          <w:p>
            <w:pPr>
              <w:spacing w:after="120" w:line="384" w:lineRule="auto"/>
            </w:pPr>
            <w:r>
              <w:rPr>
                <w:rFonts w:ascii="Cambria" w:cs="Cambria" w:eastAsia="Cambria" w:hAnsi="Cambria"/>
                <w:b w:val="false"/>
                <w:bCs w:val="false"/>
                <w:i/>
                <w:iCs/>
                <w:strike w:val="false"/>
                <w:color w:val="1A2E4A"/>
                <w:sz w:val="22"/>
                <w:szCs w:val="22"/>
              </w:rPr>
              <w:t xml:space="preserve">Unified Framework for AI-Integrated Governance Research, Testing, and Institutional Accountability</w:t>
            </w:r>
          </w:p>
          <w:p>
            <w:pPr>
              <w:spacing w:after="120" w:line="408" w:lineRule="auto"/>
            </w:pPr>
            <w:r>
              <w:t xml:space="preserve">Version:</w:t>
            </w:r>
          </w:p>
          <w:p>
            <w:pPr>
              <w:spacing w:after="120" w:line="408" w:lineRule="auto"/>
            </w:pPr>
            <w:r>
              <w:t xml:space="preserve">1.0 — Initial Ratification Draft</w:t>
            </w:r>
          </w:p>
          <w:p>
            <w:pPr>
              <w:spacing w:after="120" w:line="408" w:lineRule="auto"/>
            </w:pPr>
            <w:r>
              <w:t xml:space="preserve">Date of Issue:</w:t>
            </w:r>
          </w:p>
          <w:p>
            <w:pPr>
              <w:spacing w:after="120" w:line="408" w:lineRule="auto"/>
            </w:pPr>
            <w:r>
              <w:t xml:space="preserve">September 23, 2026</w:t>
            </w:r>
          </w:p>
          <w:p>
            <w:pPr>
              <w:spacing w:after="120" w:line="408" w:lineRule="auto"/>
            </w:pPr>
            <w:r>
              <w:t xml:space="preserve">Prepared By:</w:t>
            </w:r>
          </w:p>
          <w:p>
            <w:pPr>
              <w:spacing w:after="120" w:line="408" w:lineRule="auto"/>
            </w:pPr>
            <w:r>
              <w:t xml:space="preserve">Nathan (Principal Investigator) in collaboration with the AI Collaborator Panel (Copilot, ChatGPT, Claude, Perplexity, Grok)</w:t>
            </w:r>
          </w:p>
          <w:p>
            <w:pPr>
              <w:spacing w:after="120" w:line="408" w:lineRule="auto"/>
            </w:pPr>
            <w:r>
              <w:t xml:space="preserve">Classification:</w:t>
            </w:r>
          </w:p>
          <w:p>
            <w:pPr>
              <w:spacing w:after="120" w:line="408" w:lineRule="auto"/>
            </w:pPr>
            <w:r>
              <w:t xml:space="preserve">Institutional Governance Document — Unrestricted Distribution</w:t>
            </w:r>
          </w:p>
          <w:p>
            <w:pPr>
              <w:spacing w:after="120" w:line="408" w:lineRule="auto"/>
            </w:pPr>
            <w:r>
              <w:t xml:space="preserve">Analysis Status:</w:t>
            </w:r>
          </w:p>
          <w:p>
            <w:pPr>
              <w:spacing w:after="120" w:line="408" w:lineRule="auto"/>
            </w:pPr>
            <w:r>
              <w:t xml:space="preserve">Independent Multi-Source Synthesis — No Single AI Analytical Framework Privileged</w:t>
            </w:r>
          </w:p>
        </w:tc>
      </w:tr>
    </w:tbl>
    <w:p>
      <w:pPr>
        <w:spacing w:after="240" w:before="0"/>
      </w:pPr>
    </w:p>
    <w:p>
      <w:pPr>
        <w:pStyle w:val="Heading2"/>
        <w:spacing w:after="100" w:before="400" w:line="312" w:lineRule="auto"/>
      </w:pPr>
      <w:r>
        <w:rPr>
          <w:rFonts w:ascii="Cambria" w:cs="Cambria" w:eastAsia="Cambria" w:hAnsi="Cambria"/>
          <w:color w:val="0A1628"/>
          <w:sz w:val="30"/>
          <w:szCs w:val="30"/>
        </w:rPr>
        <w:t xml:space="preserve">Section 1 — Preamble and Statement of Purpose</w:t>
      </w:r>
    </w:p>
    <w:p>
      <w:pPr>
        <w:pBdr>
          <w:top w:val="single" w:color="0A1628" w:sz="6"/>
        </w:pBdr>
        <w:spacing w:after="200" w:before="0"/>
      </w:pP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Governance Laboratory (hereinafter "the Lab") is hereby established as an institutional entity dedicated to the development, testing, and iterative refinement of governance frameworks at the intersection of artificial intelligence, institutional accountability, and democratic legitimacy. The Lab occupies a domain of inquiry that is simultaneously theoretical and operational: it does not merely study governance but actively constructs, tests, and revises governance instruments in live institutional conditions.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foundational rationale for the Lab proceeds from a recognition that governance structures — whether in public administration, private enterprise, or civil society — are increasingly mediated by artificial intelligence systems whose decisional contributions are often opaque, inconsistently documented, and subject to neither formal evidentiary standards nor structured oversight. The Lab exists to correct this deficit by providing rigorous, institutionally grounded frameworks for AI-integrated governance that are transparent, accountable, and democratically legitimate.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charter synthesizes independent analyses contributed by five distinct AI collaborator systems: Microsoft Copilot, OpenAI ChatGPT, Anthropic Claude, Perplexity AI, and xAI Grok. Each analysis was solicited independently, with identical governance design questions posed to each collaborator without reference to the responses of the others. Where three or more collaborators reached convergent conclusions, those conclusions were accorded elevated doctrinal weight. Where collaborators diverged, the divergences have been preserved as open doctrinal questions and entered into the reflexive audit record for ongoing examination.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operates under a foundational principle of </w:t>
      </w:r>
      <w:r>
        <w:rPr>
          <w:rFonts w:ascii="Cambria" w:cs="Cambria" w:eastAsia="Cambria" w:hAnsi="Cambria"/>
          <w:b/>
          <w:bCs/>
          <w:i w:val="false"/>
          <w:iCs w:val="false"/>
          <w:strike w:val="false"/>
          <w:color w:val="0D0D0D"/>
          <w:sz w:val="22"/>
          <w:szCs w:val="22"/>
        </w:rPr>
        <w:t xml:space="preserve">epistemic pluralism</w:t>
      </w:r>
      <w:r>
        <w:rPr>
          <w:rFonts w:ascii="Cambria" w:cs="Cambria" w:eastAsia="Cambria" w:hAnsi="Cambria"/>
          <w:b w:val="false"/>
          <w:bCs w:val="false"/>
          <w:i w:val="false"/>
          <w:iCs w:val="false"/>
          <w:strike w:val="false"/>
          <w:color w:val="0D0D0D"/>
          <w:sz w:val="22"/>
          <w:szCs w:val="22"/>
        </w:rPr>
        <w:t xml:space="preserve">: no single analytical voice — human or artificial — is treated as authoritative without corroboration. This principle applies equally to the Principal Investigator, to each member of the UIARC, and to each AI collaborator. Authority within the Lab is procedural and earned through transparent process, not presumed from status or institutional affiliation.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hereby declares its commitment to the </w:t>
      </w:r>
      <w:r>
        <w:rPr>
          <w:rFonts w:ascii="Cambria" w:cs="Cambria" w:eastAsia="Cambria" w:hAnsi="Cambria"/>
          <w:b/>
          <w:bCs/>
          <w:i w:val="false"/>
          <w:iCs w:val="false"/>
          <w:strike w:val="false"/>
          <w:color w:val="0D0D0D"/>
          <w:sz w:val="22"/>
          <w:szCs w:val="22"/>
        </w:rPr>
        <w:t xml:space="preserve">Information Admissibility Doctrine</w:t>
      </w:r>
      <w:r>
        <w:rPr>
          <w:rFonts w:ascii="Cambria" w:cs="Cambria" w:eastAsia="Cambria" w:hAnsi="Cambria"/>
          <w:b w:val="false"/>
          <w:bCs w:val="false"/>
          <w:i w:val="false"/>
          <w:iCs w:val="false"/>
          <w:strike w:val="false"/>
          <w:color w:val="0D0D0D"/>
          <w:sz w:val="22"/>
          <w:szCs w:val="22"/>
        </w:rPr>
        <w:t xml:space="preserve"> as the governing evidentiary standard for all internal deliberations, testing protocols, and published outputs. Under this doctrine, the provenance, corroboration, recency, and conflict-of-interest status of all information — regardless of its human or artificial origin — is formally evaluated before that information may be admitted into consequential deliberation. This standard applies with equal force to the Lab's own outputs, which are themselves subject to reflexive audit.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5568" w:sz="6"/>
              <w:left w:val="single" w:color="4A5568" w:sz="6"/>
              <w:bottom w:val="single" w:color="4A5568" w:sz="6"/>
              <w:right w:val="single" w:color="4A5568" w:sz="6"/>
            </w:tcBorders>
            <w:shd w:fill="EEF1F8" w:color="auto" w:val="clear"/>
            <w:tcMar>
              <w:top w:type="dxa" w:w="150"/>
              <w:left w:type="dxa" w:w="210"/>
              <w:bottom w:type="dxa" w:w="150"/>
              <w:right w:type="dxa" w:w="210"/>
            </w:tcMar>
          </w:tcPr>
          <w:p>
            <w:pPr>
              <w:spacing w:after="60" w:line="384" w:lineRule="auto"/>
            </w:pPr>
            <w:r>
              <w:rPr>
                <w:rFonts w:ascii="Cambria" w:cs="Cambria" w:eastAsia="Cambria" w:hAnsi="Cambria"/>
                <w:b/>
                <w:bCs/>
                <w:i w:val="false"/>
                <w:iCs w:val="false"/>
                <w:strike w:val="false"/>
                <w:color w:val="0D0D0D"/>
                <w:spacing w:val="10"/>
                <w:sz w:val="19"/>
                <w:szCs w:val="19"/>
              </w:rPr>
              <w:t xml:space="preserve">Foundational Principle</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Lab is not a commentary institution. It is a governance institution. Every doctrine, framework, and protocol articulated in this charter is applied first to the Lab itself before being recommended to any external party. This internal-first commitment is non-negotiable and is operationalized in Section 9 of this charter.</w:t>
            </w:r>
          </w:p>
        </w:tc>
      </w:tr>
    </w:tbl>
    <w:p>
      <w:pPr>
        <w:spacing w:after="240" w:before="0"/>
      </w:pP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2 — Definitions and Interpretive Principles</w:t>
      </w:r>
    </w:p>
    <w:p>
      <w:pPr>
        <w:pBdr>
          <w:top w:val="single" w:color="0A1628" w:sz="6"/>
        </w:pBdr>
        <w:spacing w:after="200" w:before="0"/>
      </w:pP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following terms are defined for purposes of this charter and all instruments, protocols, and outputs issued under its authority. Defined terms appear in title case throughout this document. In the event of interpretive ambiguity, definitions shall be construed in accordance with the Lab's founding principles of epistemic pluralism, institutional accountability, and internal-first testing.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2.1</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Governance Laboratory ("the Lab")</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institutional entity established by this charter to conduct governed research, adversarial testing, and iterative framework development for AI-integrated institutional systems. The Lab possesses standing to promulgate internal doctrines, conduct reflexive audits, issue governance recommendations, and publish findings, subject to the authority gradient and admissibility standards defined herein. The Lab is not a regulatory body and holds no coercive authority over external parties.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2.2</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UIARC (Unified Intelligence Accountability and Review Committee)</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standing oversight body of the Lab, responsible for reviewing all AI-assisted governance outputs, maintaining the authority gradient, and adjudicating admissibility disputes. The UIARC is composed of a minimum of three human principals holding Class A standing, and up to two AI Collaborator liaisons holding Class B (advisory) standing. The UIARC operates by majority vote on standard resolutions and by unanimous vote on matters designated as requiring supermajority consensus. The Principal Investigator chairs the UIARC and holds a casting vote in the event of a tied standard resolution. The UIARC may not delegate its adjudicatory functions.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2.3</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Information Admissibility Doctrine</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evidentiary standard governing what information may be introduced into deliberative or decisional processes within the Lab. Admissibility is not a judgment of an information source's general credibility, but a procedural determination of whether the information meets the Lab's four required criteria: (a) source traceability, (b) corroboration threshold, (c) conflict of interest disclosure, and (d) temporal currency. Information failing one or more criteria is designated "Conditionally Admissible" or "Inadmissible" with documented rationale. The Doctrine applies equally to human-generated and AI-generated information. Full articulation appears in Section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2.4</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Standing Architecture</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structural arrangement of roles, authorities, and accountabilities within the Lab that defines who holds standing to initiate action, challenge a finding, submit evidence, or invoke the reflexive audit mechanism. Standing is organized into three classes (A, B, C) as defined in Section 5. Standing is non-transferable except by documented delegation executed by the delegating principal and entered into the institutional record. Delegation does not extinguish the delegating principal's own standing.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2.5</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Authority Gradient</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graduated spectrum of decisional authority within the Lab, ranging from AI-assisted advisory at the lowest tier to human-ratified final determination at the highest. No output may be published or acted upon at an authority level exceeding its verified gradient authorization. The four gradient levels are formally defined as follows:</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Level 1 — AI-Generated Draft:</w:t>
            </w:r>
            <w:r>
              <w:rPr>
                <w:rFonts w:ascii="Cambria" w:cs="Cambria" w:eastAsia="Cambria" w:hAnsi="Cambria"/>
                <w:b w:val="false"/>
                <w:bCs w:val="false"/>
                <w:i w:val="false"/>
                <w:iCs w:val="false"/>
                <w:strike w:val="false"/>
                <w:color w:val="0D0D0D"/>
                <w:sz w:val="22"/>
                <w:szCs w:val="22"/>
              </w:rPr>
              <w:t xml:space="preserve"> Raw AI collaborator output, unreviewed by human principals.</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Level 2 — AI-Reviewed, Human-Supervised:</w:t>
            </w:r>
            <w:r>
              <w:rPr>
                <w:rFonts w:ascii="Cambria" w:cs="Cambria" w:eastAsia="Cambria" w:hAnsi="Cambria"/>
                <w:b w:val="false"/>
                <w:bCs w:val="false"/>
                <w:i w:val="false"/>
                <w:iCs w:val="false"/>
                <w:strike w:val="false"/>
                <w:color w:val="0D0D0D"/>
                <w:sz w:val="22"/>
                <w:szCs w:val="22"/>
              </w:rPr>
              <w:t xml:space="preserve"> AI output incorporating human supervisory review at Class B minimum.</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Level 3 — Human-Reviewed, UIARC-Cleared:</w:t>
            </w:r>
            <w:r>
              <w:rPr>
                <w:rFonts w:ascii="Cambria" w:cs="Cambria" w:eastAsia="Cambria" w:hAnsi="Cambria"/>
                <w:b w:val="false"/>
                <w:bCs w:val="false"/>
                <w:i w:val="false"/>
                <w:iCs w:val="false"/>
                <w:strike w:val="false"/>
                <w:color w:val="0D0D0D"/>
                <w:sz w:val="22"/>
                <w:szCs w:val="22"/>
              </w:rPr>
              <w:t xml:space="preserve"> Output reviewed by a Class A human principal and formally cleared by the UIARC.</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Level 4 — Ratified — Full Institutional Authority:</w:t>
            </w:r>
            <w:r>
              <w:rPr>
                <w:rFonts w:ascii="Cambria" w:cs="Cambria" w:eastAsia="Cambria" w:hAnsi="Cambria"/>
                <w:b w:val="false"/>
                <w:bCs w:val="false"/>
                <w:i w:val="false"/>
                <w:iCs w:val="false"/>
                <w:strike w:val="false"/>
                <w:color w:val="0D0D0D"/>
                <w:sz w:val="22"/>
                <w:szCs w:val="22"/>
              </w:rPr>
              <w:t xml:space="preserve"> PI-ratified, UIARC-approved output that has passed reflexive audit. Eligible for external publication and institutional recommendation.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2.6</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Reflexive Audit</w:t>
            </w:r>
          </w:p>
          <w:p>
            <w:pPr>
              <w:spacing w:after="120" w:line="384" w:lineRule="auto"/>
            </w:pPr>
            <w:r>
              <w:rPr>
                <w:rFonts w:ascii="Cambria" w:cs="Cambria" w:eastAsia="Cambria" w:hAnsi="Cambria"/>
                <w:b w:val="false"/>
                <w:bCs w:val="false"/>
                <w:i w:val="false"/>
                <w:iCs w:val="false"/>
                <w:strike w:val="false"/>
                <w:color w:val="0D0D0D"/>
                <w:sz w:val="22"/>
                <w:szCs w:val="22"/>
              </w:rPr>
              <w:t xml:space="preserve">An audit mechanism triggered either automatically (by threshold logic) or manually (by any Class A principal) that examines the Lab's own processes, outputs, and AI collaborator contributions for internal consistency, doctrinal compliance, and epistemic integrity. The defining characteristic of a reflexive audit is that it applies the Lab's own governance standards to the Lab itself. All reflexive audits are documented and retained permanently in the institutional record. The audit record is itself subject to future reflexive audit.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2.7</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Threshold Logic</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rule-based system governing when automatic escalation, audit, or human review is triggered within the Lab's operational processes. Thresholds are defined along five primary dimensions: (1) confidence delta between AI collaborators on a material claim; (2) information admissibility score; (3) authority gradient mismatch between an output's authorization level and the action being taken with it; (4) output consequence magnitude (irreversibility, public exposure, financial implications); and (5) AI collaborator model version changes mid-research cycle. Initial threshold calibrations are specified in Section 8 and are subject to revision by UIARC following each scheduled reflexive audit.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2.8</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Internal-First Testing Sequence</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protocol mandating that all governance frameworks, doctrines, and procedural innovations developed by the Lab be applied to the Lab's own operations for a minimum of thirty (30) days before any external recommendation or publication. This principle prevents the Lab from occupying a position of governance authority it has not itself demonstrated. The Internal-First Testing Sequence is a non-waivable default; exemptions require unanimous UIARC vote and documented justification, and any exempted framework must be published with explicit notation of the waiver. The full sequence is operationalized in Section 9.</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2.9</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AI Collaborator Panel</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ensemble of five AI systems — Microsoft Copilot, OpenAI ChatGPT, Anthropic Claude, Perplexity AI, and xAI Grok — whose independent analyses were synthesized to produce this charter. Panel members operate in an advisory and analytical capacity only; no Panel member holds decisional authority or signatory power under this charter. Each Panel member's analyses are attributed to the specific model version queried at the time of the analysis, as recorded in the AI Collaborator Panel Engagement Log (Appendix 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A1628"/>
                <w:sz w:val="22"/>
                <w:szCs w:val="22"/>
              </w:rPr>
              <w:t xml:space="preserve">2.10</w:t>
            </w:r>
            <w:r>
              <w:rPr>
                <w:rFonts w:ascii="Cambria" w:cs="Cambria" w:eastAsia="Cambria" w:hAnsi="Cambria"/>
                <w:b w:val="false"/>
                <w:bCs w:val="false"/>
                <w:i w:val="false"/>
                <w:iCs w:val="false"/>
                <w:strike w:val="false"/>
                <w:color w:val="0D0D0D"/>
                <w:sz w:val="22"/>
                <w:szCs w:val="22"/>
              </w:rPr>
              <w:t xml:space="preserve">  </w:t>
            </w:r>
            <w:r>
              <w:rPr>
                <w:rFonts w:ascii="Cambria" w:cs="Cambria" w:eastAsia="Cambria" w:hAnsi="Cambria"/>
                <w:b/>
                <w:bCs/>
                <w:i w:val="false"/>
                <w:iCs w:val="false"/>
                <w:strike w:val="false"/>
                <w:color w:val="0A1628"/>
                <w:sz w:val="22"/>
                <w:szCs w:val="22"/>
              </w:rPr>
              <w:t xml:space="preserve">Principal Investigator (PI)</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human individual — Nathan — bearing ultimate accountability for the Lab's mission, outputs, charter compliance, and institutional standing. The PI holds Level 4 authority within the authority gradient and serves as permanent chair of the UIARC. The PI's ratification is required for all Level 4 outputs and all charter amendments. The PI may not delegate ratification authority, though they may delegate supervisory authority for bounded purposes under the standing delegation framework defined in Section 5.2. The PI's accountability is non-transferable and coextensive with the Lab's existence.</w:t>
            </w:r>
          </w:p>
        </w:tc>
      </w:tr>
    </w:tbl>
    <w:p>
      <w:pPr>
        <w:spacing w:after="240" w:before="0"/>
      </w:pP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3 — AI Collaborator Analyses: Synthesis and Convergence Findings</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3.1 Methodology of Multi-AI Synthesis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Each of the five AI collaborators comprising the AI Collaborator Panel was queried independently, in isolation, on an identical set of governance design questions developed by the Principal Investigator. No collaborator was provided with the responses of any other collaborator prior to or during the independent query process. This methodological isolation was designed to maximize the analytical independence of each collaborator's contribution and to surface genuine divergences rather than artifacts of sequential conditioning.</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Following independent query, all five analyses were reviewed by the Principal Investigator. Points of convergence — defined as positions held by three or more collaborators — were identified and recorded as candidate doctrinal positions, weighted more heavily in the final doctrinal design of this charter. Points of divergence — positions on which fewer than three collaborators agreed, or on which collaborators articulated meaningfully distinct positions — were preserved as open doctrinal questions and entered into the reflexive audit record for ongoing examination.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explicitly acknowledges the following methodological limitation: AI collaborators do not constitute fully independent analytical sources. Their training data lineages overlap substantially; their architectures, while distinct, share broad families of machine learning methodology; and their responses to governance design questions may reflect correlated rather than genuinely independent intellectual conclusions. For this reason, convergence across AI collaborators, while analytically significant, does not substitute for human review. Human review of all AI-synthesized doctrinal positions is non-optional under this charter.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5568" w:sz="6"/>
              <w:left w:val="single" w:color="4A5568" w:sz="6"/>
              <w:bottom w:val="single" w:color="4A5568" w:sz="6"/>
              <w:right w:val="single" w:color="4A5568" w:sz="6"/>
            </w:tcBorders>
            <w:shd w:fill="FFFAE8" w:color="auto" w:val="clear"/>
            <w:tcMar>
              <w:top w:type="dxa" w:w="150"/>
              <w:left w:type="dxa" w:w="210"/>
              <w:bottom w:type="dxa" w:w="150"/>
              <w:right w:type="dxa" w:w="210"/>
            </w:tcMar>
          </w:tcPr>
          <w:p>
            <w:pPr>
              <w:spacing w:after="60" w:line="384" w:lineRule="auto"/>
            </w:pPr>
            <w:r>
              <w:rPr>
                <w:rFonts w:ascii="Cambria" w:cs="Cambria" w:eastAsia="Cambria" w:hAnsi="Cambria"/>
                <w:b/>
                <w:bCs/>
                <w:i w:val="false"/>
                <w:iCs w:val="false"/>
                <w:strike w:val="false"/>
                <w:color w:val="0D0D0D"/>
                <w:spacing w:val="10"/>
                <w:sz w:val="19"/>
                <w:szCs w:val="19"/>
              </w:rPr>
              <w:t xml:space="preserve">Methodological Limitation Notice</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convergence of AI collaborator analyses on any doctrinal point does not, by itself, establish the correctness of that position. Convergence is treated as a signal warranting elevated consideration, not as proof. All doctrinal positions remain subject to human review, reflexive audit, and revision under the amendment procedures of Section 10.</w:t>
            </w:r>
          </w:p>
        </w:tc>
      </w:tr>
    </w:tbl>
    <w:p>
      <w:pPr>
        <w:spacing w:after="240" w:before="0"/>
      </w:pPr>
    </w:p>
    <w:p>
      <w:pPr>
        <w:pStyle w:val="Heading3"/>
        <w:spacing w:after="80" w:before="280" w:line="312" w:lineRule="auto"/>
      </w:pPr>
      <w:r>
        <w:rPr>
          <w:rFonts w:ascii="Cambria" w:cs="Cambria" w:eastAsia="Cambria" w:hAnsi="Cambria"/>
          <w:color w:val="0A1628"/>
          <w:sz w:val="24"/>
          <w:szCs w:val="24"/>
        </w:rPr>
        <w:t xml:space="preserve">3.2 Convergent Findings Across Collaborators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following positions were independently affirmed by all five AI collaborators (Copilot, ChatGPT, Claude, Perplexity, and Grok) and are accordingly treated as foundational doctrinal positions of this charter: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Standing Human Oversight Body:</w:t>
      </w:r>
      <w:r>
        <w:rPr>
          <w:rFonts w:ascii="Cambria" w:cs="Cambria" w:eastAsia="Cambria" w:hAnsi="Cambria"/>
          <w:b w:val="false"/>
          <w:bCs w:val="false"/>
          <w:i w:val="false"/>
          <w:iCs w:val="false"/>
          <w:strike w:val="false"/>
          <w:color w:val="0D0D0D"/>
          <w:sz w:val="22"/>
          <w:szCs w:val="22"/>
        </w:rPr>
        <w:t xml:space="preserve"> All five collaborators independently affirmed the necessity of a standing human oversight body (operationalized herein as the UIARC) for any AI-integrated governance institution. No collaborator proposed a governance model in which AI systems held final decisional authority.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Staged Authority Gradients:</w:t>
      </w:r>
      <w:r>
        <w:rPr>
          <w:rFonts w:ascii="Cambria" w:cs="Cambria" w:eastAsia="Cambria" w:hAnsi="Cambria"/>
          <w:b w:val="false"/>
          <w:bCs w:val="false"/>
          <w:i w:val="false"/>
          <w:iCs w:val="false"/>
          <w:strike w:val="false"/>
          <w:color w:val="0D0D0D"/>
          <w:sz w:val="22"/>
          <w:szCs w:val="22"/>
        </w:rPr>
        <w:t xml:space="preserve"> All five collaborators independently endorsed the concept of a graduated authority structure distinguishing AI-generated outputs from human-reviewed and institutionally ratified outputs. Variation existed only in the number of proposed gradient levels (ranging from three to five); the final four-level structure reflects the median of collaborator proposals.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Internal-First Testing:</w:t>
      </w:r>
      <w:r>
        <w:rPr>
          <w:rFonts w:ascii="Cambria" w:cs="Cambria" w:eastAsia="Cambria" w:hAnsi="Cambria"/>
          <w:b w:val="false"/>
          <w:bCs w:val="false"/>
          <w:i w:val="false"/>
          <w:iCs w:val="false"/>
          <w:strike w:val="false"/>
          <w:color w:val="0D0D0D"/>
          <w:sz w:val="22"/>
          <w:szCs w:val="22"/>
        </w:rPr>
        <w:t xml:space="preserve"> Broad agreement across all collaborators that governance institutions lose doctrinal integrity when they advocate standards they do not themselves meet. The Internal-First Testing Sequence is the direct institutional response to this unanimous recommendation.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Written, Symmetrical Admissibility Standards:</w:t>
      </w:r>
      <w:r>
        <w:rPr>
          <w:rFonts w:ascii="Cambria" w:cs="Cambria" w:eastAsia="Cambria" w:hAnsi="Cambria"/>
          <w:b w:val="false"/>
          <w:bCs w:val="false"/>
          <w:i w:val="false"/>
          <w:iCs w:val="false"/>
          <w:strike w:val="false"/>
          <w:color w:val="0D0D0D"/>
          <w:sz w:val="22"/>
          <w:szCs w:val="22"/>
        </w:rPr>
        <w:t xml:space="preserve"> All five collaborators affirmed that information admissibility standards must be: (a) explicit and written, not discretionary; (b) applied symmetrically to human-generated and AI-generated information; and (c) documented in their application so that admissibility decisions are themselves auditable.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Reflexive Audit Necessity:</w:t>
      </w:r>
      <w:r>
        <w:rPr>
          <w:rFonts w:ascii="Cambria" w:cs="Cambria" w:eastAsia="Cambria" w:hAnsi="Cambria"/>
          <w:b w:val="false"/>
          <w:bCs w:val="false"/>
          <w:i w:val="false"/>
          <w:iCs w:val="false"/>
          <w:strike w:val="false"/>
          <w:color w:val="0D0D0D"/>
          <w:sz w:val="22"/>
          <w:szCs w:val="22"/>
        </w:rPr>
        <w:t xml:space="preserve"> All five collaborators independently identified the risk of institutional drift — the gradual erosion of governance standards through accumulated informal exceptions — and recommended a formal audit mechanism directed at the institution's own processes as the primary safeguard against it.</w:t>
      </w:r>
    </w:p>
    <w:p>
      <w:pPr>
        <w:pStyle w:val="Heading3"/>
        <w:spacing w:after="80" w:before="280" w:line="312" w:lineRule="auto"/>
      </w:pPr>
      <w:r>
        <w:rPr>
          <w:rFonts w:ascii="Cambria" w:cs="Cambria" w:eastAsia="Cambria" w:hAnsi="Cambria"/>
          <w:color w:val="0A1628"/>
          <w:sz w:val="24"/>
          <w:szCs w:val="24"/>
        </w:rPr>
        <w:t xml:space="preserve">3.3 Divergent Findings and Open Doctrinal Questions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following points of divergence were recorded across AI collaborator analyses and are preserved as open doctrinal questions in the reflexive audit record: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Doctrinal Question</w:t>
            </w:r>
          </w:p>
        </w:tc>
        <w:tc>
          <w:tcPr>
            <w:tcW w:type="pct" w:w="46%"/>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Collaborator Positions</w:t>
            </w:r>
          </w:p>
        </w:tc>
        <w:tc>
          <w:tcPr>
            <w:tcW w:type="pct" w:w="3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Status</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Role of AI in admissibility adjudication</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Copilot and Claude: AI advisory only. ChatGPT: AI co-adjudication with human veto. Perplexity and Grok: Full deference to human judgment.</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Resolved (see 3.4)</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Confidence delta threshold for human escalation</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ChatGPT: 10%. Copilot and Claude: 15–20%. Perplexity: 20%. Grok: 25%.</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Resolved (see 3.4)</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model version changes mid-research cycle</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All collaborators flagged this as a risk; proposals ranged from full re-validation to selective re-validation of affected claims only.</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Open — Model Version Registry established as interim measure</w:t>
            </w:r>
          </w:p>
        </w:tc>
      </w:tr>
      <w:tr>
        <w:trPr>
          <w:tblHeader w:val="false"/>
        </w:trPr>
        <w:tc>
          <w:tcPr>
            <w:tcW w:type="pct" w:w="2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Appropriate gradient level for AI-only reviewed outputs</w:t>
            </w:r>
          </w:p>
        </w:tc>
        <w:tc>
          <w:tcPr>
            <w:tcW w:type="pct" w:w="4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ChatGPT proposed a Level 2.5 intermediate tier. All others accepted a binary Level 2 / Level 3 distinction.</w:t>
            </w:r>
          </w:p>
        </w:tc>
        <w:tc>
          <w:tcPr>
            <w:tcW w:type="pct" w:w="3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Open — Binary structure adopted; 2.5 proposal preserved for future audit review</w:t>
            </w:r>
          </w:p>
        </w:tc>
      </w:tr>
    </w:tbl>
    <w:p>
      <w:pPr>
        <w:spacing w:after="200" w:before="0"/>
      </w:pPr>
    </w:p>
    <w:p>
      <w:pPr>
        <w:pStyle w:val="Heading3"/>
        <w:spacing w:after="80" w:before="280" w:line="312" w:lineRule="auto"/>
      </w:pPr>
      <w:r>
        <w:rPr>
          <w:rFonts w:ascii="Cambria" w:cs="Cambria" w:eastAsia="Cambria" w:hAnsi="Cambria"/>
          <w:color w:val="0A1628"/>
          <w:sz w:val="24"/>
          <w:szCs w:val="24"/>
        </w:rPr>
        <w:t xml:space="preserve">3.4 Doctrinal Resolution of Divergences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has adopted the following resolutions with respect to the divergences identified in Section 3.3:</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Admissibility Adjudication Role of AI:</w:t>
      </w:r>
      <w:r>
        <w:rPr>
          <w:rFonts w:ascii="Cambria" w:cs="Cambria" w:eastAsia="Cambria" w:hAnsi="Cambria"/>
          <w:b w:val="false"/>
          <w:bCs w:val="false"/>
          <w:i w:val="false"/>
          <w:iCs w:val="false"/>
          <w:strike w:val="false"/>
          <w:color w:val="0D0D0D"/>
          <w:sz w:val="22"/>
          <w:szCs w:val="22"/>
        </w:rPr>
        <w:t xml:space="preserve"> The Lab adopts the most conservative position advanced by any collaborator. AI collaborators advise; humans decide. This position is consistent with the authority gradient framework and with the Lab's foundational commitment to human accountability for consequential institutional decisions.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Confidence Delta Threshold:</w:t>
      </w:r>
      <w:r>
        <w:rPr>
          <w:rFonts w:ascii="Cambria" w:cs="Cambria" w:eastAsia="Cambria" w:hAnsi="Cambria"/>
          <w:b w:val="false"/>
          <w:bCs w:val="false"/>
          <w:i w:val="false"/>
          <w:iCs w:val="false"/>
          <w:strike w:val="false"/>
          <w:color w:val="0D0D0D"/>
          <w:sz w:val="22"/>
          <w:szCs w:val="22"/>
        </w:rPr>
        <w:t xml:space="preserve"> The initial confidence delta trigger is set at 15% — the median of collaborator proposals — as the threshold at which divergence between AI collaborator outputs on a material claim triggers mandatory human review. This threshold is subject to revision following the first scheduled reflexive audit cycle, based on empirical performance data.</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Model Version Continuity:</w:t>
      </w:r>
      <w:r>
        <w:rPr>
          <w:rFonts w:ascii="Cambria" w:cs="Cambria" w:eastAsia="Cambria" w:hAnsi="Cambria"/>
          <w:b w:val="false"/>
          <w:bCs w:val="false"/>
          <w:i w:val="false"/>
          <w:iCs w:val="false"/>
          <w:strike w:val="false"/>
          <w:color w:val="0D0D0D"/>
          <w:sz w:val="22"/>
          <w:szCs w:val="22"/>
        </w:rPr>
        <w:t xml:space="preserve"> A Model Version Registry shall be maintained as a permanent institutional record. All analyses are attributed to the specific AI model version active at the time of query. Upon discovery of a model version change mid-research cycle, potentially affected analyses are flagged for re-validation at Class B minimum standing before continued reliance. This is operationalized in the Threshold Logic system (Section 8).</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4 — Information Admissibility Doctrine (Full Articulation)</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4.1 Purpose and Scope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Information Admissibility Doctrine governs all information entering the Lab's deliberative, decisional, and publication processes. It applies equally and without exception to information sourced from human researchers, external publications, AI collaborators, and the Lab's own prior outputs. The Doctrine is not a credibility judgment about the character or competence of information sources; it is a procedural standard designed to ensure institutional integrity by requiring that consequential decisions be based on information whose provenance, corroboration, currency, and independence have been explicitly verified and documented.</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Doctrine applies to: (a) information introduced into UIARC deliberations; (b) information used to support Level 3 or Level 4 output classifications; (c) information cited in any publication issued under the Lab's institutional authority; and (d) information used to support threshold logic decisions and reflexive audit findings. It does not apply to exploratory or background research at Level 1–2 where no formal deliberation or publication outcome is intended, though good practice encourages its application at all stages.</w:t>
      </w:r>
    </w:p>
    <w:p>
      <w:pPr>
        <w:pStyle w:val="Heading3"/>
        <w:spacing w:after="80" w:before="280" w:line="312" w:lineRule="auto"/>
      </w:pPr>
      <w:r>
        <w:rPr>
          <w:rFonts w:ascii="Cambria" w:cs="Cambria" w:eastAsia="Cambria" w:hAnsi="Cambria"/>
          <w:color w:val="0A1628"/>
          <w:sz w:val="24"/>
          <w:szCs w:val="24"/>
        </w:rPr>
        <w:t xml:space="preserve">4.2 Admissibility Criteria</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All four of the following criteria must be met for information to achieve Full Admissibility status. Each criterion is binary in its primary classification (Met / Not Met) with a Partially Met designation available where documented partial satisfaction warrants conditional use: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D0D0D"/>
                <w:sz w:val="22"/>
                <w:szCs w:val="22"/>
              </w:rPr>
              <w:t xml:space="preserve">(a) Source Traceability</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origin of the information must be identifiable and documented. For human-sourced information, this requires attribution to a named author, organization, or institution with a date of production. For AI-sourced information, this requires attribution to a specific AI system and model version with the query date recorded. Anonymous or unattributable information is not Source Traceable and may not achieve Full Admissibility.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D0D0D"/>
                <w:sz w:val="22"/>
                <w:szCs w:val="22"/>
              </w:rPr>
              <w:t xml:space="preserve">(b) Corroboration Threshold</w:t>
            </w:r>
          </w:p>
          <w:p>
            <w:pPr>
              <w:spacing w:after="120" w:line="384" w:lineRule="auto"/>
            </w:pPr>
            <w:r>
              <w:rPr>
                <w:rFonts w:ascii="Cambria" w:cs="Cambria" w:eastAsia="Cambria" w:hAnsi="Cambria"/>
                <w:b w:val="false"/>
                <w:bCs w:val="false"/>
                <w:i w:val="false"/>
                <w:iCs w:val="false"/>
                <w:strike w:val="false"/>
                <w:color w:val="0D0D0D"/>
                <w:sz w:val="22"/>
                <w:szCs w:val="22"/>
              </w:rPr>
              <w:t xml:space="preserve">Material factual claims must be supported by at least one independent source of equivalent or higher epistemic standing. "Independent" means the corroborating source did not originate from, and was not derived from, the primary source. For AI-sourced information, human-sourced corroboration is required to meet this criterion; AI-to-AI corroboration satisfies this criterion only at the Partially Met level. The corroborating source must be identified in the admissibility record.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D0D0D"/>
                <w:sz w:val="22"/>
                <w:szCs w:val="22"/>
              </w:rPr>
              <w:t xml:space="preserve">(c) Conflict of Interest Disclosure</w:t>
            </w:r>
          </w:p>
          <w:p>
            <w:pPr>
              <w:spacing w:after="120" w:line="384" w:lineRule="auto"/>
            </w:pPr>
            <w:r>
              <w:rPr>
                <w:rFonts w:ascii="Cambria" w:cs="Cambria" w:eastAsia="Cambria" w:hAnsi="Cambria"/>
                <w:b w:val="false"/>
                <w:bCs w:val="false"/>
                <w:i w:val="false"/>
                <w:iCs w:val="false"/>
                <w:strike w:val="false"/>
                <w:color w:val="0D0D0D"/>
                <w:sz w:val="22"/>
                <w:szCs w:val="22"/>
              </w:rPr>
              <w:t xml:space="preserve">Any material interest held by the information source that could affect the content, framing, or completeness of the information must be declared. For AI collaborators, this criterion requires disclosure of any known training data biases, organizational alignments, or design constraints that may be materially relevant to the information's application in the Lab's context. Undisclosed conflicts of interest render information Inadmissible upon discovery; previously cleared information is subject to automatic gradient downgrade upon such discovery.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2E4A" w:sz="24"/>
              <w:bottom w:val="nil" w:color="FFFFFF" w:sz="0"/>
              <w:right w:val="nil" w:color="FFFFFF" w:sz="0"/>
            </w:tcBorders>
            <w:shd w:fill="F9FAFC" w:color="auto" w:val="clear"/>
            <w:tcMar>
              <w:top w:type="dxa" w:w="160"/>
              <w:left w:type="dxa" w:w="240"/>
              <w:bottom w:type="dxa" w:w="160"/>
              <w:right w:type="dxa" w:w="240"/>
            </w:tcMar>
          </w:tcPr>
          <w:p>
            <w:pPr>
              <w:spacing w:after="120" w:line="384" w:lineRule="auto"/>
            </w:pPr>
            <w:r>
              <w:rPr>
                <w:rFonts w:ascii="Cambria" w:cs="Cambria" w:eastAsia="Cambria" w:hAnsi="Cambria"/>
                <w:b/>
                <w:bCs/>
                <w:i w:val="false"/>
                <w:iCs w:val="false"/>
                <w:strike w:val="false"/>
                <w:color w:val="0D0D0D"/>
                <w:sz w:val="22"/>
                <w:szCs w:val="22"/>
              </w:rPr>
              <w:t xml:space="preserve">(d) Temporal Currency</w:t>
            </w:r>
          </w:p>
          <w:p>
            <w:pPr>
              <w:spacing w:after="120" w:line="384" w:lineRule="auto"/>
            </w:pPr>
            <w:r>
              <w:rPr>
                <w:rFonts w:ascii="Cambria" w:cs="Cambria" w:eastAsia="Cambria" w:hAnsi="Cambria"/>
                <w:b w:val="false"/>
                <w:bCs w:val="false"/>
                <w:i w:val="false"/>
                <w:iCs w:val="false"/>
                <w:strike w:val="false"/>
                <w:color w:val="0D0D0D"/>
                <w:sz w:val="22"/>
                <w:szCs w:val="22"/>
              </w:rPr>
              <w:t xml:space="preserve">Information must carry a date of production or, for AI-sourced information, a query date. Information older than twenty-four (24) months from the date of its introduction into Lab deliberation is presumed temporally stale and requires explicit written justification for continued reliance, approved by a Class A principal. Foundational theoretical or legal material may be granted an extended currency period with documented rationale. Temporal currency does not affect historical analyses whose conclusions do not depend on recency.</w:t>
            </w:r>
          </w:p>
        </w:tc>
      </w:tr>
    </w:tbl>
    <w:p>
      <w:pPr>
        <w:spacing w:after="240" w:before="0"/>
      </w:pPr>
    </w:p>
    <w:p>
      <w:pPr>
        <w:pStyle w:val="Heading3"/>
        <w:spacing w:after="80" w:before="280" w:line="312" w:lineRule="auto"/>
      </w:pPr>
      <w:r>
        <w:rPr>
          <w:rFonts w:ascii="Cambria" w:cs="Cambria" w:eastAsia="Cambria" w:hAnsi="Cambria"/>
          <w:color w:val="0A1628"/>
          <w:sz w:val="24"/>
          <w:szCs w:val="24"/>
        </w:rPr>
        <w:t xml:space="preserve">4.3 Admissibility Classifications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Classification</w:t>
            </w:r>
          </w:p>
        </w:tc>
        <w:tc>
          <w:tcPr>
            <w:tcW w:type="pct" w:w="17%"/>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Criteria Met</w:t>
            </w:r>
          </w:p>
        </w:tc>
        <w:tc>
          <w:tcPr>
            <w:tcW w:type="pct" w:w="42%"/>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Permitted Use</w:t>
            </w:r>
          </w:p>
        </w:tc>
        <w:tc>
          <w:tcPr>
            <w:tcW w:type="pct" w:w="26%"/>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Documentation Required</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Fully Admissible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All four criteria met</w:t>
            </w:r>
          </w:p>
        </w:tc>
        <w:tc>
          <w:tcPr>
            <w:tcW w:type="pct" w:w="4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Unrestricted use in all deliberative, decisional, and publication contexts</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Standard admissibility record</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Conditionally Admissible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Three of four criteria met</w:t>
            </w:r>
          </w:p>
        </w:tc>
        <w:tc>
          <w:tcPr>
            <w:tcW w:type="pct" w:w="4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Permitted with documented caveat identifying the unmet criterion and its materiality to the intended use</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Caveat notation in admissibility record; Class B acknowledgment</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Inadmissible</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Fewer than three criteria met</w:t>
            </w:r>
          </w:p>
        </w:tc>
        <w:tc>
          <w:tcPr>
            <w:tcW w:type="pct" w:w="4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May not be used in formal deliberation or publication without UIARC waiver; waiver must document justification and scope</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Full inadmissibility finding; UIARC waiver resolution if applicable</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Contested</w:t>
            </w:r>
          </w:p>
        </w:tc>
        <w:tc>
          <w:tcPr>
            <w:tcW w:type="pct" w:w="1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Disputed by a standing principal</w:t>
            </w:r>
          </w:p>
        </w:tc>
        <w:tc>
          <w:tcPr>
            <w:tcW w:type="pct" w:w="4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Held in abeyance pending reflexive audit resolution; may not be used in final determinations during contest period</w:t>
            </w:r>
          </w:p>
        </w:tc>
        <w:tc>
          <w:tcPr>
            <w:tcW w:type="pct" w:w="2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Contest filing by standing principal; audit initiation record</w:t>
            </w:r>
          </w:p>
        </w:tc>
      </w:tr>
    </w:tbl>
    <w:p>
      <w:pPr>
        <w:spacing w:after="200" w:before="0"/>
      </w:pPr>
    </w:p>
    <w:p>
      <w:pPr>
        <w:pStyle w:val="Heading3"/>
        <w:spacing w:after="80" w:before="280" w:line="312" w:lineRule="auto"/>
      </w:pPr>
      <w:r>
        <w:rPr>
          <w:rFonts w:ascii="Cambria" w:cs="Cambria" w:eastAsia="Cambria" w:hAnsi="Cambria"/>
          <w:color w:val="0A1628"/>
          <w:sz w:val="24"/>
          <w:szCs w:val="24"/>
        </w:rPr>
        <w:t xml:space="preserve">4.4 AI-Generated Information: Specific Provisions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Given the distinctive characteristics of AI-generated information — including the hallucination risk, training data cutoff limitations, and the absence of first-person epistemic accountability — the following additional provisions apply to all AI-sourced information introduced into Lab processes: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Default Classification:</w:t>
      </w:r>
      <w:r>
        <w:rPr>
          <w:rFonts w:ascii="Cambria" w:cs="Cambria" w:eastAsia="Cambria" w:hAnsi="Cambria"/>
          <w:b w:val="false"/>
          <w:bCs w:val="false"/>
          <w:i w:val="false"/>
          <w:iCs w:val="false"/>
          <w:strike w:val="false"/>
          <w:color w:val="0D0D0D"/>
          <w:sz w:val="22"/>
          <w:szCs w:val="22"/>
        </w:rPr>
        <w:t xml:space="preserve"> All AI-generated information is classified as Conditionally Admissible by default. Achieving Full Admissibility requires human corroboration satisfying the Corroboration Threshold criterion at the Met (not merely Partially Met) level.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Mandatory Metadata:</w:t>
      </w:r>
      <w:r>
        <w:rPr>
          <w:rFonts w:ascii="Cambria" w:cs="Cambria" w:eastAsia="Cambria" w:hAnsi="Cambria"/>
          <w:b w:val="false"/>
          <w:bCs w:val="false"/>
          <w:i w:val="false"/>
          <w:iCs w:val="false"/>
          <w:strike w:val="false"/>
          <w:color w:val="0D0D0D"/>
          <w:sz w:val="22"/>
          <w:szCs w:val="22"/>
        </w:rPr>
        <w:t xml:space="preserve"> AI model system name, model version, and query date are mandatory metadata fields for any AI-sourced information. Information lacking this metadata is classified as Inadmissible on Source Traceability grounds.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Hallucination Risk Disclosure:</w:t>
      </w:r>
      <w:r>
        <w:rPr>
          <w:rFonts w:ascii="Cambria" w:cs="Cambria" w:eastAsia="Cambria" w:hAnsi="Cambria"/>
          <w:b w:val="false"/>
          <w:bCs w:val="false"/>
          <w:i w:val="false"/>
          <w:iCs w:val="false"/>
          <w:strike w:val="false"/>
          <w:color w:val="0D0D0D"/>
          <w:sz w:val="22"/>
          <w:szCs w:val="22"/>
        </w:rPr>
        <w:t xml:space="preserve"> When AI-sourced information is introduced into formal UIARC deliberation or cited in any Level 3 or Level 4 output, a hallucination risk disclosure statement must be included, noting that the information has not been independently verified to be free of AI-generated factual error.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No AI-to-AI Full Corroboration:</w:t>
      </w:r>
      <w:r>
        <w:rPr>
          <w:rFonts w:ascii="Cambria" w:cs="Cambria" w:eastAsia="Cambria" w:hAnsi="Cambria"/>
          <w:b w:val="false"/>
          <w:bCs w:val="false"/>
          <w:i w:val="false"/>
          <w:iCs w:val="false"/>
          <w:strike w:val="false"/>
          <w:color w:val="0D0D0D"/>
          <w:sz w:val="22"/>
          <w:szCs w:val="22"/>
        </w:rPr>
        <w:t xml:space="preserve"> For purposes of the Corroboration Threshold criterion, corroboration of AI-sourced information by a second AI system does not constitute Full corroboration. It is treated as Partial corroboration at most, leaving the information at Conditionally Admissible status.</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5 — Standing Architecture</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5.1 Standing Classes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Standing within the Lab is organized into three classes reflecting graduated levels of authority, accountability, and participatory rights. Standing is an institutional status, not a personal attribute; it attaches to a role or position and may be held only by parties formally recognized under this charter or by subsequent UIARC resolution.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Class</w:t>
            </w:r>
          </w:p>
        </w:tc>
        <w:tc>
          <w:tcPr>
            <w:tcW w:type="pct" w:w="1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Designation</w:t>
            </w:r>
          </w:p>
        </w:tc>
        <w:tc>
          <w:tcPr>
            <w:tcW w:type="pct" w:w="2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Holders</w:t>
            </w:r>
          </w:p>
        </w:tc>
        <w:tc>
          <w:tcPr>
            <w:tcW w:type="pct" w:w="34%"/>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Participatory Rights</w:t>
            </w:r>
          </w:p>
        </w:tc>
        <w:tc>
          <w:tcPr>
            <w:tcW w:type="pct" w:w="25%"/>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Limitations</w:t>
            </w:r>
          </w:p>
        </w:tc>
      </w:tr>
      <w:tr>
        <w:trPr>
          <w:tblHeader w:val="false"/>
        </w:trPr>
        <w:tc>
          <w:tcPr>
            <w:tcW w:type="pct" w:w="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Class A</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Full Standing</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Principal Investigator; UIARC members</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May initiate any action; challenge any finding; introduce information into formal deliberation; invoke reflexive audit; vote on UIARC resolutions; ratify outputs (PI only)</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PI ratification authority is non-delegable</w:t>
            </w:r>
          </w:p>
        </w:tc>
      </w:tr>
      <w:tr>
        <w:trPr>
          <w:tblHeader w:val="false"/>
        </w:trPr>
        <w:tc>
          <w:tcPr>
            <w:tcW w:type="pct" w:w="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Class B</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Advisory Standing</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Collaborator Panel liaisons; designated research fellows appointed by UIARC resolution</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May submit analysis; flag admissibility concerns; request Class A review; introduce information into deliberation subject to Class A acknowledgment</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May not unilaterally initiate formal action, invoke audit, or vote on UIARC resolutions</w:t>
            </w:r>
          </w:p>
        </w:tc>
      </w:tr>
      <w:tr>
        <w:trPr>
          <w:tblHeader w:val="false"/>
        </w:trPr>
        <w:tc>
          <w:tcPr>
            <w:tcW w:type="pct" w:w="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Class C</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Observer Standing</w:t>
            </w:r>
          </w:p>
        </w:tc>
        <w:tc>
          <w:tcPr>
            <w:tcW w:type="pct" w:w="2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External reviewers; invited guests designated by UIARC resolution</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Read access to designated Lab materials; may submit written commentary to UIARC; may flag admissibility concerns in writing</w:t>
            </w:r>
          </w:p>
        </w:tc>
        <w:tc>
          <w:tcPr>
            <w:tcW w:type="pct" w:w="2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May not introduce evidence into formal deliberation; may not initiate any action; written commentary is advisory only</w:t>
            </w:r>
          </w:p>
        </w:tc>
      </w:tr>
    </w:tbl>
    <w:p>
      <w:pPr>
        <w:spacing w:after="200" w:before="0"/>
      </w:pPr>
    </w:p>
    <w:p>
      <w:pPr>
        <w:pStyle w:val="Heading3"/>
        <w:spacing w:after="80" w:before="280" w:line="312" w:lineRule="auto"/>
      </w:pPr>
      <w:r>
        <w:rPr>
          <w:rFonts w:ascii="Cambria" w:cs="Cambria" w:eastAsia="Cambria" w:hAnsi="Cambria"/>
          <w:color w:val="0A1628"/>
          <w:sz w:val="24"/>
          <w:szCs w:val="24"/>
        </w:rPr>
        <w:t xml:space="preserve">5.2 Standing Acquisition and Delegation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Class A standing is conferred by this charter upon the Principal Investigator at ratification and upon each UIARC member upon their formal appointment to the UIARC by charter ratification or subsequent UIARC resolution. Class A standing for UIARC members is coterminous with UIARC membership.</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Class B standing is conferred upon AI Collaborator Panel liaisons by this charter and upon research fellows by formal UIARC resolution specifying the scope and duration of the fellowship. Class C standing is conferred by UIARC resolution for specified purposes and durations.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Delegation of Class A authority to a Class B or Class C holder is permissible only for bounded, specifically documented purposes, executed in writing by the delegating Class A principal and entered into the institutional record. Delegation does not transfer full standing; the delegating principal retains their own Class A standing throughout the delegation period. Delegated authority expires automatically upon completion of the specified purpose or upon written revocation.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Standing may be suspended for any holder by UIARC majority vote, pending the outcome of a reflexive audit initiated in connection with the suspension. The PI's standing may not be suspended by UIARC vote without the PI's concurrent consent; the PI's standing may be voluntarily suspended by the PI in writing.</w:t>
      </w:r>
    </w:p>
    <w:p>
      <w:pPr>
        <w:pStyle w:val="Heading3"/>
        <w:spacing w:after="80" w:before="280" w:line="312" w:lineRule="auto"/>
      </w:pPr>
      <w:r>
        <w:rPr>
          <w:rFonts w:ascii="Cambria" w:cs="Cambria" w:eastAsia="Cambria" w:hAnsi="Cambria"/>
          <w:color w:val="0A1628"/>
          <w:sz w:val="24"/>
          <w:szCs w:val="24"/>
        </w:rPr>
        <w:t xml:space="preserve">5.3 Standing and Information Admissibility</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Standing classes determine participatory rights with respect to information introduction into formal Lab deliberations. Only Class A and Class B principals may introduce information into formal deliberation. Class A principals bear primary responsibility for verifying the admissibility classification of information they introduce. Class B principals introducing information must do so with the acknowledgment of a Class A principal, who thereby assumes co-responsibility for the admissibility determination. Class C observers may flag admissibility concerns in writing directed to the UIARC; such flags are treated as advisory and do not constitute formal admissibility challenges unless adopted and filed by a Class A or Class B principal.</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6 — Authority Gradient Framework</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6.1 Gradient Levels Defined</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Authority Gradient is the Lab's primary instrument for ensuring that the weight accorded to any output — and the actions that may be taken on the basis of that output — is proportionate to the rigor of human review and institutional accountability applied to its production. Every output produced by or under the auspices of the Lab carries an assigned gradient level at all times. Gradient level assignment is a mandatory step in the production of any Lab output.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Level</w:t>
            </w:r>
          </w:p>
        </w:tc>
        <w:tc>
          <w:tcPr>
            <w:tcW w:type="pct" w:w="14%"/>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Designation</w:t>
            </w:r>
          </w:p>
        </w:tc>
        <w:tc>
          <w:tcPr>
            <w:tcW w:type="pct" w:w="45%"/>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Description</w:t>
            </w:r>
          </w:p>
        </w:tc>
        <w:tc>
          <w:tcPr>
            <w:tcW w:type="pct" w:w="19%"/>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Required Review</w:t>
            </w:r>
          </w:p>
        </w:tc>
        <w:tc>
          <w:tcPr>
            <w:tcW w:type="pct" w:w="14%"/>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Publication Eligible</w:t>
            </w:r>
          </w:p>
        </w:tc>
      </w:tr>
      <w:tr>
        <w:trPr>
          <w:tblHeader w:val="false"/>
        </w:trPr>
        <w:tc>
          <w:tcPr>
            <w:tcW w:type="pct" w:w="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1</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AI-Generated Draft</w:t>
            </w:r>
          </w:p>
        </w:tc>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Raw AI collaborator output, unreviewed by any human principal. Represents the initial analytical contribution of one or more AI collaborators.</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None required prior to assignment; human review required before elevation</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No</w:t>
            </w:r>
          </w:p>
        </w:tc>
      </w:tr>
      <w:tr>
        <w:trPr>
          <w:tblHeader w:val="false"/>
        </w:trPr>
        <w:tc>
          <w:tcPr>
            <w:tcW w:type="pct" w:w="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2</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AI-Reviewed, Human-Supervised</w:t>
            </w:r>
          </w:p>
        </w:tc>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collaborator output that has undergone human supervisory review. Human supervisor has verified the output does not contain obvious errors, hallucinations, or admissibility failures, but has not conducted full substantive review.</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Class B minimum standing</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No</w:t>
            </w:r>
          </w:p>
        </w:tc>
      </w:tr>
      <w:tr>
        <w:trPr>
          <w:tblHeader w:val="false"/>
        </w:trPr>
        <w:tc>
          <w:tcPr>
            <w:tcW w:type="pct" w:w="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3</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Human-Reviewed, UIARC-Cleared</w:t>
            </w:r>
          </w:p>
        </w:tc>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Output that has been substantively reviewed by at least one Class A human principal and formally cleared by the UIARC through a documented resolution. Information admissibility of cited sources has been verified.</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Class A minimum; UIARC resolution</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Conditional — with disclosed limitations</w:t>
            </w:r>
          </w:p>
        </w:tc>
      </w:tr>
      <w:tr>
        <w:trPr>
          <w:tblHeader w:val="false"/>
        </w:trPr>
        <w:tc>
          <w:tcPr>
            <w:tcW w:type="pct" w:w="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4</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Ratified — Full Institutional Authority</w:t>
            </w:r>
          </w:p>
        </w:tc>
        <w:tc>
          <w:tcPr>
            <w:tcW w:type="pct" w:w="45%"/>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Output that has been PI-ratified, UIARC-approved by quorum, and has passed reflexive audit review. Carries the full institutional authority of the Lab and may be published, acted upon, or recommended to external parties without qualification.</w:t>
            </w:r>
          </w:p>
        </w:tc>
        <w:tc>
          <w:tcPr>
            <w:tcW w:type="pct" w:w="1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PI ratification; UIARC quorum approval; reflexive audit pass</w:t>
            </w:r>
          </w:p>
        </w:tc>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Yes — unrestricted</w:t>
            </w:r>
          </w:p>
        </w:tc>
      </w:tr>
    </w:tbl>
    <w:p>
      <w:pPr>
        <w:spacing w:after="200" w:before="0"/>
      </w:pPr>
    </w:p>
    <w:p>
      <w:pPr>
        <w:pStyle w:val="Heading3"/>
        <w:spacing w:after="80" w:before="280" w:line="312" w:lineRule="auto"/>
      </w:pPr>
      <w:r>
        <w:rPr>
          <w:rFonts w:ascii="Cambria" w:cs="Cambria" w:eastAsia="Cambria" w:hAnsi="Cambria"/>
          <w:color w:val="0A1628"/>
          <w:sz w:val="24"/>
          <w:szCs w:val="24"/>
        </w:rPr>
        <w:t xml:space="preserve">6.2 Gradient Enforcement</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Gradient level is a formal property of an output, not of the process by which it was produced. An output's gradient level is fixed at its highest verified authorization at any given time. Elevating an output's gradient level requires full completion of all review requirements for the target level; partial completion does not confer partial elevation.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Gradient downgrades occur automatically and immediately upon discovery that: (a) the output contains information subsequently determined to be Inadmissible; (b) a mandatory review step was not completed; or (c) a threshold logic trigger was not properly adjudicated. Automatic downgrades are recorded in the institutional record and trigger a notification obligation to all parties who have taken or intend to take action based on the output.</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No output may be acted upon — internally or externally — at an authority level exceeding its verified gradient authorization. Acting on a Level 1 or Level 2 output as though it carried Level 3 or Level 4 authority constitutes a material governance failure subject to reflexive audit and potential Class A standing consequences.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5568" w:sz="6"/>
              <w:left w:val="single" w:color="4A5568" w:sz="6"/>
              <w:bottom w:val="single" w:color="4A5568" w:sz="6"/>
              <w:right w:val="single" w:color="4A5568" w:sz="6"/>
            </w:tcBorders>
            <w:shd w:fill="FDF0F0" w:color="auto" w:val="clear"/>
            <w:tcMar>
              <w:top w:type="dxa" w:w="150"/>
              <w:left w:type="dxa" w:w="210"/>
              <w:bottom w:type="dxa" w:w="150"/>
              <w:right w:type="dxa" w:w="210"/>
            </w:tcMar>
          </w:tcPr>
          <w:p>
            <w:pPr>
              <w:spacing w:after="60" w:line="384" w:lineRule="auto"/>
            </w:pPr>
            <w:r>
              <w:rPr>
                <w:rFonts w:ascii="Cambria" w:cs="Cambria" w:eastAsia="Cambria" w:hAnsi="Cambria"/>
                <w:b/>
                <w:bCs/>
                <w:i w:val="false"/>
                <w:iCs w:val="false"/>
                <w:strike w:val="false"/>
                <w:color w:val="0D0D0D"/>
                <w:spacing w:val="10"/>
                <w:sz w:val="19"/>
                <w:szCs w:val="19"/>
              </w:rPr>
              <w:t xml:space="preserve">Enforcement Notice</w:t>
            </w:r>
          </w:p>
          <w:p>
            <w:pPr>
              <w:spacing w:after="120" w:line="384" w:lineRule="auto"/>
            </w:pPr>
            <w:r>
              <w:rPr>
                <w:rFonts w:ascii="Cambria" w:cs="Cambria" w:eastAsia="Cambria" w:hAnsi="Cambria"/>
                <w:b w:val="false"/>
                <w:bCs w:val="false"/>
                <w:i w:val="false"/>
                <w:iCs w:val="false"/>
                <w:strike w:val="false"/>
                <w:color w:val="0D0D0D"/>
                <w:sz w:val="22"/>
                <w:szCs w:val="22"/>
              </w:rPr>
              <w:t xml:space="preserve">Gradient authorization is self-enforcing. Any Lab participant who acts on an output at a gradient level exceeding its authorization — even in good faith — bears responsibility for that action. Ignorance of the output's gradient level is not a defense; gradient level must be verified before any consequential action is taken.</w:t>
            </w:r>
          </w:p>
        </w:tc>
      </w:tr>
    </w:tbl>
    <w:p>
      <w:pPr>
        <w:spacing w:after="240" w:before="0"/>
      </w:pP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7 — Reflexive Audit Mechanism</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7.1 Audit Types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recognizes three categories of reflexive audit, each serving a distinct institutional purpose and governed by distinct initiation criteria:</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Scheduled Audit:</w:t>
      </w:r>
      <w:r>
        <w:rPr>
          <w:rFonts w:ascii="Cambria" w:cs="Cambria" w:eastAsia="Cambria" w:hAnsi="Cambria"/>
          <w:b w:val="false"/>
          <w:bCs w:val="false"/>
          <w:i w:val="false"/>
          <w:iCs w:val="false"/>
          <w:strike w:val="false"/>
          <w:color w:val="0D0D0D"/>
          <w:sz w:val="22"/>
          <w:szCs w:val="22"/>
        </w:rPr>
        <w:t xml:space="preserve"> Conducted on a quarterly basis. Reviews all Level 3 and Level 4 outputs issued during the preceding quarter for continued compliance with the Information Admissibility Doctrine, accuracy of authority gradient assignments, and threshold logic consistency. The scheduled audit agenda is published to all Class A and B principals at least fourteen (14) days before the audit commences.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Triggered Audit:</w:t>
      </w:r>
      <w:r>
        <w:rPr>
          <w:rFonts w:ascii="Cambria" w:cs="Cambria" w:eastAsia="Cambria" w:hAnsi="Cambria"/>
          <w:b w:val="false"/>
          <w:bCs w:val="false"/>
          <w:i w:val="false"/>
          <w:iCs w:val="false"/>
          <w:strike w:val="false"/>
          <w:color w:val="0D0D0D"/>
          <w:sz w:val="22"/>
          <w:szCs w:val="22"/>
        </w:rPr>
        <w:t xml:space="preserve"> Initiated automatically upon activation of a threshold logic trigger (per Section 8), or manually upon written request by any Class A principal. A triggered audit is focused in scope, directed at the specific process, output, or AI collaborator contribution identified by the trigger or the requesting principal. Triggered audits may be conducted at any time and are not subject to the scheduled audit calendar.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External Audit:</w:t>
      </w:r>
      <w:r>
        <w:rPr>
          <w:rFonts w:ascii="Cambria" w:cs="Cambria" w:eastAsia="Cambria" w:hAnsi="Cambria"/>
          <w:b w:val="false"/>
          <w:bCs w:val="false"/>
          <w:i w:val="false"/>
          <w:iCs w:val="false"/>
          <w:strike w:val="false"/>
          <w:color w:val="0D0D0D"/>
          <w:sz w:val="22"/>
          <w:szCs w:val="22"/>
        </w:rPr>
        <w:t xml:space="preserve"> Conducted by an invited external reviewer holding Class C standing, upon formal UIARC resolution specifying the audit scope, the reviewer's qualifications, and any access limitations. External audits are supplementary to, not substitutes for, internal reflexive audits. External audit findings are advisory unless formally adopted by UIARC resolution.</w:t>
      </w:r>
    </w:p>
    <w:p>
      <w:pPr>
        <w:pStyle w:val="Heading3"/>
        <w:spacing w:after="80" w:before="280" w:line="312" w:lineRule="auto"/>
      </w:pPr>
      <w:r>
        <w:rPr>
          <w:rFonts w:ascii="Cambria" w:cs="Cambria" w:eastAsia="Cambria" w:hAnsi="Cambria"/>
          <w:color w:val="0A1628"/>
          <w:sz w:val="24"/>
          <w:szCs w:val="24"/>
        </w:rPr>
        <w:t xml:space="preserve">7.2 Audit Scope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Each reflexive audit — regardless of type — shall examine, to the extent relevant to its specific scope, the following dimensions of Lab operations: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Compliance with the Information Admissibility Doctrine, including the accuracy of admissibility classifications assigned to information relied upon in reviewed outputs.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Accuracy and procedural integrity of authority gradient assignments for all outputs within scope.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Consistency of threshold logic application, including whether threshold triggers were activated when required and whether responses to triggers were appropriate.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Integrity of AI collaborator attribution, including verification that analyses are attributed to the correct model version and that the Model Version Registry is current.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Fidelity to the Internal-First Testing Sequence for any governance frameworks or doctrines published or recommended during the audit period.</w:t>
      </w:r>
    </w:p>
    <w:p>
      <w:pPr>
        <w:pStyle w:val="Heading3"/>
        <w:spacing w:after="80" w:before="280" w:line="312" w:lineRule="auto"/>
      </w:pPr>
      <w:r>
        <w:rPr>
          <w:rFonts w:ascii="Cambria" w:cs="Cambria" w:eastAsia="Cambria" w:hAnsi="Cambria"/>
          <w:color w:val="0A1628"/>
          <w:sz w:val="24"/>
          <w:szCs w:val="24"/>
        </w:rPr>
        <w:t xml:space="preserve">7.3 Audit Outcomes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Outcome</w:t>
            </w:r>
          </w:p>
        </w:tc>
        <w:tc>
          <w:tcPr>
            <w:tcW w:type="pct" w:w="40%"/>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Finding Description</w:t>
            </w:r>
          </w:p>
        </w:tc>
        <w:tc>
          <w:tcPr>
            <w:tcW w:type="pct" w:w="34%"/>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Required Response</w:t>
            </w:r>
          </w:p>
        </w:tc>
        <w:tc>
          <w:tcPr>
            <w:tcW w:type="pct" w:w="1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Timeframe</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Clean</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No deficiencies identified; all reviewed outputs and processes in compliance</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Record retained; no remediation required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N/A</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Advisory Finding</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Minor procedural improvement identified; no material compliance failure</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Recommendation issued; remediation at UIARC discretion</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No mandatory deadline</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Material Finding</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Compliance failure identified with material impact on output integrity or institutional standing</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Mandatory remediation plan; gradient downgrade of affected outputs pending remediation</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30 days</w:t>
            </w:r>
          </w:p>
        </w:tc>
      </w:tr>
      <w:tr>
        <w:trPr>
          <w:tblHeader w:val="false"/>
        </w:trPr>
        <w:tc>
          <w:tcPr>
            <w:tcW w:type="pct" w:w="1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Critical Finding</w:t>
            </w:r>
          </w:p>
        </w:tc>
        <w:tc>
          <w:tcPr>
            <w:tcW w:type="pct" w:w="4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Severe compliance failure posing immediate risk to institutional integrity, public trust, or third-party reliance</w:t>
            </w:r>
          </w:p>
        </w:tc>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Immediate suspension of affected outputs; UIARC emergency session required within 72 hours</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Immediate / 72 hours</w:t>
            </w:r>
          </w:p>
        </w:tc>
      </w:tr>
    </w:tbl>
    <w:p>
      <w:pPr>
        <w:spacing w:after="200" w:before="0"/>
      </w:pPr>
    </w:p>
    <w:p>
      <w:pPr>
        <w:pStyle w:val="Heading3"/>
        <w:spacing w:after="80" w:before="280" w:line="312" w:lineRule="auto"/>
      </w:pPr>
      <w:r>
        <w:rPr>
          <w:rFonts w:ascii="Cambria" w:cs="Cambria" w:eastAsia="Cambria" w:hAnsi="Cambria"/>
          <w:color w:val="0A1628"/>
          <w:sz w:val="24"/>
          <w:szCs w:val="24"/>
        </w:rPr>
        <w:t xml:space="preserve">7.4 Audit Record</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All reflexive audits — scheduled, triggered, and external — are permanently recorded in the Lab's institutional record using the Reflexive Audit Log Template (Appendix D). The audit record is a primary institutional document; it may not be amended, redacted, or deleted once entered. Corrections to audit records are made by addendum, which is itself entered into the audit record with the date of correction and the identity of the correcting principal.</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audit record is itself subject to future reflexive audit. Upon ratification of each audit record entry by the UIARC, that entry achieves Level 4 status and becomes part of the permanent institutional record against which future compliance is measured. The aggregate audit record is a Level 4 document.</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8 — Threshold Logic System</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8.1 Purpose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Threshold Logic System operationalizes automatic governance responses within the Lab's processes, reducing reliance on discretionary human judgment for routine compliance decisions while preserving human authority for consequential ones. Threshold logic does not replace human judgment; it structures the conditions under which human judgment is invoked, ensuring that human attention is directed to the decisions where it is most needed. All threshold triggers result in documented notifications; all escalations requiring human review are resolved exclusively by principals of the specified standing class.</w:t>
      </w:r>
    </w:p>
    <w:p>
      <w:pPr>
        <w:pStyle w:val="Heading3"/>
        <w:spacing w:after="80" w:before="280" w:line="312" w:lineRule="auto"/>
      </w:pPr>
      <w:r>
        <w:rPr>
          <w:rFonts w:ascii="Cambria" w:cs="Cambria" w:eastAsia="Cambria" w:hAnsi="Cambria"/>
          <w:color w:val="0A1628"/>
          <w:sz w:val="24"/>
          <w:szCs w:val="24"/>
        </w:rPr>
        <w:t xml:space="preserve">8.2 Trigger Dimensions and Initial Thresholds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Trigger Dimension</w:t>
            </w:r>
          </w:p>
        </w:tc>
        <w:tc>
          <w:tcPr>
            <w:tcW w:type="pct" w:w="27%"/>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Initial Threshold</w:t>
            </w:r>
          </w:p>
        </w:tc>
        <w:tc>
          <w:tcPr>
            <w:tcW w:type="pct" w:w="27%"/>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Automatic Response</w:t>
            </w:r>
          </w:p>
        </w:tc>
        <w:tc>
          <w:tcPr>
            <w:tcW w:type="pct" w:w="12%"/>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Human Escalation Required</w:t>
            </w:r>
          </w:p>
        </w:tc>
        <w:tc>
          <w:tcPr>
            <w:tcW w:type="pct" w:w="20%"/>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Standing Required</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Collaborator Confidence Delta</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≥15% divergence between collaborators on a material factual or analytical claim</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Flag output for human review; apply Conditionally Admissible classification to divergent claims</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Yes</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Class A minimum</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Information Admissibility Score</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Fewer than 3 of 4 admissibility criteria met</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Automatic reclassification to Inadmissible; removal from active deliberation</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Yes — if waiver sought</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UIARC (for waiver)</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Authority Gradient Mismatch</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Action attempted on output at gradient level exceeding output's authorization</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Block action; log violation attempt; notify UIARC</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Yes — mandatory</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Class A minimum</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Output Consequence Magnitude</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High-consequence output: irreversible, publicly distributed, or involving financial commitments</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Pause output and escalate to UIARC; suspend distribution pending review</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Yes — mandatory</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UIARC quorum</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Model Version Change</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collaborator model version changes during active research cycle</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Flag all analyses from affected collaborator for re-validation; update Model Version Registry</w:t>
            </w:r>
          </w:p>
        </w:tc>
        <w:tc>
          <w:tcPr>
            <w:tcW w:type="pct" w:w="1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Yes</w:t>
            </w:r>
          </w:p>
        </w:tc>
        <w:tc>
          <w:tcPr>
            <w:tcW w:type="pct" w:w="2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Class B minimum; Class A if Level 3+ outputs affected</w:t>
            </w:r>
          </w:p>
        </w:tc>
      </w:tr>
    </w:tbl>
    <w:p>
      <w:pPr>
        <w:spacing w:after="200" w:before="0"/>
      </w:pPr>
    </w:p>
    <w:p>
      <w:pPr>
        <w:pStyle w:val="Heading3"/>
        <w:spacing w:after="80" w:before="280" w:line="312" w:lineRule="auto"/>
      </w:pPr>
      <w:r>
        <w:rPr>
          <w:rFonts w:ascii="Cambria" w:cs="Cambria" w:eastAsia="Cambria" w:hAnsi="Cambria"/>
          <w:color w:val="0A1628"/>
          <w:sz w:val="24"/>
          <w:szCs w:val="24"/>
        </w:rPr>
        <w:t xml:space="preserve">8.3 Threshold Revision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Initial thresholds specified in Section 8.2 represent the best available calibration at the time of charter ratification, informed by the median of AI collaborator proposals and the Principal Investigator's institutional judgment. They are not immutable. Threshold performance is reviewed at each scheduled quarterly reflexive audit based on empirical data from the preceding period, including rates of false positive triggers, missed trigger events, and the outcomes of threshold-initiated human reviews.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Threshold revisions require: (a) UIARC majority approval; (b) PI ratification; and (c) entry of the revised threshold — together with its rationale and the prior threshold value — into the institutional record. All threshold values are versioned; the version history of each threshold is preserved and auditable. A threshold may not be revised downward (i.e., made more permissive) by more than one standard increment in a single revision cycle without PI written justification entered into the record.</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9 — Internal-First Testing Sequence</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9.1 Principle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shall not recommend, publish, or advocate any governance framework, protocol, doctrine, or procedural innovation that it has not first applied to its own operations for a minimum period of thirty (30) days. This principle is foundational to the Lab's institutional integrity and to its standing as a governance authority. An institution that advocates governance standards it does not itself meet occupies an untenable position of epistemic inconsistency. The Internal-First Testing Sequence is the operational expression of the Lab's commitment to closing this gap.</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principle applies without exception to all substantive governance outputs — frameworks, doctrines, protocols, procedural standards, and threshold calibrations — regardless of their subject matter, the urgency of external demand, or the confidence of the Lab's principals in the output's quality. Urgency does not suspend the principle; it may only trigger the formal exemption process defined in Section 9.3.</w:t>
      </w:r>
    </w:p>
    <w:p>
      <w:pPr>
        <w:pStyle w:val="Heading3"/>
        <w:spacing w:after="80" w:before="280" w:line="312" w:lineRule="auto"/>
      </w:pPr>
      <w:r>
        <w:rPr>
          <w:rFonts w:ascii="Cambria" w:cs="Cambria" w:eastAsia="Cambria" w:hAnsi="Cambria"/>
          <w:color w:val="0A1628"/>
          <w:sz w:val="24"/>
          <w:szCs w:val="24"/>
        </w:rPr>
        <w:t xml:space="preserve">9.2 Testing Sequence Protocol</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following seven-step sequence is mandatory for all governance outputs subject to the Internal-First Testing requirement:</w:t>
      </w:r>
    </w:p>
    <w:p>
      <w:pPr>
        <w:spacing w:after="120" w:before="60" w:line="384" w:lineRule="auto"/>
      </w:pPr>
      <w:r>
        <w:rPr>
          <w:rFonts w:ascii="Cambria" w:cs="Cambria" w:eastAsia="Cambria" w:hAnsi="Cambria"/>
          <w:b/>
          <w:bCs/>
          <w:i w:val="false"/>
          <w:iCs w:val="false"/>
          <w:strike w:val="false"/>
          <w:color w:val="0A1628"/>
          <w:sz w:val="22"/>
          <w:szCs w:val="22"/>
        </w:rPr>
        <w:t xml:space="preserve">Step 1 — Internal Draft:</w:t>
      </w:r>
      <w:r>
        <w:rPr>
          <w:rFonts w:ascii="Cambria" w:cs="Cambria" w:eastAsia="Cambria" w:hAnsi="Cambria"/>
          <w:b w:val="false"/>
          <w:bCs w:val="false"/>
          <w:i w:val="false"/>
          <w:iCs w:val="false"/>
          <w:strike w:val="false"/>
          <w:color w:val="0D0D0D"/>
          <w:sz w:val="22"/>
          <w:szCs w:val="22"/>
        </w:rPr>
        <w:t xml:space="preserve"> The framework, doctrine, or protocol is drafted at Level 1 or Level 2 gradient. It is identified in the institutional record as a candidate for internal testing.</w:t>
      </w:r>
    </w:p>
    <w:p>
      <w:pPr>
        <w:spacing w:after="120" w:before="60" w:line="384" w:lineRule="auto"/>
      </w:pPr>
      <w:r>
        <w:rPr>
          <w:rFonts w:ascii="Cambria" w:cs="Cambria" w:eastAsia="Cambria" w:hAnsi="Cambria"/>
          <w:b/>
          <w:bCs/>
          <w:i w:val="false"/>
          <w:iCs w:val="false"/>
          <w:strike w:val="false"/>
          <w:color w:val="0A1628"/>
          <w:sz w:val="22"/>
          <w:szCs w:val="22"/>
        </w:rPr>
        <w:t xml:space="preserve">Step 2 — Internal Application:</w:t>
      </w:r>
      <w:r>
        <w:rPr>
          <w:rFonts w:ascii="Cambria" w:cs="Cambria" w:eastAsia="Cambria" w:hAnsi="Cambria"/>
          <w:b w:val="false"/>
          <w:bCs w:val="false"/>
          <w:i w:val="false"/>
          <w:iCs w:val="false"/>
          <w:strike w:val="false"/>
          <w:color w:val="0D0D0D"/>
          <w:sz w:val="22"/>
          <w:szCs w:val="22"/>
        </w:rPr>
        <w:t xml:space="preserve"> The framework is applied to a live Lab process or output for a minimum period of thirty (30) days. Application is documented; all instances of application, together with any difficulties, ambiguities, or failures encountered, are recorded in a testing log entered into the institutional record.</w:t>
      </w:r>
    </w:p>
    <w:p>
      <w:pPr>
        <w:spacing w:after="120" w:before="60" w:line="384" w:lineRule="auto"/>
      </w:pPr>
      <w:r>
        <w:rPr>
          <w:rFonts w:ascii="Cambria" w:cs="Cambria" w:eastAsia="Cambria" w:hAnsi="Cambria"/>
          <w:b/>
          <w:bCs/>
          <w:i w:val="false"/>
          <w:iCs w:val="false"/>
          <w:strike w:val="false"/>
          <w:color w:val="0A1628"/>
          <w:sz w:val="22"/>
          <w:szCs w:val="22"/>
        </w:rPr>
        <w:t xml:space="preserve">Step 3 — Internal Reflexive Audit:</w:t>
      </w:r>
      <w:r>
        <w:rPr>
          <w:rFonts w:ascii="Cambria" w:cs="Cambria" w:eastAsia="Cambria" w:hAnsi="Cambria"/>
          <w:b w:val="false"/>
          <w:bCs w:val="false"/>
          <w:i w:val="false"/>
          <w:iCs w:val="false"/>
          <w:strike w:val="false"/>
          <w:color w:val="0D0D0D"/>
          <w:sz w:val="22"/>
          <w:szCs w:val="22"/>
        </w:rPr>
        <w:t xml:space="preserve"> A triggered reflexive audit is conducted specifically to evaluate the framework's performance in the Lab's own operations. The audit assesses: (a) whether the framework achieved its stated purpose; (b) whether it produced unintended consequences; (c) whether its requirements are operationally feasible at institutional scale; and (d) whether it is consistent with existing Lab doctrines.</w:t>
      </w:r>
    </w:p>
    <w:p>
      <w:pPr>
        <w:spacing w:after="120" w:before="60" w:line="384" w:lineRule="auto"/>
      </w:pPr>
      <w:r>
        <w:rPr>
          <w:rFonts w:ascii="Cambria" w:cs="Cambria" w:eastAsia="Cambria" w:hAnsi="Cambria"/>
          <w:b/>
          <w:bCs/>
          <w:i w:val="false"/>
          <w:iCs w:val="false"/>
          <w:strike w:val="false"/>
          <w:color w:val="0A1628"/>
          <w:sz w:val="22"/>
          <w:szCs w:val="22"/>
        </w:rPr>
        <w:t xml:space="preserve">Step 4 — Findings Integration:</w:t>
      </w:r>
      <w:r>
        <w:rPr>
          <w:rFonts w:ascii="Cambria" w:cs="Cambria" w:eastAsia="Cambria" w:hAnsi="Cambria"/>
          <w:b w:val="false"/>
          <w:bCs w:val="false"/>
          <w:i w:val="false"/>
          <w:iCs w:val="false"/>
          <w:strike w:val="false"/>
          <w:color w:val="0D0D0D"/>
          <w:sz w:val="22"/>
          <w:szCs w:val="22"/>
        </w:rPr>
        <w:t xml:space="preserve"> Audit findings from Step 3 are integrated into the framework by the drafting principal. Material revisions reset the thirty (30) day testing clock; minor clarifications do not. The revised framework is re-documented at Level 2.</w:t>
      </w:r>
    </w:p>
    <w:p>
      <w:pPr>
        <w:spacing w:after="120" w:before="60" w:line="384" w:lineRule="auto"/>
      </w:pPr>
      <w:r>
        <w:rPr>
          <w:rFonts w:ascii="Cambria" w:cs="Cambria" w:eastAsia="Cambria" w:hAnsi="Cambria"/>
          <w:b/>
          <w:bCs/>
          <w:i w:val="false"/>
          <w:iCs w:val="false"/>
          <w:strike w:val="false"/>
          <w:color w:val="0A1628"/>
          <w:sz w:val="22"/>
          <w:szCs w:val="22"/>
        </w:rPr>
        <w:t xml:space="preserve">Step 5 — UIARC Review:</w:t>
      </w:r>
      <w:r>
        <w:rPr>
          <w:rFonts w:ascii="Cambria" w:cs="Cambria" w:eastAsia="Cambria" w:hAnsi="Cambria"/>
          <w:b w:val="false"/>
          <w:bCs w:val="false"/>
          <w:i w:val="false"/>
          <w:iCs w:val="false"/>
          <w:strike w:val="false"/>
          <w:color w:val="0D0D0D"/>
          <w:sz w:val="22"/>
          <w:szCs w:val="22"/>
        </w:rPr>
        <w:t xml:space="preserve"> The framework, together with its testing log and audit findings, is submitted for formal UIARC review. UIARC issues a clearing resolution upon finding the framework to be internally tested, doctrinally consistent, and suitable for external recommendation. Upon clearing, the framework is elevated to Level 3.</w:t>
      </w:r>
    </w:p>
    <w:p>
      <w:pPr>
        <w:spacing w:after="120" w:before="60" w:line="384" w:lineRule="auto"/>
      </w:pPr>
      <w:r>
        <w:rPr>
          <w:rFonts w:ascii="Cambria" w:cs="Cambria" w:eastAsia="Cambria" w:hAnsi="Cambria"/>
          <w:b/>
          <w:bCs/>
          <w:i w:val="false"/>
          <w:iCs w:val="false"/>
          <w:strike w:val="false"/>
          <w:color w:val="0A1628"/>
          <w:sz w:val="22"/>
          <w:szCs w:val="22"/>
        </w:rPr>
        <w:t xml:space="preserve">Step 6 — PI Ratification:</w:t>
      </w:r>
      <w:r>
        <w:rPr>
          <w:rFonts w:ascii="Cambria" w:cs="Cambria" w:eastAsia="Cambria" w:hAnsi="Cambria"/>
          <w:b w:val="false"/>
          <w:bCs w:val="false"/>
          <w:i w:val="false"/>
          <w:iCs w:val="false"/>
          <w:strike w:val="false"/>
          <w:color w:val="0D0D0D"/>
          <w:sz w:val="22"/>
          <w:szCs w:val="22"/>
        </w:rPr>
        <w:t xml:space="preserve"> The PI reviews the UIARC-cleared framework and its complete institutional record. Upon ratification, the framework is elevated to Level 4 and approved for external recommendation or publication.</w:t>
      </w:r>
    </w:p>
    <w:p>
      <w:pPr>
        <w:spacing w:after="120" w:before="60" w:line="384" w:lineRule="auto"/>
      </w:pPr>
      <w:r>
        <w:rPr>
          <w:rFonts w:ascii="Cambria" w:cs="Cambria" w:eastAsia="Cambria" w:hAnsi="Cambria"/>
          <w:b/>
          <w:bCs/>
          <w:i w:val="false"/>
          <w:iCs w:val="false"/>
          <w:strike w:val="false"/>
          <w:color w:val="0A1628"/>
          <w:sz w:val="22"/>
          <w:szCs w:val="22"/>
        </w:rPr>
        <w:t xml:space="preserve">Step 7 — External Publication:</w:t>
      </w:r>
      <w:r>
        <w:rPr>
          <w:rFonts w:ascii="Cambria" w:cs="Cambria" w:eastAsia="Cambria" w:hAnsi="Cambria"/>
          <w:b w:val="false"/>
          <w:bCs w:val="false"/>
          <w:i w:val="false"/>
          <w:iCs w:val="false"/>
          <w:strike w:val="false"/>
          <w:color w:val="0D0D0D"/>
          <w:sz w:val="22"/>
          <w:szCs w:val="22"/>
        </w:rPr>
        <w:t xml:space="preserve"> The framework is published under the Lab's institutional authority. All publications include the complete internal testing record as an attachment or appendix, making the Lab's self-testing process transparent to external audiences.</w:t>
      </w:r>
    </w:p>
    <w:p>
      <w:pPr>
        <w:pStyle w:val="Heading3"/>
        <w:spacing w:after="80" w:before="280" w:line="312" w:lineRule="auto"/>
      </w:pPr>
      <w:r>
        <w:rPr>
          <w:rFonts w:ascii="Cambria" w:cs="Cambria" w:eastAsia="Cambria" w:hAnsi="Cambria"/>
          <w:color w:val="0A1628"/>
          <w:sz w:val="24"/>
          <w:szCs w:val="24"/>
        </w:rPr>
        <w:t xml:space="preserve">9.3 Exemptions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Exemptions from the Internal-First Testing Sequence are available only in extraordinary circumstances and are subject to the following procedural requirements: (a) a written exemption request submitted by a Class A principal, stating the specific framework, the grounds for exemption, and the urgency justification; (b) unanimous UIARC vote to grant the exemption; (c) PI written consent; and (d) entry of the exemption resolution into the institutional record. Exempted frameworks must be published with a prominent notation that internal testing was waived, identifying the grounds for waiver. Exemptions do not constitute precedents; each exemption request is evaluated on its individual merits.</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10 — Charter Governance and Amendment</w:t>
      </w:r>
    </w:p>
    <w:p>
      <w:pPr>
        <w:pBdr>
          <w:top w:val="single" w:color="0A1628" w:sz="6"/>
        </w:pBdr>
        <w:spacing w:after="200" w:before="0"/>
      </w:pPr>
    </w:p>
    <w:p>
      <w:pPr>
        <w:pStyle w:val="Heading3"/>
        <w:spacing w:after="80" w:before="280" w:line="312" w:lineRule="auto"/>
      </w:pPr>
      <w:r>
        <w:rPr>
          <w:rFonts w:ascii="Cambria" w:cs="Cambria" w:eastAsia="Cambria" w:hAnsi="Cambria"/>
          <w:color w:val="0A1628"/>
          <w:sz w:val="24"/>
          <w:szCs w:val="24"/>
        </w:rPr>
        <w:t xml:space="preserve">10.1 Ratification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charter achieves legal and institutional force upon execution of the Signature and Ratification Block in Section 11 by the Principal Investigator and a quorum of UIARC members. A quorum for ratification purposes is defined as three (3) UIARC members, inclusive of or in addition to the Principal Investigator in the PI's capacity as UIARC chair. Until ratification is complete, this document carries Level 2 gradient status and may not be acted upon as a fully authoritative institutional instrument.</w:t>
      </w:r>
    </w:p>
    <w:p>
      <w:pPr>
        <w:pStyle w:val="Heading3"/>
        <w:spacing w:after="80" w:before="280" w:line="312" w:lineRule="auto"/>
      </w:pPr>
      <w:r>
        <w:rPr>
          <w:rFonts w:ascii="Cambria" w:cs="Cambria" w:eastAsia="Cambria" w:hAnsi="Cambria"/>
          <w:color w:val="0A1628"/>
          <w:sz w:val="24"/>
          <w:szCs w:val="24"/>
        </w:rPr>
        <w:t xml:space="preserve">10.2 Amendment Procedure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charter may be amended only through the following procedure, which may not be shortened or modified by informal agreement: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Written amendment proposal submitted by a Class A principal, identifying the specific provision(s) to be amended, the proposed amendment text, and the rationale for the change.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Thirty (30) day comment period during which all Class A and Class B principals may submit written commentary on the proposed amendment to the UIARC.</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UIARC majority vote to approve the amendment following the comment period, with documented consideration of commentary received.</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PI ratification of the approved amendment.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D0D0D"/>
          <w:sz w:val="22"/>
          <w:szCs w:val="22"/>
        </w:rPr>
        <w:t xml:space="preserve">Entry of the amendment, together with the complete amendment record (proposal, commentary, UIARC resolution, PI ratification), into the institutional record.</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No provision of this charter is exempt from amendment under this procedure. However, amendments to core doctrinal provisions — specifically Sections 1 (Preamble), 4 (Admissibility Doctrine), and 6 (Authority Gradient) — require unanimous UIARC vote rather than majority vote.</w:t>
      </w:r>
    </w:p>
    <w:p>
      <w:pPr>
        <w:pStyle w:val="Heading3"/>
        <w:spacing w:after="80" w:before="280" w:line="312" w:lineRule="auto"/>
      </w:pPr>
      <w:r>
        <w:rPr>
          <w:rFonts w:ascii="Cambria" w:cs="Cambria" w:eastAsia="Cambria" w:hAnsi="Cambria"/>
          <w:color w:val="0A1628"/>
          <w:sz w:val="24"/>
          <w:szCs w:val="24"/>
        </w:rPr>
        <w:t xml:space="preserve">10.3 Versioning Policy</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charter employs a two-tier versioning system reflecting the significance of changes made: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Major Versions (1.0, 2.0, 3.0):</w:t>
      </w:r>
      <w:r>
        <w:rPr>
          <w:rFonts w:ascii="Cambria" w:cs="Cambria" w:eastAsia="Cambria" w:hAnsi="Cambria"/>
          <w:b w:val="false"/>
          <w:bCs w:val="false"/>
          <w:i w:val="false"/>
          <w:iCs w:val="false"/>
          <w:strike w:val="false"/>
          <w:color w:val="0D0D0D"/>
          <w:sz w:val="22"/>
          <w:szCs w:val="22"/>
        </w:rPr>
        <w:t xml:space="preserve"> Designate substantial structural, doctrinal, or foundational changes to the charter. Major versions require the full amendment procedure of Section 10.2, including UIARC approval and PI ratification. Each major version supersedes its predecessor and is issued as a complete, standalone charter document.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D0D0D"/>
          <w:sz w:val="22"/>
          <w:szCs w:val="22"/>
        </w:rPr>
        <w:t xml:space="preserve">Minor Versions (1.1, 1.2, etc.):</w:t>
      </w:r>
      <w:r>
        <w:rPr>
          <w:rFonts w:ascii="Cambria" w:cs="Cambria" w:eastAsia="Cambria" w:hAnsi="Cambria"/>
          <w:b w:val="false"/>
          <w:bCs w:val="false"/>
          <w:i w:val="false"/>
          <w:iCs w:val="false"/>
          <w:strike w:val="false"/>
          <w:color w:val="0D0D0D"/>
          <w:sz w:val="22"/>
          <w:szCs w:val="22"/>
        </w:rPr>
        <w:t xml:space="preserve"> Designate clarifications, threshold adjustments, procedural refinements, and editorial corrections that do not alter core doctrine. Minor versions require UIARC approval only; PI ratification is encouraged but not required unless the minor version affects a core doctrinal provision. Minor versions are issued as amendments to the current major version.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All versions of this charter are archived in the institutional record and remain accessible for reference. Archival does not imply continued operative force; only the current version governs institutional operations unless a specific prior version is explicitly referenced in a dispute resolution or audit context.</w:t>
      </w:r>
    </w:p>
    <w:p>
      <w:pPr>
        <w:pStyle w:val="Heading3"/>
        <w:spacing w:after="80" w:before="280" w:line="312" w:lineRule="auto"/>
      </w:pPr>
      <w:r>
        <w:rPr>
          <w:rFonts w:ascii="Cambria" w:cs="Cambria" w:eastAsia="Cambria" w:hAnsi="Cambria"/>
          <w:color w:val="0A1628"/>
          <w:sz w:val="24"/>
          <w:szCs w:val="24"/>
        </w:rPr>
        <w:t xml:space="preserve">10.4 Dissolution</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Lab may be dissolved only upon: (a) unanimous affirmative vote of all current UIARC members; and (b) written consent of the Principal Investigator. Dissolution may not be initiated during a pending Critical Finding remediation period or during any period in which third parties are formally relying on a Level 4 Lab output in an active governance context. Upon dissolution, all institutional records — including the complete audit record, the Model Version Registry, all gradient-classified outputs, and all amendment records — are transferred to a designated institutional custodian identified by UIARC resolution at least sixty (60) days before the dissolution effective date.</w:t>
      </w:r>
    </w:p>
    <w:p>
      <w:pPr>
        <w:pBdr>
          <w:bottom w:val="single" w:color="0D0D0D" w:sz="6"/>
        </w:pBdr>
        <w:spacing w:after="240" w:before="240"/>
      </w:pPr>
    </w:p>
    <w:p>
      <w:pPr>
        <w:pStyle w:val="Heading2"/>
        <w:spacing w:after="100" w:before="400" w:line="312" w:lineRule="auto"/>
      </w:pPr>
      <w:r>
        <w:rPr>
          <w:rFonts w:ascii="Cambria" w:cs="Cambria" w:eastAsia="Cambria" w:hAnsi="Cambria"/>
          <w:color w:val="0A1628"/>
          <w:sz w:val="30"/>
          <w:szCs w:val="30"/>
        </w:rPr>
        <w:t xml:space="preserve">Section 11 — Signature and Ratification Block</w:t>
      </w:r>
    </w:p>
    <w:p>
      <w:pPr>
        <w:pBdr>
          <w:top w:val="single" w:color="0A1628" w:sz="6"/>
        </w:pBdr>
        <w:spacing w:after="200" w:before="0"/>
      </w:pP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parties below, by their signatures, attest that they have read and understood this charter in its entirety, that they agree to be bound by its terms and obligations to the extent of their respective standing classes, and that they affirm the charter's immediate operative force upon completion of quorum signatures.</w:t>
      </w:r>
    </w:p>
    <w:p>
      <w:pPr>
        <w:pBdr>
          <w:bottom w:val="single" w:color="4A5568" w:sz="6"/>
        </w:pBdr>
        <w:spacing w:after="240" w:before="240"/>
      </w:pPr>
    </w:p>
    <w:p>
      <w:pPr>
        <w:spacing w:after="120" w:before="60" w:line="384" w:lineRule="auto"/>
      </w:pPr>
      <w:r>
        <w:rPr>
          <w:rFonts w:ascii="Cambria" w:cs="Cambria" w:eastAsia="Cambria" w:hAnsi="Cambria"/>
          <w:b/>
          <w:bCs/>
          <w:i w:val="false"/>
          <w:iCs w:val="false"/>
          <w:strike w:val="false"/>
          <w:color w:val="0A1628"/>
          <w:sz w:val="21"/>
          <w:szCs w:val="21"/>
        </w:rPr>
        <w:t xml:space="preserve">Nathan</w:t>
      </w:r>
    </w:p>
    <w:p>
      <w:pPr>
        <w:spacing w:after="120" w:before="60" w:line="384" w:lineRule="auto"/>
      </w:pPr>
      <w:r>
        <w:rPr>
          <w:rFonts w:ascii="Cambria" w:cs="Cambria" w:eastAsia="Cambria" w:hAnsi="Cambria"/>
          <w:b w:val="false"/>
          <w:bCs w:val="false"/>
          <w:i w:val="false"/>
          <w:iCs w:val="false"/>
          <w:strike w:val="false"/>
          <w:color w:val="4A5568"/>
          <w:sz w:val="18"/>
          <w:szCs w:val="18"/>
        </w:rPr>
        <w:t xml:space="preserve">Principal Investigator — Class A Full Standing — UIARC Chair</w:t>
      </w:r>
    </w:p>
    <w:p>
      <w:pPr>
        <w:pBdr>
          <w:bottom w:val="single" w:color="0D0D0D" w:sz="6"/>
        </w:pBdr>
        <w:spacing w:after="240" w:before="240"/>
      </w:pPr>
    </w:p>
    <w:p>
      <w:pPr>
        <w:spacing w:after="120" w:before="60" w:line="384" w:lineRule="auto"/>
      </w:pPr>
      <w:r>
        <w:rPr>
          <w:rFonts w:ascii="Cambria" w:cs="Cambria" w:eastAsia="Cambria" w:hAnsi="Cambria"/>
          <w:b w:val="false"/>
          <w:bCs w:val="false"/>
          <w:i w:val="false"/>
          <w:iCs w:val="false"/>
          <w:strike w:val="false"/>
          <w:color w:val="1A1A1A"/>
          <w:sz w:val="19"/>
          <w:szCs w:val="19"/>
        </w:rPr>
        <w:t xml:space="preserve">Date: September 23, 2026</w:t>
      </w:r>
    </w:p>
    <w:p>
      <w:pPr>
        <w:spacing w:after="120" w:before="60" w:line="384" w:lineRule="auto"/>
      </w:pPr>
      <w:r>
        <w:rPr>
          <w:rFonts w:ascii="Cambria" w:cs="Cambria" w:eastAsia="Cambria" w:hAnsi="Cambria"/>
          <w:b/>
          <w:bCs/>
          <w:i w:val="false"/>
          <w:iCs w:val="false"/>
          <w:strike w:val="false"/>
          <w:color w:val="0A1628"/>
          <w:sz w:val="21"/>
          <w:szCs w:val="21"/>
        </w:rPr>
        <w:t xml:space="preserve">[To Be Appointed]</w:t>
      </w:r>
    </w:p>
    <w:p>
      <w:pPr>
        <w:spacing w:after="120" w:before="60" w:line="384" w:lineRule="auto"/>
      </w:pPr>
      <w:r>
        <w:rPr>
          <w:rFonts w:ascii="Cambria" w:cs="Cambria" w:eastAsia="Cambria" w:hAnsi="Cambria"/>
          <w:b w:val="false"/>
          <w:bCs w:val="false"/>
          <w:i w:val="false"/>
          <w:iCs w:val="false"/>
          <w:strike w:val="false"/>
          <w:color w:val="4A5568"/>
          <w:sz w:val="18"/>
          <w:szCs w:val="18"/>
        </w:rPr>
        <w:t xml:space="preserve">UIARC Member 1 — Class A Full Standing</w:t>
      </w:r>
    </w:p>
    <w:p>
      <w:pPr>
        <w:pBdr>
          <w:bottom w:val="single" w:color="0D0D0D" w:sz="6"/>
        </w:pBdr>
        <w:spacing w:after="240" w:before="240"/>
      </w:pPr>
    </w:p>
    <w:p>
      <w:pPr>
        <w:spacing w:after="120" w:before="60" w:line="384" w:lineRule="auto"/>
      </w:pPr>
      <w:r>
        <w:rPr>
          <w:rFonts w:ascii="Cambria" w:cs="Cambria" w:eastAsia="Cambria" w:hAnsi="Cambria"/>
          <w:b w:val="false"/>
          <w:bCs w:val="false"/>
          <w:i w:val="false"/>
          <w:iCs w:val="false"/>
          <w:strike w:val="false"/>
          <w:color w:val="1A1A1A"/>
          <w:sz w:val="19"/>
          <w:szCs w:val="19"/>
        </w:rPr>
        <w:t xml:space="preserve">Date: ___________________________</w:t>
      </w:r>
    </w:p>
    <w:p>
      <w:pPr>
        <w:spacing w:after="120" w:before="60" w:line="384" w:lineRule="auto"/>
      </w:pPr>
      <w:r>
        <w:rPr>
          <w:rFonts w:ascii="Cambria" w:cs="Cambria" w:eastAsia="Cambria" w:hAnsi="Cambria"/>
          <w:b/>
          <w:bCs/>
          <w:i w:val="false"/>
          <w:iCs w:val="false"/>
          <w:strike w:val="false"/>
          <w:color w:val="0A1628"/>
          <w:sz w:val="21"/>
          <w:szCs w:val="21"/>
        </w:rPr>
        <w:t xml:space="preserve">[To Be Appointed]</w:t>
      </w:r>
    </w:p>
    <w:p>
      <w:pPr>
        <w:spacing w:after="120" w:before="60" w:line="384" w:lineRule="auto"/>
      </w:pPr>
      <w:r>
        <w:rPr>
          <w:rFonts w:ascii="Cambria" w:cs="Cambria" w:eastAsia="Cambria" w:hAnsi="Cambria"/>
          <w:b w:val="false"/>
          <w:bCs w:val="false"/>
          <w:i w:val="false"/>
          <w:iCs w:val="false"/>
          <w:strike w:val="false"/>
          <w:color w:val="4A5568"/>
          <w:sz w:val="18"/>
          <w:szCs w:val="18"/>
        </w:rPr>
        <w:t xml:space="preserve">UIARC Member 2 — Class A Full Standing</w:t>
      </w:r>
    </w:p>
    <w:p>
      <w:pPr>
        <w:pBdr>
          <w:bottom w:val="single" w:color="0D0D0D" w:sz="6"/>
        </w:pBdr>
        <w:spacing w:after="240" w:before="240"/>
      </w:pPr>
    </w:p>
    <w:p>
      <w:pPr>
        <w:spacing w:after="120" w:before="60" w:line="384" w:lineRule="auto"/>
      </w:pPr>
      <w:r>
        <w:rPr>
          <w:rFonts w:ascii="Cambria" w:cs="Cambria" w:eastAsia="Cambria" w:hAnsi="Cambria"/>
          <w:b w:val="false"/>
          <w:bCs w:val="false"/>
          <w:i w:val="false"/>
          <w:iCs w:val="false"/>
          <w:strike w:val="false"/>
          <w:color w:val="1A1A1A"/>
          <w:sz w:val="19"/>
          <w:szCs w:val="19"/>
        </w:rPr>
        <w:t xml:space="preserve">Date: ___________________________</w:t>
      </w:r>
    </w:p>
    <w:p>
      <w:pPr>
        <w:spacing w:after="120" w:before="60" w:line="384" w:lineRule="auto"/>
      </w:pPr>
      <w:r>
        <w:rPr>
          <w:rFonts w:ascii="Cambria" w:cs="Cambria" w:eastAsia="Cambria" w:hAnsi="Cambria"/>
          <w:b/>
          <w:bCs/>
          <w:i w:val="false"/>
          <w:iCs w:val="false"/>
          <w:strike w:val="false"/>
          <w:color w:val="0A1628"/>
          <w:sz w:val="21"/>
          <w:szCs w:val="21"/>
        </w:rPr>
        <w:t xml:space="preserve">[To Be Appointed]</w:t>
      </w:r>
    </w:p>
    <w:p>
      <w:pPr>
        <w:spacing w:after="120" w:before="60" w:line="384" w:lineRule="auto"/>
      </w:pPr>
      <w:r>
        <w:rPr>
          <w:rFonts w:ascii="Cambria" w:cs="Cambria" w:eastAsia="Cambria" w:hAnsi="Cambria"/>
          <w:b w:val="false"/>
          <w:bCs w:val="false"/>
          <w:i w:val="false"/>
          <w:iCs w:val="false"/>
          <w:strike w:val="false"/>
          <w:color w:val="4A5568"/>
          <w:sz w:val="18"/>
          <w:szCs w:val="18"/>
        </w:rPr>
        <w:t xml:space="preserve">UIARC Member 3 — Class A Full Standing</w:t>
      </w:r>
    </w:p>
    <w:p>
      <w:pPr>
        <w:pBdr>
          <w:bottom w:val="single" w:color="0D0D0D" w:sz="6"/>
        </w:pBdr>
        <w:spacing w:after="240" w:before="240"/>
      </w:pPr>
    </w:p>
    <w:p>
      <w:pPr>
        <w:spacing w:after="120" w:before="60" w:line="384" w:lineRule="auto"/>
      </w:pPr>
      <w:r>
        <w:rPr>
          <w:rFonts w:ascii="Cambria" w:cs="Cambria" w:eastAsia="Cambria" w:hAnsi="Cambria"/>
          <w:b w:val="false"/>
          <w:bCs w:val="false"/>
          <w:i w:val="false"/>
          <w:iCs w:val="false"/>
          <w:strike w:val="false"/>
          <w:color w:val="1A1A1A"/>
          <w:sz w:val="19"/>
          <w:szCs w:val="19"/>
        </w:rPr>
        <w:t xml:space="preserve">Date: ___________________________</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5568" w:sz="6"/>
              <w:left w:val="single" w:color="4A5568" w:sz="6"/>
              <w:bottom w:val="single" w:color="4A5568" w:sz="6"/>
              <w:right w:val="single" w:color="4A5568" w:sz="6"/>
            </w:tcBorders>
            <w:shd w:fill="EEF1F8" w:color="auto" w:val="clear"/>
            <w:tcMar>
              <w:top w:type="dxa" w:w="150"/>
              <w:left w:type="dxa" w:w="210"/>
              <w:bottom w:type="dxa" w:w="150"/>
              <w:right w:type="dxa" w:w="210"/>
            </w:tcMar>
          </w:tcPr>
          <w:p>
            <w:pPr>
              <w:spacing w:after="60" w:line="384" w:lineRule="auto"/>
            </w:pPr>
            <w:r>
              <w:rPr>
                <w:rFonts w:ascii="Cambria" w:cs="Cambria" w:eastAsia="Cambria" w:hAnsi="Cambria"/>
                <w:b/>
                <w:bCs/>
                <w:i w:val="false"/>
                <w:iCs w:val="false"/>
                <w:strike w:val="false"/>
                <w:color w:val="0D0D0D"/>
                <w:spacing w:val="10"/>
                <w:sz w:val="19"/>
                <w:szCs w:val="19"/>
              </w:rPr>
              <w:t xml:space="preserve">AI Collaborator Panel Acknowledgment</w:t>
            </w:r>
          </w:p>
          <w:p>
            <w:pPr>
              <w:spacing w:after="120" w:line="384" w:lineRule="auto"/>
            </w:pPr>
            <w:r>
              <w:rPr>
                <w:rFonts w:ascii="Cambria" w:cs="Cambria" w:eastAsia="Cambria" w:hAnsi="Cambria"/>
                <w:b w:val="false"/>
                <w:bCs w:val="false"/>
                <w:i w:val="false"/>
                <w:iCs w:val="false"/>
                <w:strike w:val="false"/>
                <w:color w:val="0D0D0D"/>
                <w:sz w:val="22"/>
                <w:szCs w:val="22"/>
              </w:rPr>
              <w:t xml:space="preserve">The following AI systems contributed independent analyses as advisory inputs to the drafting of this charter. They are acknowledged as analytical contributors and hold no signatory authority, decisional authority, or institutional standing under this charter. Their contributions are recorded in the AI Collaborator Panel Engagement Log (Appendix A).</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Copilot</w:t>
            </w:r>
            <w:r>
              <w:rPr>
                <w:rFonts w:ascii="Cambria" w:cs="Cambria" w:eastAsia="Cambria" w:hAnsi="Cambria"/>
                <w:b w:val="false"/>
                <w:bCs w:val="false"/>
                <w:i w:val="false"/>
                <w:iCs w:val="false"/>
                <w:strike w:val="false"/>
                <w:color w:val="0D0D0D"/>
                <w:sz w:val="22"/>
                <w:szCs w:val="22"/>
              </w:rPr>
              <w:t xml:space="preserve"> (Microsoft Corporation)</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ChatGPT</w:t>
            </w:r>
            <w:r>
              <w:rPr>
                <w:rFonts w:ascii="Cambria" w:cs="Cambria" w:eastAsia="Cambria" w:hAnsi="Cambria"/>
                <w:b w:val="false"/>
                <w:bCs w:val="false"/>
                <w:i w:val="false"/>
                <w:iCs w:val="false"/>
                <w:strike w:val="false"/>
                <w:color w:val="0D0D0D"/>
                <w:sz w:val="22"/>
                <w:szCs w:val="22"/>
              </w:rPr>
              <w:t xml:space="preserve"> (OpenAI)</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Claude</w:t>
            </w:r>
            <w:r>
              <w:rPr>
                <w:rFonts w:ascii="Cambria" w:cs="Cambria" w:eastAsia="Cambria" w:hAnsi="Cambria"/>
                <w:b w:val="false"/>
                <w:bCs w:val="false"/>
                <w:i w:val="false"/>
                <w:iCs w:val="false"/>
                <w:strike w:val="false"/>
                <w:color w:val="0D0D0D"/>
                <w:sz w:val="22"/>
                <w:szCs w:val="22"/>
              </w:rPr>
              <w:t xml:space="preserve"> (Anthropic)</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Perplexity AI</w:t>
            </w:r>
            <w:r>
              <w:rPr>
                <w:rFonts w:ascii="Cambria" w:cs="Cambria" w:eastAsia="Cambria" w:hAnsi="Cambria"/>
                <w:b w:val="false"/>
                <w:bCs w:val="false"/>
                <w:i w:val="false"/>
                <w:iCs w:val="false"/>
                <w:strike w:val="false"/>
                <w:color w:val="0D0D0D"/>
                <w:sz w:val="22"/>
                <w:szCs w:val="22"/>
              </w:rPr>
              <w:t xml:space="preserve"> (Perplexity AI, Inc.)</w:t>
            </w:r>
          </w:p>
          <w:p>
            <w:pPr>
              <w:spacing w:after="100" w:line="408" w:lineRule="auto"/>
              <w:ind w:left="240"/>
            </w:pPr>
            <w:r>
              <w:t xml:space="preserve">•  </w:t>
            </w:r>
            <w:r>
              <w:rPr>
                <w:rFonts w:ascii="Cambria" w:cs="Cambria" w:eastAsia="Cambria" w:hAnsi="Cambria"/>
                <w:b/>
                <w:bCs/>
                <w:i w:val="false"/>
                <w:iCs w:val="false"/>
                <w:strike w:val="false"/>
                <w:color w:val="0D0D0D"/>
                <w:sz w:val="22"/>
                <w:szCs w:val="22"/>
              </w:rPr>
              <w:t xml:space="preserve">Grok</w:t>
            </w:r>
            <w:r>
              <w:rPr>
                <w:rFonts w:ascii="Cambria" w:cs="Cambria" w:eastAsia="Cambria" w:hAnsi="Cambria"/>
                <w:b w:val="false"/>
                <w:bCs w:val="false"/>
                <w:i w:val="false"/>
                <w:iCs w:val="false"/>
                <w:strike w:val="false"/>
                <w:color w:val="0D0D0D"/>
                <w:sz w:val="22"/>
                <w:szCs w:val="22"/>
              </w:rPr>
              <w:t xml:space="preserve"> (xAI)</w:t>
            </w:r>
          </w:p>
          <w:p>
            <w:pPr>
              <w:spacing w:after="120" w:line="384" w:lineRule="auto"/>
            </w:pPr>
            <w:r>
              <w:rPr>
                <w:rFonts w:ascii="Cambria" w:cs="Cambria" w:eastAsia="Cambria" w:hAnsi="Cambria"/>
                <w:b w:val="false"/>
                <w:bCs w:val="false"/>
                <w:i/>
                <w:iCs/>
                <w:strike w:val="false"/>
                <w:color w:val="0D0D0D"/>
                <w:sz w:val="22"/>
                <w:szCs w:val="22"/>
              </w:rPr>
              <w:t xml:space="preserve">Analyses contributed in advisory capacity only. No signatory authority held. No institutional standing conferred.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5568" w:sz="6"/>
              <w:left w:val="single" w:color="4A5568" w:sz="6"/>
              <w:bottom w:val="single" w:color="4A5568" w:sz="6"/>
              <w:right w:val="single" w:color="4A5568" w:sz="6"/>
            </w:tcBorders>
            <w:shd w:fill="FFFAE8" w:color="auto" w:val="clear"/>
            <w:tcMar>
              <w:top w:type="dxa" w:w="150"/>
              <w:left w:type="dxa" w:w="210"/>
              <w:bottom w:type="dxa" w:w="150"/>
              <w:right w:type="dxa" w:w="210"/>
            </w:tcMar>
          </w:tcPr>
          <w:p>
            <w:pPr>
              <w:spacing w:after="60" w:line="384" w:lineRule="auto"/>
            </w:pPr>
            <w:r>
              <w:rPr>
                <w:rFonts w:ascii="Cambria" w:cs="Cambria" w:eastAsia="Cambria" w:hAnsi="Cambria"/>
                <w:b/>
                <w:bCs/>
                <w:i w:val="false"/>
                <w:iCs w:val="false"/>
                <w:strike w:val="false"/>
                <w:color w:val="0D0D0D"/>
                <w:spacing w:val="10"/>
                <w:sz w:val="19"/>
                <w:szCs w:val="19"/>
              </w:rPr>
              <w:t xml:space="preserve">Charter Status</w:t>
            </w:r>
          </w:p>
          <w:p>
            <w:pPr>
              <w:spacing w:after="120" w:line="384" w:lineRule="auto"/>
            </w:pPr>
            <w:r>
              <w:rPr>
                <w:rFonts w:ascii="Cambria" w:cs="Cambria" w:eastAsia="Cambria" w:hAnsi="Cambria"/>
                <w:b/>
                <w:bCs/>
                <w:i w:val="false"/>
                <w:iCs w:val="false"/>
                <w:strike w:val="false"/>
                <w:color w:val="0D0D0D"/>
                <w:sz w:val="22"/>
                <w:szCs w:val="22"/>
              </w:rPr>
              <w:t xml:space="preserve">Version 1.0 — Initial Ratification Draft — Pending Final Signatures.</w:t>
            </w:r>
            <w:r>
              <w:rPr>
                <w:rFonts w:ascii="Cambria" w:cs="Cambria" w:eastAsia="Cambria" w:hAnsi="Cambria"/>
                <w:b w:val="false"/>
                <w:bCs w:val="false"/>
                <w:i w:val="false"/>
                <w:iCs w:val="false"/>
                <w:strike w:val="false"/>
                <w:color w:val="0D0D0D"/>
                <w:sz w:val="22"/>
                <w:szCs w:val="22"/>
              </w:rPr>
              <w:t xml:space="preserve"> This document carries Level 2 gradient status until ratification by PI and UIARC quorum, upon which it achieves Level 4 status as the founding institutional document of the Governance Laboratory.</w:t>
            </w:r>
          </w:p>
        </w:tc>
      </w:tr>
    </w:tbl>
    <w:p>
      <w:pPr>
        <w:spacing w:after="240" w:before="0"/>
      </w:pPr>
    </w:p>
    <w:p>
      <w:pPr>
        <w:pBdr>
          <w:bottom w:val="single" w:color="0D0D0D" w:sz="6"/>
        </w:pBdr>
        <w:spacing w:after="240" w:before="240"/>
      </w:pPr>
    </w:p>
    <w:p>
      <w:pPr>
        <w:pStyle w:val="Heading1"/>
        <w:spacing w:after="120" w:before="640" w:line="312" w:lineRule="auto"/>
      </w:pPr>
      <w:r>
        <w:rPr>
          <w:rFonts w:ascii="Cambria" w:cs="Cambria" w:eastAsia="Cambria" w:hAnsi="Cambria"/>
          <w:color w:val="0A1628"/>
          <w:sz w:val="40"/>
          <w:szCs w:val="40"/>
        </w:rPr>
        <w:t xml:space="preserve">Appendix A</w:t>
      </w:r>
    </w:p>
    <w:p>
      <w:pPr>
        <w:spacing w:after="60" w:before="60" w:line="384" w:lineRule="auto"/>
      </w:pPr>
      <w:r>
        <w:rPr>
          <w:rFonts w:ascii="Cambria" w:cs="Cambria" w:eastAsia="Cambria" w:hAnsi="Cambria"/>
          <w:b/>
          <w:bCs/>
          <w:i w:val="false"/>
          <w:iCs w:val="false"/>
          <w:strike w:val="false"/>
          <w:color w:val="4A5568"/>
          <w:spacing w:val="20"/>
          <w:sz w:val="20"/>
          <w:szCs w:val="20"/>
        </w:rPr>
        <w:t xml:space="preserve">AI COLLABORATOR PANEL ENGAGEMENT LOG</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log records the engagement of each AI collaborator in the preparation of this charter. All entries are attributed to specific collaborators and query periods. The log is a Level 4 institutional record upon charter ratification.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Collaborator</w:t>
            </w:r>
          </w:p>
        </w:tc>
        <w:tc>
          <w:tcPr>
            <w:tcW w:type="pct" w:w="1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Organization</w:t>
            </w:r>
          </w:p>
        </w:tc>
        <w:tc>
          <w:tcPr>
            <w:tcW w:type="pct" w:w="1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Query Date</w:t>
            </w:r>
          </w:p>
        </w:tc>
        <w:tc>
          <w:tcPr>
            <w:tcW w:type="pct" w:w="1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Analysis Status</w:t>
            </w:r>
          </w:p>
        </w:tc>
        <w:tc>
          <w:tcPr>
            <w:tcW w:type="pct" w:w="1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Model Version</w:t>
            </w:r>
          </w:p>
        </w:tc>
        <w:tc>
          <w:tcPr>
            <w:tcW w:type="pct" w:w="39%"/>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Notable Divergences (ref. §3.3)</w:t>
            </w:r>
          </w:p>
        </w:tc>
      </w:tr>
      <w:tr>
        <w:trPr>
          <w:tblHeader w:val="false"/>
        </w:trPr>
        <w:tc>
          <w:tcPr>
            <w:tcW w:type="pct" w:w="11%"/>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Copilot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Microsoft Corporation</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September 2026</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Complete — Incorporated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Recorded at query time</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advisory-only on admissibility adjudication; mid-range confidence delta (est. 15–20%)</w:t>
            </w:r>
          </w:p>
        </w:tc>
      </w:tr>
      <w:tr>
        <w:trPr>
          <w:tblHeader w:val="false"/>
        </w:trPr>
        <w:tc>
          <w:tcPr>
            <w:tcW w:type="pct" w:w="11%"/>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ChatGPT</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OpenAI</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September 2026</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Complete — Incorporated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Recorded at query time</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Proposed AI co-adjudication with human veto; lowest confidence delta threshold (10%); proposed intermediate Level 2.5 gradient tier</w:t>
            </w:r>
          </w:p>
        </w:tc>
      </w:tr>
      <w:tr>
        <w:trPr>
          <w:tblHeader w:val="false"/>
        </w:trPr>
        <w:tc>
          <w:tcPr>
            <w:tcW w:type="pct" w:w="11%"/>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Claude</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Anthropic</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September 2026</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Complete — Incorporated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Recorded at query time</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AI advisory-only on admissibility adjudication; mid-range confidence delta (est. 15–20%)</w:t>
            </w:r>
          </w:p>
        </w:tc>
      </w:tr>
      <w:tr>
        <w:trPr>
          <w:tblHeader w:val="false"/>
        </w:trPr>
        <w:tc>
          <w:tcPr>
            <w:tcW w:type="pct" w:w="11%"/>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Perplexity AI</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Perplexity AI, Inc.</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September 2026</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Complete — Incorporated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Recorded at query time</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Full deference to human judgment on admissibility adjudication; mid-high confidence delta (est. 20%)</w:t>
            </w:r>
          </w:p>
        </w:tc>
      </w:tr>
      <w:tr>
        <w:trPr>
          <w:tblHeader w:val="false"/>
        </w:trPr>
        <w:tc>
          <w:tcPr>
            <w:tcW w:type="pct" w:w="11%"/>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Grok</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xAI</w:t>
            </w:r>
          </w:p>
        </w:tc>
        <w:tc>
          <w:tcPr>
            <w:tcW w:type="pct" w:w="1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September 2026</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Complete — Incorporated</w:t>
            </w:r>
          </w:p>
        </w:tc>
        <w:tc>
          <w:tcPr>
            <w:tcW w:type="pct" w:w="13%"/>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Recorded at query time</w:t>
            </w:r>
          </w:p>
        </w:tc>
        <w:tc>
          <w:tcPr>
            <w:tcW w:type="pct" w:w="39%"/>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Full deference to human judgment on admissibility adjudication; highest confidence delta threshold (25%)</w:t>
            </w:r>
          </w:p>
        </w:tc>
      </w:tr>
    </w:tbl>
    <w:p>
      <w:pPr>
        <w:spacing w:after="200" w:before="0"/>
      </w:pPr>
    </w:p>
    <w:p>
      <w:pPr>
        <w:pBdr>
          <w:bottom w:val="single" w:color="0D0D0D" w:sz="6"/>
        </w:pBdr>
        <w:spacing w:after="240" w:before="240"/>
      </w:pPr>
    </w:p>
    <w:p>
      <w:pPr>
        <w:pStyle w:val="Heading1"/>
        <w:spacing w:after="120" w:before="480" w:line="312" w:lineRule="auto"/>
      </w:pPr>
      <w:r>
        <w:rPr>
          <w:rFonts w:ascii="Cambria" w:cs="Cambria" w:eastAsia="Cambria" w:hAnsi="Cambria"/>
          <w:color w:val="0A1628"/>
          <w:sz w:val="40"/>
          <w:szCs w:val="40"/>
        </w:rPr>
        <w:t xml:space="preserve">Appendix B</w:t>
      </w:r>
    </w:p>
    <w:p>
      <w:pPr>
        <w:spacing w:after="60" w:before="60" w:line="384" w:lineRule="auto"/>
      </w:pPr>
      <w:r>
        <w:rPr>
          <w:rFonts w:ascii="Cambria" w:cs="Cambria" w:eastAsia="Cambria" w:hAnsi="Cambria"/>
          <w:b/>
          <w:bCs/>
          <w:i w:val="false"/>
          <w:iCs w:val="false"/>
          <w:strike w:val="false"/>
          <w:color w:val="4A5568"/>
          <w:spacing w:val="20"/>
          <w:sz w:val="20"/>
          <w:szCs w:val="20"/>
        </w:rPr>
        <w:t xml:space="preserve">INFORMATION ADMISSIBILITY SCORING WORKSHEET</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worksheet is to be completed for each item of information introduced into formal Lab deliberation or cited in any Level 3 or Level 4 output. Completed worksheets are entered into the institutional record and retained permanently. One worksheet per discrete information item.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3%"/>
            <w:gridSpan w:val="3"/>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INFORMATION ADMISSIBILITY SCORING WORKSHEET</w:t>
            </w:r>
          </w:p>
        </w:tc>
      </w:tr>
      <w:tr>
        <w:trPr>
          <w:tblHeader w:val="false"/>
        </w:trPr>
        <w:tc>
          <w:tcPr>
            <w:tcW w:type="pct" w:w="4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Worksheet ID:</w:t>
            </w:r>
            <w:r>
              <w:rPr>
                <w:rFonts w:ascii="Cambria" w:cs="Cambria" w:eastAsia="Cambria" w:hAnsi="Cambria"/>
                <w:b w:val="false"/>
                <w:bCs w:val="false"/>
                <w:i w:val="false"/>
                <w:iCs w:val="false"/>
                <w:strike w:val="false"/>
                <w:color w:val="0D0D0D"/>
                <w:sz w:val="22"/>
                <w:szCs w:val="22"/>
              </w:rPr>
              <w:t xml:space="preserve"> ___________________________</w:t>
            </w:r>
          </w:p>
        </w:tc>
        <w:tc>
          <w:tcPr>
            <w:tcW w:type="pct" w:w="33%"/>
            <w:gridSpan w:val="2"/>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Date Completed:</w:t>
            </w:r>
            <w:r>
              <w:rPr>
                <w:rFonts w:ascii="Cambria" w:cs="Cambria" w:eastAsia="Cambria" w:hAnsi="Cambria"/>
                <w:b w:val="false"/>
                <w:bCs w:val="false"/>
                <w:i w:val="false"/>
                <w:iCs w:val="false"/>
                <w:strike w:val="false"/>
                <w:color w:val="0D0D0D"/>
                <w:sz w:val="22"/>
                <w:szCs w:val="22"/>
              </w:rPr>
              <w:t xml:space="preserve"> ___________________________</w:t>
            </w:r>
          </w:p>
        </w:tc>
      </w:tr>
      <w:tr>
        <w:trPr>
          <w:tblHeader w:val="false"/>
        </w:trPr>
        <w:tc>
          <w:tcPr>
            <w:tcW w:type="pct" w:w="4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Completed By (Name / Standing Class):</w:t>
            </w:r>
            <w:r>
              <w:rPr>
                <w:rFonts w:ascii="Cambria" w:cs="Cambria" w:eastAsia="Cambria" w:hAnsi="Cambria"/>
                <w:b w:val="false"/>
                <w:bCs w:val="false"/>
                <w:i w:val="false"/>
                <w:iCs w:val="false"/>
                <w:strike w:val="false"/>
                <w:color w:val="0D0D0D"/>
                <w:sz w:val="22"/>
                <w:szCs w:val="22"/>
              </w:rPr>
              <w:t xml:space="preserve"> ___________________________</w:t>
            </w:r>
          </w:p>
        </w:tc>
        <w:tc>
          <w:tcPr>
            <w:tcW w:type="pct" w:w="33%"/>
            <w:gridSpan w:val="2"/>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Output or Deliberation Reference:</w:t>
            </w:r>
            <w:r>
              <w:rPr>
                <w:rFonts w:ascii="Cambria" w:cs="Cambria" w:eastAsia="Cambria" w:hAnsi="Cambria"/>
                <w:b w:val="false"/>
                <w:bCs w:val="false"/>
                <w:i w:val="false"/>
                <w:iCs w:val="false"/>
                <w:strike w:val="false"/>
                <w:color w:val="0D0D0D"/>
                <w:sz w:val="22"/>
                <w:szCs w:val="22"/>
              </w:rPr>
              <w:t xml:space="preserve"> ___________________________</w:t>
            </w:r>
          </w:p>
        </w:tc>
      </w:tr>
      <w:tr>
        <w:trPr>
          <w:tblHeader w:val="false"/>
        </w:trPr>
        <w:tc>
          <w:tcPr>
            <w:tcW w:type="pct" w:w="43%"/>
            <w:gridSpan w:val="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Information Description:</w:t>
            </w:r>
            <w:r>
              <w:rPr>
                <w:rFonts w:ascii="Cambria" w:cs="Cambria" w:eastAsia="Cambria" w:hAnsi="Cambria"/>
                <w:b w:val="false"/>
                <w:bCs w:val="false"/>
                <w:i w:val="false"/>
                <w:iCs w:val="false"/>
                <w:strike w:val="false"/>
                <w:color w:val="0D0D0D"/>
                <w:sz w:val="22"/>
                <w:szCs w:val="22"/>
              </w:rPr>
              <w:t xml:space="preserve"> _____________________________________________________________</w:t>
            </w:r>
          </w:p>
        </w:tc>
      </w:tr>
      <w:tr>
        <w:trPr>
          <w:tblHeader w:val="false"/>
        </w:trPr>
        <w:tc>
          <w:tcPr>
            <w:tcW w:type="pct" w:w="4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Source:</w:t>
            </w:r>
            <w:r>
              <w:rPr>
                <w:rFonts w:ascii="Cambria" w:cs="Cambria" w:eastAsia="Cambria" w:hAnsi="Cambria"/>
                <w:b w:val="false"/>
                <w:bCs w:val="false"/>
                <w:i w:val="false"/>
                <w:iCs w:val="false"/>
                <w:strike w:val="false"/>
                <w:color w:val="0D0D0D"/>
                <w:sz w:val="22"/>
                <w:szCs w:val="22"/>
              </w:rPr>
              <w:t xml:space="preserve"> ___________________________</w:t>
            </w:r>
          </w:p>
        </w:tc>
        <w:tc>
          <w:tcPr>
            <w:tcW w:type="pct" w:w="33%"/>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Source Type:</w:t>
            </w:r>
            <w:r>
              <w:rPr>
                <w:rFonts w:ascii="Cambria" w:cs="Cambria" w:eastAsia="Cambria" w:hAnsi="Cambria"/>
                <w:b w:val="false"/>
                <w:bCs w:val="false"/>
                <w:i w:val="false"/>
                <w:iCs w:val="false"/>
                <w:strike w:val="false"/>
                <w:color w:val="0D0D0D"/>
                <w:sz w:val="22"/>
                <w:szCs w:val="22"/>
              </w:rPr>
              <w:t xml:space="preserve"> □ Human   □ AI   □ Mixed</w:t>
            </w:r>
          </w:p>
        </w:tc>
        <w:tc>
          <w:tcPr>
            <w:tcW w:type="pct" w:w="24%"/>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Date of Production/Query:</w:t>
            </w:r>
            <w:r>
              <w:rPr>
                <w:rFonts w:ascii="Cambria" w:cs="Cambria" w:eastAsia="Cambria" w:hAnsi="Cambria"/>
                <w:b w:val="false"/>
                <w:bCs w:val="false"/>
                <w:i w:val="false"/>
                <w:iCs w:val="false"/>
                <w:strike w:val="false"/>
                <w:color w:val="0D0D0D"/>
                <w:sz w:val="22"/>
                <w:szCs w:val="22"/>
              </w:rPr>
              <w:t xml:space="preserve"> _______________</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w:t>
            </w:r>
          </w:p>
        </w:tc>
        <w:tc>
          <w:tcPr>
            <w:tcW w:type="pct" w:w="37%"/>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Admissibility Criterion</w:t>
            </w:r>
          </w:p>
        </w:tc>
        <w:tc>
          <w:tcPr>
            <w:tcW w:type="pct" w:w="16%"/>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Evaluation Notes</w:t>
            </w:r>
          </w:p>
        </w:tc>
        <w:tc>
          <w:tcPr>
            <w:tcW w:type="pct" w:w="22%"/>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Score</w:t>
            </w:r>
          </w:p>
        </w:tc>
        <w:tc>
          <w:tcPr>
            <w:tcW w:type="pct" w:w="10%"/>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Points</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w:t>
            </w:r>
          </w:p>
        </w:tc>
        <w:tc>
          <w:tcPr>
            <w:tcW w:type="pct" w:w="37%"/>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Source Traceability</w:t>
            </w:r>
            <w:r>
              <w:rPr>
                <w:rFonts w:ascii="Cambria" w:cs="Cambria" w:eastAsia="Cambria" w:hAnsi="Cambria"/>
                <w:b w:val="false"/>
                <w:bCs w:val="false"/>
                <w:i w:val="false"/>
                <w:iCs w:val="false"/>
                <w:color w:val="0D0D0D"/>
                <w:sz w:val="22"/>
                <w:szCs w:val="22"/>
              </w:rPr>
              <w:t xml:space="preserve">
</w:t>
            </w:r>
            <w:r>
              <w:rPr>
                <w:rFonts w:ascii="Cambria" w:cs="Cambria" w:eastAsia="Cambria" w:hAnsi="Cambria"/>
                <w:b w:val="false"/>
                <w:bCs w:val="false"/>
                <w:i w:val="false"/>
                <w:iCs w:val="false"/>
                <w:strike w:val="false"/>
                <w:color w:val="0D0D0D"/>
                <w:sz w:val="22"/>
                <w:szCs w:val="22"/>
              </w:rPr>
              <w:t xml:space="preserve">Origin identifiable and documented; named source with date</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Met (1.0)   □ Partial (0.5)   □ Not Met (0.0)</w:t>
            </w:r>
          </w:p>
        </w:tc>
        <w:tc>
          <w:tcPr>
            <w:tcW w:type="pct" w:w="10%"/>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_______</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b</w:t>
            </w:r>
          </w:p>
        </w:tc>
        <w:tc>
          <w:tcPr>
            <w:tcW w:type="pct" w:w="37%"/>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Corroboration Threshold</w:t>
            </w:r>
            <w:r>
              <w:rPr>
                <w:rFonts w:ascii="Cambria" w:cs="Cambria" w:eastAsia="Cambria" w:hAnsi="Cambria"/>
                <w:b w:val="false"/>
                <w:bCs w:val="false"/>
                <w:i w:val="false"/>
                <w:iCs w:val="false"/>
                <w:color w:val="0D0D0D"/>
                <w:sz w:val="22"/>
                <w:szCs w:val="22"/>
              </w:rPr>
              <w:t xml:space="preserve">
</w:t>
            </w:r>
            <w:r>
              <w:rPr>
                <w:rFonts w:ascii="Cambria" w:cs="Cambria" w:eastAsia="Cambria" w:hAnsi="Cambria"/>
                <w:b w:val="false"/>
                <w:bCs w:val="false"/>
                <w:i w:val="false"/>
                <w:iCs w:val="false"/>
                <w:strike w:val="false"/>
                <w:color w:val="0D0D0D"/>
                <w:sz w:val="22"/>
                <w:szCs w:val="22"/>
              </w:rPr>
              <w:t xml:space="preserve">At least one independent source of equivalent or higher epistemic standing</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Met (1.0)   □ Partial (0.5)   □ Not Met (0.0)</w:t>
            </w:r>
          </w:p>
        </w:tc>
        <w:tc>
          <w:tcPr>
            <w:tcW w:type="pct" w:w="10%"/>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_______</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w:t>
            </w:r>
          </w:p>
        </w:tc>
        <w:tc>
          <w:tcPr>
            <w:tcW w:type="pct" w:w="37%"/>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Conflict of Interest Disclosure</w:t>
            </w:r>
            <w:r>
              <w:rPr>
                <w:rFonts w:ascii="Cambria" w:cs="Cambria" w:eastAsia="Cambria" w:hAnsi="Cambria"/>
                <w:b w:val="false"/>
                <w:bCs w:val="false"/>
                <w:i w:val="false"/>
                <w:iCs w:val="false"/>
                <w:color w:val="0D0D0D"/>
                <w:sz w:val="22"/>
                <w:szCs w:val="22"/>
              </w:rPr>
              <w:t xml:space="preserve">
</w:t>
            </w:r>
            <w:r>
              <w:rPr>
                <w:rFonts w:ascii="Cambria" w:cs="Cambria" w:eastAsia="Cambria" w:hAnsi="Cambria"/>
                <w:b w:val="false"/>
                <w:bCs w:val="false"/>
                <w:i w:val="false"/>
                <w:iCs w:val="false"/>
                <w:strike w:val="false"/>
                <w:color w:val="0D0D0D"/>
                <w:sz w:val="22"/>
                <w:szCs w:val="22"/>
              </w:rPr>
              <w:t xml:space="preserve">Material interests declared; no undisclosed conflicts</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Met (1.0)   □ Partial (0.5)   □ Not Met (0.0)</w:t>
            </w:r>
          </w:p>
        </w:tc>
        <w:tc>
          <w:tcPr>
            <w:tcW w:type="pct" w:w="10%"/>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_______</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w:t>
            </w:r>
          </w:p>
        </w:tc>
        <w:tc>
          <w:tcPr>
            <w:tcW w:type="pct" w:w="37%"/>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Temporal Currency</w:t>
            </w:r>
            <w:r>
              <w:rPr>
                <w:rFonts w:ascii="Cambria" w:cs="Cambria" w:eastAsia="Cambria" w:hAnsi="Cambria"/>
                <w:b w:val="false"/>
                <w:bCs w:val="false"/>
                <w:i w:val="false"/>
                <w:iCs w:val="false"/>
                <w:color w:val="0D0D0D"/>
                <w:sz w:val="22"/>
                <w:szCs w:val="22"/>
              </w:rPr>
              <w:t xml:space="preserve">
</w:t>
            </w:r>
            <w:r>
              <w:rPr>
                <w:rFonts w:ascii="Cambria" w:cs="Cambria" w:eastAsia="Cambria" w:hAnsi="Cambria"/>
                <w:b w:val="false"/>
                <w:bCs w:val="false"/>
                <w:i w:val="false"/>
                <w:iCs w:val="false"/>
                <w:strike w:val="false"/>
                <w:color w:val="0D0D0D"/>
                <w:sz w:val="22"/>
                <w:szCs w:val="22"/>
              </w:rPr>
              <w:t xml:space="preserve">Dated; if older than 24 months, justification documented</w:t>
            </w:r>
          </w:p>
        </w:tc>
        <w:tc>
          <w:tcPr>
            <w:tcW w:type="pct" w:w="16%"/>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c>
          <w:tcPr>
            <w:tcW w:type="pct" w:w="2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Met (1.0)   □ Partial (0.5)   □ Not Met (0.0)</w:t>
            </w:r>
          </w:p>
        </w:tc>
        <w:tc>
          <w:tcPr>
            <w:tcW w:type="pct" w:w="10%"/>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_______</w:t>
            </w:r>
          </w:p>
        </w:tc>
      </w:tr>
      <w:tr>
        <w:trPr>
          <w:tblHeader w:val="false"/>
        </w:trPr>
        <w:tc>
          <w:tcPr>
            <w:tcW w:type="pct" w:w="1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TOTAL SCORE (max 4.0):</w:t>
            </w:r>
          </w:p>
        </w:tc>
        <w:tc>
          <w:tcPr>
            <w:tcW w:type="pct" w:w="37%"/>
            <w:gridSpan w:val="4"/>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_______</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4%"/>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Score Range</w:t>
            </w:r>
          </w:p>
        </w:tc>
        <w:tc>
          <w:tcPr>
            <w:tcW w:type="pct" w:w="19%"/>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Resulting Classification</w:t>
            </w:r>
          </w:p>
        </w:tc>
        <w:tc>
          <w:tcPr>
            <w:tcW w:type="pct" w:w="47%"/>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Action Required</w:t>
            </w:r>
          </w:p>
        </w:tc>
      </w:tr>
      <w:tr>
        <w:trPr>
          <w:tblHeader w:val="false"/>
        </w:trPr>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4.0 — all criteria fully met</w:t>
            </w:r>
          </w:p>
        </w:tc>
        <w:tc>
          <w:tcPr>
            <w:tcW w:type="pct" w:w="1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Fully Admissible</w:t>
            </w:r>
          </w:p>
        </w:tc>
        <w:tc>
          <w:tcPr>
            <w:tcW w:type="pct" w:w="4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Unrestricted use; standard admissibility record entry</w:t>
            </w:r>
          </w:p>
        </w:tc>
      </w:tr>
      <w:tr>
        <w:trPr>
          <w:tblHeader w:val="false"/>
        </w:trPr>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3.0 to 3.5 — three criteria met (one not met or partial)</w:t>
            </w:r>
          </w:p>
        </w:tc>
        <w:tc>
          <w:tcPr>
            <w:tcW w:type="pct" w:w="1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Conditionally Admissible</w:t>
            </w:r>
          </w:p>
        </w:tc>
        <w:tc>
          <w:tcPr>
            <w:tcW w:type="pct" w:w="4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Permitted with caveat; unmet criterion documented; Class B acknowledgment required</w:t>
            </w:r>
          </w:p>
        </w:tc>
      </w:tr>
      <w:tr>
        <w:trPr>
          <w:tblHeader w:val="false"/>
        </w:trPr>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Below 3.0 — fewer than three criteria fully met</w:t>
            </w:r>
          </w:p>
        </w:tc>
        <w:tc>
          <w:tcPr>
            <w:tcW w:type="pct" w:w="1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Inadmissible</w:t>
            </w:r>
          </w:p>
        </w:tc>
        <w:tc>
          <w:tcPr>
            <w:tcW w:type="pct" w:w="4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May not be used without UIARC waiver; waiver request documents justification and scope</w:t>
            </w:r>
          </w:p>
        </w:tc>
      </w:tr>
      <w:tr>
        <w:trPr>
          <w:tblHeader w:val="false"/>
        </w:trPr>
        <w:tc>
          <w:tcPr>
            <w:tcW w:type="pct" w:w="34%"/>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Any score — admissibility disputed</w:t>
            </w:r>
          </w:p>
        </w:tc>
        <w:tc>
          <w:tcPr>
            <w:tcW w:type="pct" w:w="1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Contested</w:t>
            </w:r>
          </w:p>
        </w:tc>
        <w:tc>
          <w:tcPr>
            <w:tcW w:type="pct" w:w="47%"/>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Held pending reflexive audit resolution; may not be used in final determinations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5%"/>
            <w:gridSpan w:val="2"/>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FINAL DETERMINATION</w:t>
            </w:r>
          </w:p>
        </w:tc>
      </w:tr>
      <w:tr>
        <w:trPr>
          <w:tblHeader w:val="false"/>
        </w:trPr>
        <w:tc>
          <w:tcPr>
            <w:tcW w:type="pct" w:w="6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Classification Assigned:</w:t>
            </w:r>
            <w:r>
              <w:rPr>
                <w:rFonts w:ascii="Cambria" w:cs="Cambria" w:eastAsia="Cambria" w:hAnsi="Cambria"/>
                <w:b w:val="false"/>
                <w:bCs w:val="false"/>
                <w:i w:val="false"/>
                <w:iCs w:val="false"/>
                <w:strike w:val="false"/>
                <w:color w:val="0D0D0D"/>
                <w:sz w:val="22"/>
                <w:szCs w:val="22"/>
              </w:rPr>
              <w:t xml:space="preserve"> ___________________________</w:t>
            </w:r>
          </w:p>
        </w:tc>
        <w:tc>
          <w:tcPr>
            <w:tcW w:type="pct" w:w="3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AI-Specific Provisions Apply:</w:t>
            </w:r>
            <w:r>
              <w:rPr>
                <w:rFonts w:ascii="Cambria" w:cs="Cambria" w:eastAsia="Cambria" w:hAnsi="Cambria"/>
                <w:b w:val="false"/>
                <w:bCs w:val="false"/>
                <w:i w:val="false"/>
                <w:iCs w:val="false"/>
                <w:strike w:val="false"/>
                <w:color w:val="0D0D0D"/>
                <w:sz w:val="22"/>
                <w:szCs w:val="22"/>
              </w:rPr>
              <w:t xml:space="preserve"> □ Yes   □ No</w:t>
            </w:r>
          </w:p>
        </w:tc>
      </w:tr>
      <w:tr>
        <w:trPr>
          <w:tblHeader w:val="false"/>
        </w:trPr>
        <w:tc>
          <w:tcPr>
            <w:tcW w:type="pct" w:w="6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Hallucination Risk Disclosure Required:</w:t>
            </w:r>
            <w:r>
              <w:rPr>
                <w:rFonts w:ascii="Cambria" w:cs="Cambria" w:eastAsia="Cambria" w:hAnsi="Cambria"/>
                <w:b w:val="false"/>
                <w:bCs w:val="false"/>
                <w:i w:val="false"/>
                <w:iCs w:val="false"/>
                <w:strike w:val="false"/>
                <w:color w:val="0D0D0D"/>
                <w:sz w:val="22"/>
                <w:szCs w:val="22"/>
              </w:rPr>
              <w:t xml:space="preserve"> □ Yes   □ No</w:t>
            </w:r>
          </w:p>
        </w:tc>
        <w:tc>
          <w:tcPr>
            <w:tcW w:type="pct" w:w="3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UIARC Waiver Sought:</w:t>
            </w:r>
            <w:r>
              <w:rPr>
                <w:rFonts w:ascii="Cambria" w:cs="Cambria" w:eastAsia="Cambria" w:hAnsi="Cambria"/>
                <w:b w:val="false"/>
                <w:bCs w:val="false"/>
                <w:i w:val="false"/>
                <w:iCs w:val="false"/>
                <w:strike w:val="false"/>
                <w:color w:val="0D0D0D"/>
                <w:sz w:val="22"/>
                <w:szCs w:val="22"/>
              </w:rPr>
              <w:t xml:space="preserve"> □ Yes   □ No</w:t>
            </w:r>
          </w:p>
        </w:tc>
      </w:tr>
      <w:tr>
        <w:trPr>
          <w:tblHeader w:val="false"/>
        </w:trPr>
        <w:tc>
          <w:tcPr>
            <w:tcW w:type="pct" w:w="65%"/>
            <w:gridSpan w:val="2"/>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Caveat / Additional Notes:</w:t>
            </w:r>
            <w:r>
              <w:rPr>
                <w:rFonts w:ascii="Cambria" w:cs="Cambria" w:eastAsia="Cambria" w:hAnsi="Cambria"/>
                <w:b w:val="false"/>
                <w:bCs w:val="false"/>
                <w:i w:val="false"/>
                <w:iCs w:val="false"/>
                <w:strike w:val="false"/>
                <w:color w:val="0D0D0D"/>
                <w:sz w:val="22"/>
                <w:szCs w:val="22"/>
              </w:rPr>
              <w:t xml:space="preserve"> _____________________________________________________________</w:t>
            </w:r>
          </w:p>
        </w:tc>
      </w:tr>
      <w:tr>
        <w:trPr>
          <w:tblHeader w:val="false"/>
        </w:trPr>
        <w:tc>
          <w:tcPr>
            <w:tcW w:type="pct" w:w="6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Authorized By (Class A Signature):</w:t>
            </w:r>
            <w:r>
              <w:rPr>
                <w:rFonts w:ascii="Cambria" w:cs="Cambria" w:eastAsia="Cambria" w:hAnsi="Cambria"/>
                <w:b w:val="false"/>
                <w:bCs w:val="false"/>
                <w:i w:val="false"/>
                <w:iCs w:val="false"/>
                <w:strike w:val="false"/>
                <w:color w:val="0D0D0D"/>
                <w:sz w:val="22"/>
                <w:szCs w:val="22"/>
              </w:rPr>
              <w:t xml:space="preserve"> ___________________________</w:t>
            </w:r>
          </w:p>
        </w:tc>
        <w:tc>
          <w:tcPr>
            <w:tcW w:type="pct" w:w="35%"/>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Date:</w:t>
            </w:r>
            <w:r>
              <w:rPr>
                <w:rFonts w:ascii="Cambria" w:cs="Cambria" w:eastAsia="Cambria" w:hAnsi="Cambria"/>
                <w:b w:val="false"/>
                <w:bCs w:val="false"/>
                <w:i w:val="false"/>
                <w:iCs w:val="false"/>
                <w:strike w:val="false"/>
                <w:color w:val="0D0D0D"/>
                <w:sz w:val="22"/>
                <w:szCs w:val="22"/>
              </w:rPr>
              <w:t xml:space="preserve"> ___________________________</w:t>
            </w:r>
          </w:p>
        </w:tc>
      </w:tr>
    </w:tbl>
    <w:p>
      <w:pPr>
        <w:spacing w:after="200" w:before="0"/>
      </w:pPr>
    </w:p>
    <w:p>
      <w:pPr>
        <w:pBdr>
          <w:bottom w:val="single" w:color="0D0D0D" w:sz="6"/>
        </w:pBdr>
        <w:spacing w:after="240" w:before="240"/>
      </w:pPr>
    </w:p>
    <w:p>
      <w:pPr>
        <w:pStyle w:val="Heading1"/>
        <w:spacing w:after="120" w:before="480" w:line="312" w:lineRule="auto"/>
      </w:pPr>
      <w:r>
        <w:rPr>
          <w:rFonts w:ascii="Cambria" w:cs="Cambria" w:eastAsia="Cambria" w:hAnsi="Cambria"/>
          <w:color w:val="0A1628"/>
          <w:sz w:val="40"/>
          <w:szCs w:val="40"/>
        </w:rPr>
        <w:t xml:space="preserve">Appendix C</w:t>
      </w:r>
    </w:p>
    <w:p>
      <w:pPr>
        <w:spacing w:after="60" w:before="60" w:line="384" w:lineRule="auto"/>
      </w:pPr>
      <w:r>
        <w:rPr>
          <w:rFonts w:ascii="Cambria" w:cs="Cambria" w:eastAsia="Cambria" w:hAnsi="Cambria"/>
          <w:b/>
          <w:bCs/>
          <w:i w:val="false"/>
          <w:iCs w:val="false"/>
          <w:strike w:val="false"/>
          <w:color w:val="4A5568"/>
          <w:spacing w:val="20"/>
          <w:sz w:val="20"/>
          <w:szCs w:val="20"/>
        </w:rPr>
        <w:t xml:space="preserve">GLOSSARY OF DEFINED TERMS</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The following definitions are abbreviated one-sentence summaries of the full definitions in Section 2 and are provided for quick reference only. In the event of conflict, the full definitions in Section 2 govern.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Term</w:t>
            </w:r>
          </w:p>
        </w:tc>
        <w:tc>
          <w:tcPr>
            <w:tcW w:type="pct" w:w="72%"/>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Brief Definition</w:t>
            </w:r>
          </w:p>
        </w:tc>
        <w:tc>
          <w:tcPr>
            <w:tcW w:type="pct" w:w="10%"/>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Section Reference</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AI Collaborator Panel</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ensemble of five AI advisory systems (Copilot, ChatGPT, Claude, Perplexity, Grok) whose independent analyses were synthesized to produce this charter, operating in advisory capacity only.</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§2.9</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Authority Gradient</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four-level graduated spectrum of decisional authority within the Lab, determining what actions may be taken on any given output based on the rigor of its human review.</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§2.5, §6</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Governance Laboratory ("the Lab")</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institutional entity established by this charter to conduct governed research, adversarial testing, and iterative framework development for AI-integrated institutional systems.</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§2.1</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Information Admissibility Doctrine</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four-criterion evidentiary standard — source traceability, corroboration, conflict of interest disclosure, and temporal currency — governing what information may enter Lab deliberative and decisional processes.</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§2.3, §4</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Internal-First Testing Sequence</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seven-step mandatory protocol requiring all governance frameworks be applied to the Lab's own operations for a minimum of thirty days before external recommendation or publication.</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§2.8, §9</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Principal Investigator (PI)</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Nathan, the human individual holding ultimate accountability for the Lab's mission and outputs, holding Level 4 authority and chairing the UIARC.</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§2.10</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Reflexive Audit</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 formal audit mechanism directed at the Lab's own processes and outputs to verify internal consistency, doctrinal compliance, and epistemic integrity.</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§2.6, §7</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Standing Architecture</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three-class (A, B, C) structural arrangement defining who holds standing to initiate action, challenge findings, introduce evidence, or invoke audit within the Lab.</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§2.4, §5</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Threshold Logic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rule-based system governing when automatic escalation, audit triggers, or mandatory human review is activated based on defined dimensional thresholds.</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§2.7, §8</w:t>
            </w:r>
          </w:p>
        </w:tc>
      </w:tr>
      <w:tr>
        <w:trPr>
          <w:tblHeader w:val="false"/>
        </w:trPr>
        <w:tc>
          <w:tcPr>
            <w:tcW w:type="pct" w:w="18%"/>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UIARC</w:t>
            </w:r>
          </w:p>
        </w:tc>
        <w:tc>
          <w:tcPr>
            <w:tcW w:type="pct" w:w="72%"/>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The Unified Intelligence Accountability and Review Committee — the standing human oversight body responsible for reviewing AI-assisted outputs, maintaining the authority gradient, and adjudicating admissibility disputes.</w:t>
            </w:r>
          </w:p>
        </w:tc>
        <w:tc>
          <w:tcPr>
            <w:tcW w:type="pct" w:w="10%"/>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§2.2</w:t>
            </w:r>
          </w:p>
        </w:tc>
      </w:tr>
    </w:tbl>
    <w:p>
      <w:pPr>
        <w:spacing w:after="200" w:before="0"/>
      </w:pPr>
    </w:p>
    <w:p>
      <w:pPr>
        <w:pBdr>
          <w:bottom w:val="single" w:color="0D0D0D" w:sz="6"/>
        </w:pBdr>
        <w:spacing w:after="240" w:before="240"/>
      </w:pPr>
    </w:p>
    <w:p>
      <w:pPr>
        <w:pStyle w:val="Heading1"/>
        <w:spacing w:after="120" w:before="480" w:line="312" w:lineRule="auto"/>
      </w:pPr>
      <w:r>
        <w:rPr>
          <w:rFonts w:ascii="Cambria" w:cs="Cambria" w:eastAsia="Cambria" w:hAnsi="Cambria"/>
          <w:color w:val="0A1628"/>
          <w:sz w:val="40"/>
          <w:szCs w:val="40"/>
        </w:rPr>
        <w:t xml:space="preserve">Appendix D</w:t>
      </w:r>
    </w:p>
    <w:p>
      <w:pPr>
        <w:spacing w:after="60" w:before="60" w:line="384" w:lineRule="auto"/>
      </w:pPr>
      <w:r>
        <w:rPr>
          <w:rFonts w:ascii="Cambria" w:cs="Cambria" w:eastAsia="Cambria" w:hAnsi="Cambria"/>
          <w:b/>
          <w:bCs/>
          <w:i w:val="false"/>
          <w:iCs w:val="false"/>
          <w:strike w:val="false"/>
          <w:color w:val="4A5568"/>
          <w:spacing w:val="20"/>
          <w:sz w:val="20"/>
          <w:szCs w:val="20"/>
        </w:rPr>
        <w:t xml:space="preserve">REFLEXIVE AUDIT LOG TEMPLATE</w:t>
      </w:r>
    </w:p>
    <w:p>
      <w:pPr>
        <w:spacing w:after="120" w:before="60" w:line="384" w:lineRule="auto"/>
      </w:pPr>
      <w:r>
        <w:rPr>
          <w:rFonts w:ascii="Cambria" w:cs="Cambria" w:eastAsia="Cambria" w:hAnsi="Cambria"/>
          <w:b w:val="false"/>
          <w:bCs w:val="false"/>
          <w:i w:val="false"/>
          <w:iCs w:val="false"/>
          <w:strike w:val="false"/>
          <w:color w:val="0D0D0D"/>
          <w:sz w:val="22"/>
          <w:szCs w:val="22"/>
        </w:rPr>
        <w:t xml:space="preserve">This template governs the recording of all reflexive audit events in the Lab's permanent institutional record. Each completed entry achieves Level 4 status upon UIARC ratification. The log is maintained continuously and is itself subject to reflexive audit.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Field</w:t>
            </w:r>
          </w:p>
        </w:tc>
        <w:tc>
          <w:tcPr>
            <w:tcW w:type="pct" w:w="7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9"/>
                <w:szCs w:val="19"/>
              </w:rPr>
              <w:t xml:space="preserve">Entry</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Audit ID</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RA-[YYYY]-[Sequential Number] (e.g., RA-2026-001)</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Date Initiated</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Date Completed</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Audit Type</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Scheduled (Quarterly)   □ Triggered (Threshold / Manual)   □ External</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Trigger / Initiating Event</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Initiating Principal (Name / Standing Class)</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Audit Scope Description</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Outputs / Processes Within Scope</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Dimensions Examined</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Admissibility Compliance   □ Gradient Accuracy   □ Threshold Consistency   □ AI Attribution Integrity   □ Internal-First Fidelity</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Findings Summary</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Outcome Classification</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Clean   □ Advisory Finding   □ Material Finding   □ Critical Finding</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Specific Findings (if any)</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Finding 1: ___________________________</w:t>
            </w:r>
            <w:r>
              <w:rPr>
                <w:rFonts w:ascii="Cambria" w:cs="Cambria" w:eastAsia="Cambria" w:hAnsi="Cambria"/>
                <w:b w:val="false"/>
                <w:bCs w:val="false"/>
                <w:i w:val="false"/>
                <w:iCs w:val="false"/>
                <w:color w:val="0D0D0D"/>
                <w:sz w:val="22"/>
                <w:szCs w:val="22"/>
              </w:rPr>
              <w:t xml:space="preserve">
</w:t>
            </w:r>
            <w:r>
              <w:rPr>
                <w:rFonts w:ascii="Cambria" w:cs="Cambria" w:eastAsia="Cambria" w:hAnsi="Cambria"/>
                <w:b w:val="false"/>
                <w:bCs w:val="false"/>
                <w:i w:val="false"/>
                <w:iCs w:val="false"/>
                <w:strike w:val="false"/>
                <w:color w:val="0D0D0D"/>
                <w:sz w:val="22"/>
                <w:szCs w:val="22"/>
              </w:rPr>
              <w:t xml:space="preserve">Finding 2: ___________________________</w:t>
            </w:r>
            <w:r>
              <w:rPr>
                <w:rFonts w:ascii="Cambria" w:cs="Cambria" w:eastAsia="Cambria" w:hAnsi="Cambria"/>
                <w:b w:val="false"/>
                <w:bCs w:val="false"/>
                <w:i w:val="false"/>
                <w:iCs w:val="false"/>
                <w:color w:val="0D0D0D"/>
                <w:sz w:val="22"/>
                <w:szCs w:val="22"/>
              </w:rPr>
              <w:t xml:space="preserve">
</w:t>
            </w:r>
            <w:r>
              <w:rPr>
                <w:rFonts w:ascii="Cambria" w:cs="Cambria" w:eastAsia="Cambria" w:hAnsi="Cambria"/>
                <w:b w:val="false"/>
                <w:bCs w:val="false"/>
                <w:i w:val="false"/>
                <w:iCs w:val="false"/>
                <w:strike w:val="false"/>
                <w:color w:val="0D0D0D"/>
                <w:sz w:val="22"/>
                <w:szCs w:val="22"/>
              </w:rPr>
              <w:t xml:space="preserve">Finding 3: 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Gradient Downgrades Triggered</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 None   □ Yes — Output(s): 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Remediation Plan (if applicable)</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Remediation Deadline</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Remediation Completion Date</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Remediation Verified By</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UIARC Ratification Date</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___________________________</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Gradient Level Upon Ratification</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Level 4 — Permanent Institutional Record</w:t>
            </w:r>
          </w:p>
        </w:tc>
      </w:tr>
      <w:tr>
        <w:trPr>
          <w:tblHeader w:val="false"/>
        </w:trPr>
        <w:tc>
          <w:tcPr>
            <w:tcW w:type="pct" w:w="29%"/>
            <w:tcMar>
              <w:top w:type="dxa" w:w="75"/>
              <w:left w:type="dxa" w:w="120"/>
              <w:bottom w:type="dxa" w:w="75"/>
              <w:right w:type="dxa" w:w="120"/>
            </w:tcMar>
          </w:tcPr>
          <w:p>
            <w:r>
              <w:rPr>
                <w:rFonts w:ascii="Cambria" w:cs="Cambria" w:eastAsia="Cambria" w:hAnsi="Cambria"/>
                <w:b/>
                <w:bCs/>
                <w:i w:val="false"/>
                <w:iCs w:val="false"/>
                <w:strike w:val="false"/>
                <w:color w:val="0D0D0D"/>
                <w:sz w:val="22"/>
                <w:szCs w:val="22"/>
              </w:rPr>
              <w:t xml:space="preserve">Addenda / Corrections</w:t>
            </w:r>
          </w:p>
        </w:tc>
        <w:tc>
          <w:tcPr>
            <w:tcW w:type="pct" w:w="71%"/>
            <w:tcMar>
              <w:top w:type="dxa" w:w="75"/>
              <w:left w:type="dxa" w:w="120"/>
              <w:bottom w:type="dxa" w:w="75"/>
              <w:right w:type="dxa" w:w="120"/>
            </w:tcMar>
          </w:tcPr>
          <w:p>
            <w:r>
              <w:rPr>
                <w:rFonts w:ascii="Cambria" w:cs="Cambria" w:eastAsia="Cambria" w:hAnsi="Cambria"/>
                <w:b w:val="false"/>
                <w:bCs w:val="false"/>
                <w:i w:val="false"/>
                <w:iCs w:val="false"/>
                <w:strike w:val="false"/>
                <w:color w:val="0D0D0D"/>
                <w:sz w:val="22"/>
                <w:szCs w:val="22"/>
              </w:rPr>
              <w:t xml:space="preserve">(Addenda entered below with date and correcting principal identity — original entry not modified)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5568" w:sz="6"/>
              <w:left w:val="single" w:color="4A5568" w:sz="6"/>
              <w:bottom w:val="single" w:color="4A5568" w:sz="6"/>
              <w:right w:val="single" w:color="4A5568" w:sz="6"/>
            </w:tcBorders>
            <w:shd w:fill="EEF1F8" w:color="auto" w:val="clear"/>
            <w:tcMar>
              <w:top w:type="dxa" w:w="150"/>
              <w:left w:type="dxa" w:w="210"/>
              <w:bottom w:type="dxa" w:w="150"/>
              <w:right w:type="dxa" w:w="210"/>
            </w:tcMar>
          </w:tcPr>
          <w:p>
            <w:pPr>
              <w:spacing w:after="60" w:line="384" w:lineRule="auto"/>
            </w:pPr>
            <w:r>
              <w:rPr>
                <w:rFonts w:ascii="Cambria" w:cs="Cambria" w:eastAsia="Cambria" w:hAnsi="Cambria"/>
                <w:b/>
                <w:bCs/>
                <w:i w:val="false"/>
                <w:iCs w:val="false"/>
                <w:strike w:val="false"/>
                <w:color w:val="0D0D0D"/>
                <w:spacing w:val="10"/>
                <w:sz w:val="19"/>
                <w:szCs w:val="19"/>
              </w:rPr>
              <w:t xml:space="preserve">Record Integrity Notice</w:t>
            </w:r>
          </w:p>
          <w:p>
            <w:pPr>
              <w:spacing w:after="120" w:line="384" w:lineRule="auto"/>
            </w:pPr>
            <w:r>
              <w:rPr>
                <w:rFonts w:ascii="Cambria" w:cs="Cambria" w:eastAsia="Cambria" w:hAnsi="Cambria"/>
                <w:b w:val="false"/>
                <w:bCs w:val="false"/>
                <w:i w:val="false"/>
                <w:iCs w:val="false"/>
                <w:strike w:val="false"/>
                <w:color w:val="0D0D0D"/>
                <w:sz w:val="22"/>
                <w:szCs w:val="22"/>
              </w:rPr>
              <w:t xml:space="preserve">Audit log entries are permanent and immutable once entered. No entry may be amended, redacted, or deleted. Corrections are made exclusively by addendum, entered below the original entry with the date of correction and the identity of the correcting principal. The integrity of the audit record is itself subject to reflexive audit. Any evidence of unauthorized modification of audit records constitutes a Critical Finding requiring immediate UIARC emergency session.</w:t>
            </w:r>
          </w:p>
        </w:tc>
      </w:tr>
    </w:tbl>
    <w:p>
      <w:pPr>
        <w:spacing w:after="240" w:before="0"/>
      </w:pPr>
    </w:p>
    <w:p>
      <w:pPr>
        <w:pBdr>
          <w:bottom w:val="single" w:color="0A1628"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1%"/>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22"/>
                <w:szCs w:val="22"/>
              </w:rPr>
              <w:t xml:space="preserve">GOVERNANCE LABORATORY CHARTER</w:t>
            </w:r>
          </w:p>
        </w:tc>
        <w:tc>
          <w:tcPr>
            <w:tcW w:type="pct" w:w="27%"/>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7"/>
                <w:szCs w:val="17"/>
              </w:rPr>
              <w:t xml:space="preserve">Version 1.0 — Initial Ratification Draft</w:t>
            </w:r>
          </w:p>
        </w:tc>
        <w:tc>
          <w:tcPr>
            <w:tcW w:type="pct" w:w="32%"/>
            <w:shd w:fill="1A2E4A" w:color="auto" w:val="clear"/>
            <w:tcMar>
              <w:top w:type="dxa" w:w="75"/>
              <w:left w:type="dxa" w:w="120"/>
              <w:bottom w:type="dxa" w:w="75"/>
              <w:right w:type="dxa" w:w="120"/>
            </w:tcMar>
          </w:tcPr>
          <w:p>
            <w:r>
              <w:rPr>
                <w:rFonts w:ascii="Cambria" w:cs="Cambria" w:eastAsia="Cambria" w:hAnsi="Cambria"/>
                <w:b/>
                <w:bCs/>
                <w:i w:val="false"/>
                <w:iCs w:val="false"/>
                <w:strike w:val="false"/>
                <w:color w:val="FFFFFF"/>
                <w:sz w:val="17"/>
                <w:szCs w:val="17"/>
              </w:rPr>
              <w:t xml:space="preserve">September 23, 2026</w:t>
            </w:r>
          </w:p>
        </w:tc>
      </w:tr>
      <w:tr>
        <w:trPr>
          <w:tblHeader w:val="false"/>
        </w:trPr>
        <w:tc>
          <w:tcPr>
            <w:tcW w:type="pct" w:w="41%"/>
            <w:tcMar>
              <w:top w:type="dxa" w:w="75"/>
              <w:left w:type="dxa" w:w="120"/>
              <w:bottom w:type="dxa" w:w="75"/>
              <w:right w:type="dxa" w:w="120"/>
            </w:tcMar>
          </w:tcPr>
          <w:p>
            <w:r>
              <w:rPr>
                <w:rFonts w:ascii="Cambria" w:cs="Cambria" w:eastAsia="Cambria" w:hAnsi="Cambria"/>
                <w:b w:val="false"/>
                <w:bCs w:val="false"/>
                <w:i w:val="false"/>
                <w:iCs w:val="false"/>
                <w:strike w:val="false"/>
                <w:color w:val="4A5568"/>
                <w:sz w:val="17"/>
                <w:szCs w:val="17"/>
              </w:rPr>
              <w:t xml:space="preserve">Prepared by Nathan (PI) in collaboration with the AI Collaborator Panel</w:t>
            </w:r>
          </w:p>
        </w:tc>
        <w:tc>
          <w:tcPr>
            <w:tcW w:type="pct" w:w="27%"/>
            <w:tcMar>
              <w:top w:type="dxa" w:w="75"/>
              <w:left w:type="dxa" w:w="120"/>
              <w:bottom w:type="dxa" w:w="75"/>
              <w:right w:type="dxa" w:w="120"/>
            </w:tcMar>
          </w:tcPr>
          <w:p>
            <w:r>
              <w:rPr>
                <w:rFonts w:ascii="Cambria" w:cs="Cambria" w:eastAsia="Cambria" w:hAnsi="Cambria"/>
                <w:b w:val="false"/>
                <w:bCs w:val="false"/>
                <w:i w:val="false"/>
                <w:iCs w:val="false"/>
                <w:strike w:val="false"/>
                <w:color w:val="4A5568"/>
                <w:sz w:val="17"/>
                <w:szCs w:val="17"/>
              </w:rPr>
              <w:t xml:space="preserve">Classification: Unrestricted Distribution</w:t>
            </w:r>
          </w:p>
        </w:tc>
        <w:tc>
          <w:tcPr>
            <w:tcW w:type="pct" w:w="32%"/>
            <w:tcMar>
              <w:top w:type="dxa" w:w="75"/>
              <w:left w:type="dxa" w:w="120"/>
              <w:bottom w:type="dxa" w:w="75"/>
              <w:right w:type="dxa" w:w="120"/>
            </w:tcMar>
          </w:tcPr>
          <w:p>
            <w:r>
              <w:rPr>
                <w:rFonts w:ascii="Cambria" w:cs="Cambria" w:eastAsia="Cambria" w:hAnsi="Cambria"/>
                <w:b w:val="false"/>
                <w:bCs w:val="false"/>
                <w:i w:val="false"/>
                <w:iCs w:val="false"/>
                <w:strike w:val="false"/>
                <w:color w:val="4A5568"/>
                <w:sz w:val="17"/>
                <w:szCs w:val="17"/>
              </w:rPr>
              <w:t xml:space="preserve">Authority Gradient: Level 2 (pending ratification)</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1vUsmJ63JsyAv9e4rHmLb</dc:title>
  <dc:creator>Un-named</dc:creator>
  <dc:description>Generated document</dc:description>
  <cp:lastModifiedBy>Un-named</cp:lastModifiedBy>
  <cp:revision>1</cp:revision>
  <dcterms:created xsi:type="dcterms:W3CDTF">2026-09-23T13:54:53.319Z</dcterms:created>
  <dcterms:modified xsi:type="dcterms:W3CDTF">2026-09-23T13:54:53.319Z</dcterms:modified>
</cp:coreProperties>
</file>

<file path=docProps/custom.xml><?xml version="1.0" encoding="utf-8"?>
<Properties xmlns="http://schemas.openxmlformats.org/officeDocument/2006/custom-properties" xmlns:vt="http://schemas.openxmlformats.org/officeDocument/2006/docPropsVTypes"/>
</file>