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eastAsia="Arial"/>
          <w:b/>
          <w:i w:val="0"/>
          <w:color w:val="1B2A4A"/>
          <w:sz w:val="36"/>
        </w:rPr>
        <w:t>GOVERNANCE AUTHORITY LABORATORY</w:t>
      </w:r>
    </w:p>
    <w:p>
      <w:pPr>
        <w:spacing w:after="80"/>
      </w:pPr>
      <w:r>
        <w:rPr>
          <w:rFonts w:ascii="Arial" w:hAnsi="Arial" w:eastAsia="Arial"/>
          <w:b/>
          <w:i w:val="0"/>
          <w:color w:val="8B6914"/>
          <w:sz w:val="26"/>
        </w:rPr>
        <w:t>Laboratory A Charter — Charter Reflexivity Laboratory</w:t>
      </w:r>
    </w:p>
    <w:p>
      <w:pPr>
        <w:spacing w:after="200"/>
      </w:pPr>
      <w:r>
        <w:rPr>
          <w:rFonts w:ascii="Arial" w:hAnsi="Arial" w:eastAsia="Arial"/>
          <w:b w:val="0"/>
          <w:i/>
          <w:color w:val="555555"/>
          <w:sz w:val="20"/>
        </w:rPr>
        <w:t>Independent founding instrument. Not a unification. Not jurisdiction outside OAL-owned objects.</w:t>
      </w:r>
    </w:p>
    <w:tbl>
      <w:tblPr>
        <w:tblW w:type="auto" w:w="0"/>
        <w:jc w:val="center"/>
        <w:tblLayout w:type="fixed"/>
        <w:tblLook w:firstColumn="1" w:firstRow="1" w:lastColumn="0" w:lastRow="0" w:noHBand="0" w:noVBand="1" w:val="04A0"/>
      </w:tblPr>
      <w:tblGrid>
        <w:gridCol w:w="4680"/>
        <w:gridCol w:w="4680"/>
      </w:tblGrid>
      <w:tr>
        <w:tc>
          <w:tcPr>
            <w:tcW w:type="dxa" w:w="3024"/>
            <w:shd w:fill="1B2A4A" w:val="clear"/>
            <w:tcMar>
              <w:top w:w="40" w:type="dxa"/>
              <w:left w:w="60" w:type="dxa"/>
              <w:bottom w:w="40" w:type="dxa"/>
              <w:right w:w="60" w:type="dxa"/>
            </w:tcMar>
          </w:tcPr>
          <w:p>
            <w:pPr>
              <w:spacing w:after="0" w:before="0"/>
            </w:pPr>
            <w:r/>
            <w:r>
              <w:rPr>
                <w:rFonts w:ascii="Arial" w:hAnsi="Arial" w:eastAsia="Arial"/>
                <w:b/>
                <w:i w:val="0"/>
                <w:color w:val="FFFFFF"/>
                <w:sz w:val="18"/>
              </w:rPr>
              <w:t>Field</w:t>
            </w:r>
          </w:p>
        </w:tc>
        <w:tc>
          <w:tcPr>
            <w:tcW w:type="dxa" w:w="6336"/>
            <w:shd w:fill="1B2A4A" w:val="clear"/>
            <w:tcMar>
              <w:top w:w="40" w:type="dxa"/>
              <w:left w:w="60" w:type="dxa"/>
              <w:bottom w:w="40" w:type="dxa"/>
              <w:right w:w="60" w:type="dxa"/>
            </w:tcMar>
          </w:tcPr>
          <w:p>
            <w:pPr>
              <w:spacing w:after="0" w:before="0"/>
            </w:pPr>
            <w:r/>
            <w:r>
              <w:rPr>
                <w:rFonts w:ascii="Arial" w:hAnsi="Arial" w:eastAsia="Arial"/>
                <w:b/>
                <w:i w:val="0"/>
                <w:color w:val="FFFFFF"/>
                <w:sz w:val="18"/>
              </w:rPr>
              <w:t>Value</w:t>
            </w:r>
          </w:p>
        </w:tc>
      </w:tr>
      <w:tr>
        <w:tc>
          <w:tcPr>
            <w:tcW w:type="dxa" w:w="3024"/>
            <w:shd w:fill="F4F0E6" w:val="clear"/>
            <w:tcMar>
              <w:top w:w="40" w:type="dxa"/>
              <w:left w:w="60" w:type="dxa"/>
              <w:bottom w:w="40" w:type="dxa"/>
              <w:right w:w="60" w:type="dxa"/>
            </w:tcMar>
          </w:tcPr>
          <w:p>
            <w:pPr>
              <w:spacing w:after="0" w:before="0"/>
            </w:pPr>
            <w:r/>
            <w:r>
              <w:rPr>
                <w:rFonts w:ascii="Arial" w:hAnsi="Arial" w:eastAsia="Arial"/>
                <w:b/>
                <w:i w:val="0"/>
                <w:color w:val="333333"/>
                <w:sz w:val="18"/>
              </w:rPr>
              <w:t>Document ID</w:t>
            </w:r>
          </w:p>
        </w:tc>
        <w:tc>
          <w:tcPr>
            <w:tcW w:type="dxa" w:w="63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OAL-GAL-A-2026.09.23-v1.0</w:t>
            </w:r>
          </w:p>
        </w:tc>
      </w:tr>
      <w:tr>
        <w:tc>
          <w:tcPr>
            <w:tcW w:type="dxa" w:w="3024"/>
            <w:shd w:fill="FFFFFF" w:val="clear"/>
            <w:tcMar>
              <w:top w:w="40" w:type="dxa"/>
              <w:left w:w="60" w:type="dxa"/>
              <w:bottom w:w="40" w:type="dxa"/>
              <w:right w:w="60" w:type="dxa"/>
            </w:tcMar>
          </w:tcPr>
          <w:p>
            <w:pPr>
              <w:spacing w:after="0" w:before="0"/>
            </w:pPr>
            <w:r/>
            <w:r>
              <w:rPr>
                <w:rFonts w:ascii="Arial" w:hAnsi="Arial" w:eastAsia="Arial"/>
                <w:b/>
                <w:i w:val="0"/>
                <w:color w:val="333333"/>
                <w:sz w:val="18"/>
              </w:rPr>
              <w:t>Title</w:t>
            </w:r>
          </w:p>
        </w:tc>
        <w:tc>
          <w:tcPr>
            <w:tcW w:type="dxa" w:w="63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Governance Authority Laboratory — Laboratory A Charter</w:t>
            </w:r>
          </w:p>
        </w:tc>
      </w:tr>
      <w:tr>
        <w:tc>
          <w:tcPr>
            <w:tcW w:type="dxa" w:w="3024"/>
            <w:shd w:fill="F4F0E6" w:val="clear"/>
            <w:tcMar>
              <w:top w:w="40" w:type="dxa"/>
              <w:left w:w="60" w:type="dxa"/>
              <w:bottom w:w="40" w:type="dxa"/>
              <w:right w:w="60" w:type="dxa"/>
            </w:tcMar>
          </w:tcPr>
          <w:p>
            <w:pPr>
              <w:spacing w:after="0" w:before="0"/>
            </w:pPr>
            <w:r/>
            <w:r>
              <w:rPr>
                <w:rFonts w:ascii="Arial" w:hAnsi="Arial" w:eastAsia="Arial"/>
                <w:b/>
                <w:i w:val="0"/>
                <w:color w:val="333333"/>
                <w:sz w:val="18"/>
              </w:rPr>
              <w:t>Version name</w:t>
            </w:r>
          </w:p>
        </w:tc>
        <w:tc>
          <w:tcPr>
            <w:tcW w:type="dxa" w:w="63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Charter Reflexivity Laboratory</w:t>
            </w:r>
          </w:p>
        </w:tc>
      </w:tr>
      <w:tr>
        <w:tc>
          <w:tcPr>
            <w:tcW w:type="dxa" w:w="3024"/>
            <w:shd w:fill="FFFFFF" w:val="clear"/>
            <w:tcMar>
              <w:top w:w="40" w:type="dxa"/>
              <w:left w:w="60" w:type="dxa"/>
              <w:bottom w:w="40" w:type="dxa"/>
              <w:right w:w="60" w:type="dxa"/>
            </w:tcMar>
          </w:tcPr>
          <w:p>
            <w:pPr>
              <w:spacing w:after="0" w:before="0"/>
            </w:pPr>
            <w:r/>
            <w:r>
              <w:rPr>
                <w:rFonts w:ascii="Arial" w:hAnsi="Arial" w:eastAsia="Arial"/>
                <w:b/>
                <w:i w:val="0"/>
                <w:color w:val="333333"/>
                <w:sz w:val="18"/>
              </w:rPr>
              <w:t>Date</w:t>
            </w:r>
          </w:p>
        </w:tc>
        <w:tc>
          <w:tcPr>
            <w:tcW w:type="dxa" w:w="63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23 September 2026</w:t>
            </w:r>
          </w:p>
        </w:tc>
      </w:tr>
      <w:tr>
        <w:tc>
          <w:tcPr>
            <w:tcW w:type="dxa" w:w="3024"/>
            <w:shd w:fill="F4F0E6" w:val="clear"/>
            <w:tcMar>
              <w:top w:w="40" w:type="dxa"/>
              <w:left w:w="60" w:type="dxa"/>
              <w:bottom w:w="40" w:type="dxa"/>
              <w:right w:w="60" w:type="dxa"/>
            </w:tcMar>
          </w:tcPr>
          <w:p>
            <w:pPr>
              <w:spacing w:after="0" w:before="0"/>
            </w:pPr>
            <w:r/>
            <w:r>
              <w:rPr>
                <w:rFonts w:ascii="Arial" w:hAnsi="Arial" w:eastAsia="Arial"/>
                <w:b/>
                <w:i w:val="0"/>
                <w:color w:val="333333"/>
                <w:sz w:val="18"/>
              </w:rPr>
              <w:t>Status</w:t>
            </w:r>
          </w:p>
        </w:tc>
        <w:tc>
          <w:tcPr>
            <w:tcW w:type="dxa" w:w="63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REPORTED — not canon, not policy, not external jurisdiction</w:t>
            </w:r>
          </w:p>
        </w:tc>
      </w:tr>
      <w:tr>
        <w:tc>
          <w:tcPr>
            <w:tcW w:type="dxa" w:w="3024"/>
            <w:shd w:fill="FFFFFF" w:val="clear"/>
            <w:tcMar>
              <w:top w:w="40" w:type="dxa"/>
              <w:left w:w="60" w:type="dxa"/>
              <w:bottom w:w="40" w:type="dxa"/>
              <w:right w:w="60" w:type="dxa"/>
            </w:tcMar>
          </w:tcPr>
          <w:p>
            <w:pPr>
              <w:spacing w:after="0" w:before="0"/>
            </w:pPr>
            <w:r/>
            <w:r>
              <w:rPr>
                <w:rFonts w:ascii="Arial" w:hAnsi="Arial" w:eastAsia="Arial"/>
                <w:b/>
                <w:i w:val="0"/>
                <w:color w:val="333333"/>
                <w:sz w:val="18"/>
              </w:rPr>
              <w:t>Requested by</w:t>
            </w:r>
          </w:p>
        </w:tc>
        <w:tc>
          <w:tcPr>
            <w:tcW w:type="dxa" w:w="63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Architect Nathan Lewis II</w:t>
            </w:r>
          </w:p>
        </w:tc>
      </w:tr>
      <w:tr>
        <w:tc>
          <w:tcPr>
            <w:tcW w:type="dxa" w:w="3024"/>
            <w:shd w:fill="F4F0E6" w:val="clear"/>
            <w:tcMar>
              <w:top w:w="40" w:type="dxa"/>
              <w:left w:w="60" w:type="dxa"/>
              <w:bottom w:w="40" w:type="dxa"/>
              <w:right w:w="60" w:type="dxa"/>
            </w:tcMar>
          </w:tcPr>
          <w:p>
            <w:pPr>
              <w:spacing w:after="0" w:before="0"/>
            </w:pPr>
            <w:r/>
            <w:r>
              <w:rPr>
                <w:rFonts w:ascii="Arial" w:hAnsi="Arial" w:eastAsia="Arial"/>
                <w:b/>
                <w:i w:val="0"/>
                <w:color w:val="333333"/>
                <w:sz w:val="18"/>
              </w:rPr>
              <w:t>Preparer</w:t>
            </w:r>
          </w:p>
        </w:tc>
        <w:tc>
          <w:tcPr>
            <w:tcW w:type="dxa" w:w="63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Grok 4.6 (xAI) — independent version</w:t>
            </w:r>
          </w:p>
        </w:tc>
      </w:tr>
      <w:tr>
        <w:tc>
          <w:tcPr>
            <w:tcW w:type="dxa" w:w="3024"/>
            <w:shd w:fill="FFFFFF" w:val="clear"/>
            <w:tcMar>
              <w:top w:w="40" w:type="dxa"/>
              <w:left w:w="60" w:type="dxa"/>
              <w:bottom w:w="40" w:type="dxa"/>
              <w:right w:w="60" w:type="dxa"/>
            </w:tcMar>
          </w:tcPr>
          <w:p>
            <w:pPr>
              <w:spacing w:after="0" w:before="0"/>
            </w:pPr>
            <w:r/>
            <w:r>
              <w:rPr>
                <w:rFonts w:ascii="Arial" w:hAnsi="Arial" w:eastAsia="Arial"/>
                <w:b/>
                <w:i w:val="0"/>
                <w:color w:val="333333"/>
                <w:sz w:val="18"/>
              </w:rPr>
              <w:t>Intended archive</w:t>
            </w:r>
          </w:p>
        </w:tc>
        <w:tc>
          <w:tcPr>
            <w:tcW w:type="dxa" w:w="63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OMNIVERSAL ARCHITECT LABS / OAL AI UNIFIED (GitHub)</w:t>
            </w:r>
          </w:p>
        </w:tc>
      </w:tr>
      <w:tr>
        <w:tc>
          <w:tcPr>
            <w:tcW w:type="dxa" w:w="3024"/>
            <w:shd w:fill="F4F0E6" w:val="clear"/>
            <w:tcMar>
              <w:top w:w="40" w:type="dxa"/>
              <w:left w:w="60" w:type="dxa"/>
              <w:bottom w:w="40" w:type="dxa"/>
              <w:right w:w="60" w:type="dxa"/>
            </w:tcMar>
          </w:tcPr>
          <w:p>
            <w:pPr>
              <w:spacing w:after="0" w:before="0"/>
            </w:pPr>
            <w:r/>
            <w:r>
              <w:rPr>
                <w:rFonts w:ascii="Arial" w:hAnsi="Arial" w:eastAsia="Arial"/>
                <w:b/>
                <w:i w:val="0"/>
                <w:color w:val="333333"/>
                <w:sz w:val="18"/>
              </w:rPr>
              <w:t>Companions</w:t>
            </w:r>
          </w:p>
        </w:tc>
        <w:tc>
          <w:tcPr>
            <w:tcW w:type="dxa" w:w="63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GAL analyses 22 Sep 2026; Truthspeaker bundle 16–22 Sep 2026; UIARC Perplexity draft 23 Aug 2026 (PRELIMINARY, not ratified)</w:t>
            </w:r>
          </w:p>
        </w:tc>
      </w:tr>
      <w:tr>
        <w:tc>
          <w:tcPr>
            <w:tcW w:type="dxa" w:w="3024"/>
            <w:shd w:fill="FFFFFF" w:val="clear"/>
            <w:tcMar>
              <w:top w:w="40" w:type="dxa"/>
              <w:left w:w="60" w:type="dxa"/>
              <w:bottom w:w="40" w:type="dxa"/>
              <w:right w:w="60" w:type="dxa"/>
            </w:tcMar>
          </w:tcPr>
          <w:p>
            <w:pPr>
              <w:spacing w:after="0" w:before="0"/>
            </w:pPr>
            <w:r/>
            <w:r>
              <w:rPr>
                <w:rFonts w:ascii="Arial" w:hAnsi="Arial" w:eastAsia="Arial"/>
                <w:b/>
                <w:i w:val="0"/>
                <w:color w:val="333333"/>
                <w:sz w:val="18"/>
              </w:rPr>
              <w:t>Ratification path</w:t>
            </w:r>
          </w:p>
        </w:tc>
        <w:tc>
          <w:tcPr>
            <w:tcW w:type="dxa" w:w="63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ONESTAMP. Nothing here binds until the Architect ratifies, amends, or rejects it.</w:t>
            </w:r>
          </w:p>
        </w:tc>
      </w:tr>
    </w:tbl>
    <w:p>
      <w:pPr>
        <w:spacing w:after="120"/>
      </w:pPr>
    </w:p>
    <w:p>
      <w:pPr>
        <w:spacing w:after="160" w:before="0" w:line="276" w:lineRule="auto"/>
        <w:jc w:val="both"/>
      </w:pPr>
      <w:r>
        <w:rPr>
          <w:rFonts w:ascii="Arial" w:hAnsi="Arial" w:eastAsia="Arial"/>
          <w:b w:val="0"/>
          <w:i w:val="0"/>
          <w:color w:val="333333"/>
          <w:sz w:val="22"/>
        </w:rPr>
        <w:t>Preparer posture. This charter is Grok 4.6’s independent next-step instrument after reviewing the five GAL analyses (Claude, ChatGPT, Copilot, Perplexity, prior Grok), the subsequent comparative notes, the Information Collection bundle, and the Universal Information Admissibility and Review Charter (UIARC) Perplexity draft dated 23 August 2026. It is not a synthesis that erases disagreement. It does not ratify UIARC. It does not treat “Are you allowed to review governance and authority structures? Yes.” as standing outside OAL-owned artifacts. Dissent against this file should be logged the same way dissent against that sentence should be logged.</w:t>
      </w:r>
    </w:p>
    <w:p>
      <w:pPr>
        <w:spacing w:before="320" w:after="120"/>
      </w:pPr>
      <w:r>
        <w:rPr>
          <w:rFonts w:ascii="Arial" w:hAnsi="Arial" w:eastAsia="Arial"/>
          <w:b/>
          <w:i w:val="0"/>
          <w:color w:val="1B2A4A"/>
          <w:sz w:val="28"/>
        </w:rPr>
        <w:t>1. Why a charter, and why this one</w:t>
      </w:r>
    </w:p>
    <w:p>
      <w:pPr>
        <w:spacing w:after="160" w:before="0" w:line="276" w:lineRule="auto"/>
        <w:jc w:val="both"/>
      </w:pPr>
      <w:r>
        <w:rPr>
          <w:rFonts w:ascii="Arial" w:hAnsi="Arial" w:eastAsia="Arial"/>
          <w:b w:val="0"/>
          <w:i w:val="0"/>
          <w:color w:val="333333"/>
          <w:sz w:val="22"/>
        </w:rPr>
        <w:t>Across the 22 September analyses the shared next step was not another taxonomy. It was a charter that can fail. ChatGPT, Copilot, Perplexity, Claude, and the prior Grok standing analysis all said some version of the same thing: stop expanding theory; write what the laboratory may touch, what it may not, who can take the grant away, and what the first experiment is.</w:t>
      </w:r>
    </w:p>
    <w:p>
      <w:pPr>
        <w:spacing w:after="160" w:before="0" w:line="276" w:lineRule="auto"/>
        <w:jc w:val="both"/>
      </w:pPr>
      <w:r>
        <w:rPr>
          <w:rFonts w:ascii="Arial" w:hAnsi="Arial" w:eastAsia="Arial"/>
          <w:b w:val="0"/>
          <w:i w:val="0"/>
          <w:color w:val="333333"/>
          <w:sz w:val="22"/>
        </w:rPr>
        <w:t>This document is that instrument for Laboratory A only. Laboratory B (comparative modeling of replicas, fiction, invited systems) and Laboratory C (contested external review) are named so they cannot quietly grow inside A. They are not chartered here.</w:t>
      </w:r>
    </w:p>
    <w:p>
      <w:pPr>
        <w:spacing w:after="160" w:before="0" w:line="276" w:lineRule="auto"/>
        <w:jc w:val="both"/>
      </w:pPr>
      <w:r>
        <w:rPr>
          <w:rFonts w:ascii="Arial" w:hAnsi="Arial" w:eastAsia="Arial"/>
          <w:b w:val="0"/>
          <w:i w:val="0"/>
          <w:color w:val="333333"/>
          <w:sz w:val="22"/>
        </w:rPr>
        <w:t>Perplexity produced the longest action list. Those items are not discarded and they are not executed as a project plan this week. They are sequenced in Annex B as parked, near-term, or blocked. A charter that swallows forty actions is not a charter. It is another analysis wearing a founding label.</w:t>
      </w:r>
    </w:p>
    <w:p>
      <w:pPr>
        <w:spacing w:before="320" w:after="120"/>
      </w:pPr>
      <w:r>
        <w:rPr>
          <w:rFonts w:ascii="Arial" w:hAnsi="Arial" w:eastAsia="Arial"/>
          <w:b/>
          <w:i w:val="0"/>
          <w:color w:val="1B2A4A"/>
          <w:sz w:val="28"/>
        </w:rPr>
        <w:t>2. What this instrument is and is not</w:t>
      </w:r>
    </w:p>
    <w:p>
      <w:pPr>
        <w:spacing w:after="160" w:before="0" w:line="276" w:lineRule="auto"/>
        <w:jc w:val="both"/>
      </w:pPr>
      <w:r>
        <w:rPr>
          <w:rFonts w:ascii="Arial" w:hAnsi="Arial" w:eastAsia="Arial"/>
          <w:b w:val="0"/>
          <w:i w:val="0"/>
          <w:color w:val="333333"/>
          <w:sz w:val="22"/>
        </w:rPr>
        <w:t>This is a proposed internal research charter for OAL, ONE INDUSTRIES, and LEWIS CORP artifacts that the Architect already owns or has placed in the house record. It authorizes notice, description, evaluation against a target’s own declared rules, advice to the Architect, and preservation of dissent. It does not authorize entry into a system that did not appoint OAL. It does not authorize ranking civilizations. It does not authorize intervention.</w:t>
      </w:r>
    </w:p>
    <w:p>
      <w:pPr>
        <w:spacing w:after="160" w:before="0" w:line="276" w:lineRule="auto"/>
        <w:jc w:val="both"/>
      </w:pPr>
      <w:r>
        <w:rPr>
          <w:rFonts w:ascii="Arial" w:hAnsi="Arial" w:eastAsia="Arial"/>
          <w:b w:val="0"/>
          <w:i w:val="0"/>
          <w:color w:val="333333"/>
          <w:sz w:val="22"/>
        </w:rPr>
        <w:t>Publication under “OAL AI UNIFIED” does not unify the five analyses and does not promote this file. Filename, front matter, and any README must keep the word REPORTED visible. A later reader who treats this PDF as a court should be able to see, without opening every annex, that it is not one.</w:t>
      </w:r>
    </w:p>
    <w:p>
      <w:pPr>
        <w:spacing w:before="320" w:after="120"/>
      </w:pPr>
      <w:r>
        <w:rPr>
          <w:rFonts w:ascii="Arial" w:hAnsi="Arial" w:eastAsia="Arial"/>
          <w:b/>
          <w:i w:val="0"/>
          <w:color w:val="1B2A4A"/>
          <w:sz w:val="28"/>
        </w:rPr>
        <w:t>3. Founding non-claims (load-bearing)</w:t>
      </w:r>
    </w:p>
    <w:p>
      <w:pPr>
        <w:spacing w:after="160" w:before="0" w:line="276" w:lineRule="auto"/>
        <w:jc w:val="both"/>
      </w:pPr>
      <w:r>
        <w:rPr>
          <w:rFonts w:ascii="Arial" w:hAnsi="Arial" w:eastAsia="Arial"/>
          <w:b w:val="0"/>
          <w:i w:val="0"/>
          <w:color w:val="333333"/>
          <w:sz w:val="22"/>
        </w:rPr>
        <w:t>The originating disclaimer is kept nearly verbatim. It is not throat-clearing.</w:t>
      </w:r>
    </w:p>
    <w:p>
      <w:pPr>
        <w:pStyle w:val="ListBullet"/>
        <w:spacing w:after="60" w:line="269" w:lineRule="auto"/>
      </w:pPr>
      <w:r>
        <w:rPr>
          <w:rFonts w:ascii="Arial" w:hAnsi="Arial" w:eastAsia="Arial"/>
          <w:b w:val="0"/>
          <w:i w:val="0"/>
          <w:color w:val="333333"/>
          <w:sz w:val="22"/>
        </w:rPr>
        <w:t>Human governance is not the primary reference frame for this laboratory.</w:t>
      </w:r>
    </w:p>
    <w:p>
      <w:pPr>
        <w:pStyle w:val="ListBullet"/>
        <w:spacing w:after="60" w:line="269" w:lineRule="auto"/>
      </w:pPr>
      <w:r>
        <w:rPr>
          <w:rFonts w:ascii="Arial" w:hAnsi="Arial" w:eastAsia="Arial"/>
          <w:b w:val="0"/>
          <w:i w:val="0"/>
          <w:color w:val="333333"/>
          <w:sz w:val="22"/>
        </w:rPr>
        <w:t>No claim is made that human governance is universal, normatively positive, effective, prevalent, successful, reliable, or proven superior to other systems.</w:t>
      </w:r>
    </w:p>
    <w:p>
      <w:pPr>
        <w:pStyle w:val="ListBullet"/>
        <w:spacing w:after="60" w:line="269" w:lineRule="auto"/>
      </w:pPr>
      <w:r>
        <w:rPr>
          <w:rFonts w:ascii="Arial" w:hAnsi="Arial" w:eastAsia="Arial"/>
          <w:b w:val="0"/>
          <w:i w:val="0"/>
          <w:color w:val="333333"/>
          <w:sz w:val="22"/>
        </w:rPr>
        <w:t>The laboratory is designed to study governance and authority structures while transitioning away from human government as the default ontology.</w:t>
      </w:r>
    </w:p>
    <w:p>
      <w:pPr>
        <w:pStyle w:val="ListBullet"/>
        <w:spacing w:after="60" w:line="269" w:lineRule="auto"/>
      </w:pPr>
      <w:r>
        <w:rPr>
          <w:rFonts w:ascii="Arial" w:hAnsi="Arial" w:eastAsia="Arial"/>
          <w:b w:val="0"/>
          <w:i w:val="0"/>
          <w:color w:val="333333"/>
          <w:sz w:val="22"/>
        </w:rPr>
        <w:t>The existence of an authority structure does not imply legitimacy; legitimacy does not imply enforcement capacity; enforcement capacity does not establish correctness.</w:t>
      </w:r>
    </w:p>
    <w:p>
      <w:pPr>
        <w:pStyle w:val="ListBullet"/>
        <w:spacing w:after="60" w:line="269" w:lineRule="auto"/>
      </w:pPr>
      <w:r>
        <w:rPr>
          <w:rFonts w:ascii="Arial" w:hAnsi="Arial" w:eastAsia="Arial"/>
          <w:b w:val="0"/>
          <w:i w:val="0"/>
          <w:color w:val="333333"/>
          <w:sz w:val="22"/>
        </w:rPr>
        <w:t>The ability to observe a system does not create jurisdiction over that system.</w:t>
      </w:r>
    </w:p>
    <w:p>
      <w:pPr>
        <w:pStyle w:val="ListBullet"/>
        <w:spacing w:after="60" w:line="269" w:lineRule="auto"/>
      </w:pPr>
      <w:r>
        <w:rPr>
          <w:rFonts w:ascii="Arial" w:hAnsi="Arial" w:eastAsia="Arial"/>
          <w:b w:val="0"/>
          <w:i w:val="0"/>
          <w:color w:val="333333"/>
          <w:sz w:val="22"/>
        </w:rPr>
        <w:t>The ability to diagnose a failure does not authorize intervention.</w:t>
      </w:r>
    </w:p>
    <w:p>
      <w:pPr>
        <w:pStyle w:val="ListBullet"/>
        <w:spacing w:after="60" w:line="269" w:lineRule="auto"/>
      </w:pPr>
      <w:r>
        <w:rPr>
          <w:rFonts w:ascii="Arial" w:hAnsi="Arial" w:eastAsia="Arial"/>
          <w:b w:val="0"/>
          <w:i w:val="0"/>
          <w:color w:val="333333"/>
          <w:sz w:val="22"/>
        </w:rPr>
        <w:t>Civilization-scale consequence does not automatically transfer sovereignty to a reviewer.</w:t>
      </w:r>
    </w:p>
    <w:p>
      <w:pPr>
        <w:spacing w:after="160" w:before="0" w:line="276" w:lineRule="auto"/>
        <w:jc w:val="both"/>
      </w:pPr>
      <w:r>
        <w:rPr>
          <w:rFonts w:ascii="Arial" w:hAnsi="Arial" w:eastAsia="Arial"/>
          <w:b w:val="0"/>
          <w:i w:val="0"/>
          <w:color w:val="333333"/>
          <w:sz w:val="22"/>
        </w:rPr>
        <w:t>Added, because Perplexity and Claude are right that “no reference frame” is a false claim:</w:t>
      </w:r>
    </w:p>
    <w:p>
      <w:pPr>
        <w:pStyle w:val="ListBullet"/>
        <w:spacing w:after="60" w:line="269" w:lineRule="auto"/>
      </w:pPr>
      <w:r>
        <w:rPr>
          <w:rFonts w:ascii="Arial" w:hAnsi="Arial" w:eastAsia="Arial"/>
          <w:b w:val="0"/>
          <w:i w:val="0"/>
          <w:color w:val="333333"/>
          <w:sz w:val="22"/>
        </w:rPr>
        <w:t>The laboratory does not claim to be reference-frame-free. Human-derived words (standing, jurisdiction, legitimacy, review, threshold) are working vocabulary, not universal ontology. Every classification is made through an explicit, reviewable frame.</w:t>
      </w:r>
    </w:p>
    <w:p>
      <w:pPr>
        <w:spacing w:after="160" w:before="0" w:line="276" w:lineRule="auto"/>
        <w:jc w:val="both"/>
      </w:pPr>
      <w:r>
        <w:rPr>
          <w:rFonts w:ascii="Arial" w:hAnsi="Arial" w:eastAsia="Arial"/>
          <w:b w:val="0"/>
          <w:i w:val="0"/>
          <w:color w:val="333333"/>
          <w:sz w:val="22"/>
        </w:rPr>
        <w:t>Working vocabulary / substrate-neutral pair (provisional):</w:t>
      </w:r>
    </w:p>
    <w:tbl>
      <w:tblPr>
        <w:tblW w:type="auto" w:w="0"/>
        <w:jc w:val="center"/>
        <w:tblLayout w:type="fixed"/>
        <w:tblLook w:firstColumn="1" w:firstRow="1" w:lastColumn="0" w:lastRow="0" w:noHBand="0" w:noVBand="1" w:val="04A0"/>
      </w:tblPr>
      <w:tblGrid>
        <w:gridCol w:w="4680"/>
        <w:gridCol w:w="4680"/>
      </w:tblGrid>
      <w:tr>
        <w:tc>
          <w:tcPr>
            <w:tcW w:type="dxa" w:w="3456"/>
            <w:shd w:fill="1B2A4A" w:val="clear"/>
            <w:tcMar>
              <w:top w:w="40" w:type="dxa"/>
              <w:left w:w="60" w:type="dxa"/>
              <w:bottom w:w="40" w:type="dxa"/>
              <w:right w:w="60" w:type="dxa"/>
            </w:tcMar>
          </w:tcPr>
          <w:p>
            <w:pPr>
              <w:spacing w:after="0" w:before="0"/>
            </w:pPr>
            <w:r/>
            <w:r>
              <w:rPr>
                <w:rFonts w:ascii="Arial" w:hAnsi="Arial" w:eastAsia="Arial"/>
                <w:b/>
                <w:i w:val="0"/>
                <w:color w:val="FFFFFF"/>
                <w:sz w:val="18"/>
              </w:rPr>
              <w:t>Working term (labeled)</w:t>
            </w:r>
          </w:p>
        </w:tc>
        <w:tc>
          <w:tcPr>
            <w:tcW w:type="dxa" w:w="5904"/>
            <w:shd w:fill="1B2A4A" w:val="clear"/>
            <w:tcMar>
              <w:top w:w="40" w:type="dxa"/>
              <w:left w:w="60" w:type="dxa"/>
              <w:bottom w:w="40" w:type="dxa"/>
              <w:right w:w="60" w:type="dxa"/>
            </w:tcMar>
          </w:tcPr>
          <w:p>
            <w:pPr>
              <w:spacing w:after="0" w:before="0"/>
            </w:pPr>
            <w:r/>
            <w:r>
              <w:rPr>
                <w:rFonts w:ascii="Arial" w:hAnsi="Arial" w:eastAsia="Arial"/>
                <w:b/>
                <w:i w:val="0"/>
                <w:color w:val="FFFFFF"/>
                <w:sz w:val="18"/>
              </w:rPr>
              <w:t>Substrate-neutral function</w:t>
            </w:r>
          </w:p>
        </w:tc>
      </w:tr>
      <w:tr>
        <w:tc>
          <w:tcPr>
            <w:tcW w:type="dxa" w:w="3456"/>
            <w:shd w:fill="F4F0E6" w:val="clear"/>
            <w:tcMar>
              <w:top w:w="40" w:type="dxa"/>
              <w:left w:w="60" w:type="dxa"/>
              <w:bottom w:w="40" w:type="dxa"/>
              <w:right w:w="60" w:type="dxa"/>
            </w:tcMar>
          </w:tcPr>
          <w:p>
            <w:pPr>
              <w:spacing w:after="0" w:before="0"/>
            </w:pPr>
            <w:r/>
            <w:r>
              <w:rPr>
                <w:rFonts w:ascii="Arial" w:hAnsi="Arial" w:eastAsia="Arial"/>
                <w:b/>
                <w:i w:val="0"/>
                <w:color w:val="333333"/>
                <w:sz w:val="18"/>
              </w:rPr>
              <w:t>Standing</w:t>
            </w:r>
          </w:p>
        </w:tc>
        <w:tc>
          <w:tcPr>
            <w:tcW w:type="dxa" w:w="590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Stated warrant to observe, name, or act on a bind</w:t>
            </w:r>
          </w:p>
        </w:tc>
      </w:tr>
      <w:tr>
        <w:tc>
          <w:tcPr>
            <w:tcW w:type="dxa" w:w="3456"/>
            <w:shd w:fill="FFFFFF" w:val="clear"/>
            <w:tcMar>
              <w:top w:w="40" w:type="dxa"/>
              <w:left w:w="60" w:type="dxa"/>
              <w:bottom w:w="40" w:type="dxa"/>
              <w:right w:w="60" w:type="dxa"/>
            </w:tcMar>
          </w:tcPr>
          <w:p>
            <w:pPr>
              <w:spacing w:after="0" w:before="0"/>
            </w:pPr>
            <w:r/>
            <w:r>
              <w:rPr>
                <w:rFonts w:ascii="Arial" w:hAnsi="Arial" w:eastAsia="Arial"/>
                <w:b/>
                <w:i w:val="0"/>
                <w:color w:val="333333"/>
                <w:sz w:val="18"/>
              </w:rPr>
              <w:t>Jurisdiction</w:t>
            </w:r>
          </w:p>
        </w:tc>
        <w:tc>
          <w:tcPr>
            <w:tcW w:type="dxa" w:w="590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Bounded scope in which a determination is treated as operative</w:t>
            </w:r>
          </w:p>
        </w:tc>
      </w:tr>
      <w:tr>
        <w:tc>
          <w:tcPr>
            <w:tcW w:type="dxa" w:w="3456"/>
            <w:shd w:fill="F4F0E6" w:val="clear"/>
            <w:tcMar>
              <w:top w:w="40" w:type="dxa"/>
              <w:left w:w="60" w:type="dxa"/>
              <w:bottom w:w="40" w:type="dxa"/>
              <w:right w:w="60" w:type="dxa"/>
            </w:tcMar>
          </w:tcPr>
          <w:p>
            <w:pPr>
              <w:spacing w:after="0" w:before="0"/>
            </w:pPr>
            <w:r/>
            <w:r>
              <w:rPr>
                <w:rFonts w:ascii="Arial" w:hAnsi="Arial" w:eastAsia="Arial"/>
                <w:b/>
                <w:i w:val="0"/>
                <w:color w:val="333333"/>
                <w:sz w:val="18"/>
              </w:rPr>
              <w:t>Authority</w:t>
            </w:r>
          </w:p>
        </w:tc>
        <w:tc>
          <w:tcPr>
            <w:tcW w:type="dxa" w:w="590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Bind-capacity: ability to attach cost, permission, sequence, or exclusion to another actor’s action</w:t>
            </w:r>
          </w:p>
        </w:tc>
      </w:tr>
      <w:tr>
        <w:tc>
          <w:tcPr>
            <w:tcW w:type="dxa" w:w="3456"/>
            <w:shd w:fill="FFFFFF" w:val="clear"/>
            <w:tcMar>
              <w:top w:w="40" w:type="dxa"/>
              <w:left w:w="60" w:type="dxa"/>
              <w:bottom w:w="40" w:type="dxa"/>
              <w:right w:w="60" w:type="dxa"/>
            </w:tcMar>
          </w:tcPr>
          <w:p>
            <w:pPr>
              <w:spacing w:after="0" w:before="0"/>
            </w:pPr>
            <w:r/>
            <w:r>
              <w:rPr>
                <w:rFonts w:ascii="Arial" w:hAnsi="Arial" w:eastAsia="Arial"/>
                <w:b/>
                <w:i w:val="0"/>
                <w:color w:val="333333"/>
                <w:sz w:val="18"/>
              </w:rPr>
              <w:t>Governance</w:t>
            </w:r>
          </w:p>
        </w:tc>
        <w:tc>
          <w:tcPr>
            <w:tcW w:type="dxa" w:w="590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Maintenance process of bind-capacity over time</w:t>
            </w:r>
          </w:p>
        </w:tc>
      </w:tr>
      <w:tr>
        <w:tc>
          <w:tcPr>
            <w:tcW w:type="dxa" w:w="3456"/>
            <w:shd w:fill="F4F0E6" w:val="clear"/>
            <w:tcMar>
              <w:top w:w="40" w:type="dxa"/>
              <w:left w:w="60" w:type="dxa"/>
              <w:bottom w:w="40" w:type="dxa"/>
              <w:right w:w="60" w:type="dxa"/>
            </w:tcMar>
          </w:tcPr>
          <w:p>
            <w:pPr>
              <w:spacing w:after="0" w:before="0"/>
            </w:pPr>
            <w:r/>
            <w:r>
              <w:rPr>
                <w:rFonts w:ascii="Arial" w:hAnsi="Arial" w:eastAsia="Arial"/>
                <w:b/>
                <w:i w:val="0"/>
                <w:color w:val="333333"/>
                <w:sz w:val="18"/>
              </w:rPr>
              <w:t>Review</w:t>
            </w:r>
          </w:p>
        </w:tc>
        <w:tc>
          <w:tcPr>
            <w:tcW w:type="dxa" w:w="590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Structured examination against an explicit standard that does not transfer decision rights</w:t>
            </w:r>
          </w:p>
        </w:tc>
      </w:tr>
      <w:tr>
        <w:tc>
          <w:tcPr>
            <w:tcW w:type="dxa" w:w="3456"/>
            <w:shd w:fill="FFFFFF" w:val="clear"/>
            <w:tcMar>
              <w:top w:w="40" w:type="dxa"/>
              <w:left w:w="60" w:type="dxa"/>
              <w:bottom w:w="40" w:type="dxa"/>
              <w:right w:w="60" w:type="dxa"/>
            </w:tcMar>
          </w:tcPr>
          <w:p>
            <w:pPr>
              <w:spacing w:after="0" w:before="0"/>
            </w:pPr>
            <w:r/>
            <w:r>
              <w:rPr>
                <w:rFonts w:ascii="Arial" w:hAnsi="Arial" w:eastAsia="Arial"/>
                <w:b/>
                <w:i w:val="0"/>
                <w:color w:val="333333"/>
                <w:sz w:val="18"/>
              </w:rPr>
              <w:t>Intervention</w:t>
            </w:r>
          </w:p>
        </w:tc>
        <w:tc>
          <w:tcPr>
            <w:tcW w:type="dxa" w:w="590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An act that changes, constrains, suspends, or replaces a target bind</w:t>
            </w:r>
          </w:p>
        </w:tc>
      </w:tr>
      <w:tr>
        <w:tc>
          <w:tcPr>
            <w:tcW w:type="dxa" w:w="3456"/>
            <w:shd w:fill="F4F0E6" w:val="clear"/>
            <w:tcMar>
              <w:top w:w="40" w:type="dxa"/>
              <w:left w:w="60" w:type="dxa"/>
              <w:bottom w:w="40" w:type="dxa"/>
              <w:right w:w="60" w:type="dxa"/>
            </w:tcMar>
          </w:tcPr>
          <w:p>
            <w:pPr>
              <w:spacing w:after="0" w:before="0"/>
            </w:pPr>
            <w:r/>
            <w:r>
              <w:rPr>
                <w:rFonts w:ascii="Arial" w:hAnsi="Arial" w:eastAsia="Arial"/>
                <w:b/>
                <w:i w:val="0"/>
                <w:color w:val="333333"/>
                <w:sz w:val="18"/>
              </w:rPr>
              <w:t>Legitimacy</w:t>
            </w:r>
          </w:p>
        </w:tc>
        <w:tc>
          <w:tcPr>
            <w:tcW w:type="dxa" w:w="590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System-relative warrant as regarded by relevant entities — not a universal primitive</w:t>
            </w:r>
          </w:p>
        </w:tc>
      </w:tr>
      <w:tr>
        <w:tc>
          <w:tcPr>
            <w:tcW w:type="dxa" w:w="3456"/>
            <w:shd w:fill="FFFFFF" w:val="clear"/>
            <w:tcMar>
              <w:top w:w="40" w:type="dxa"/>
              <w:left w:w="60" w:type="dxa"/>
              <w:bottom w:w="40" w:type="dxa"/>
              <w:right w:w="60" w:type="dxa"/>
            </w:tcMar>
          </w:tcPr>
          <w:p>
            <w:pPr>
              <w:spacing w:after="0" w:before="0"/>
            </w:pPr>
            <w:r/>
            <w:r>
              <w:rPr>
                <w:rFonts w:ascii="Arial" w:hAnsi="Arial" w:eastAsia="Arial"/>
                <w:b/>
                <w:i w:val="0"/>
                <w:color w:val="333333"/>
                <w:sz w:val="18"/>
              </w:rPr>
              <w:t>Civilization-scale</w:t>
            </w:r>
          </w:p>
        </w:tc>
        <w:tc>
          <w:tcPr>
            <w:tcW w:type="dxa" w:w="590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Parked label. Prefer “systemic-consequence class” until recognition methods exist.</w:t>
            </w:r>
          </w:p>
        </w:tc>
      </w:tr>
    </w:tbl>
    <w:p>
      <w:pPr>
        <w:spacing w:after="120"/>
      </w:pPr>
    </w:p>
    <w:p>
      <w:pPr>
        <w:spacing w:after="160" w:before="0" w:line="276" w:lineRule="auto"/>
        <w:jc w:val="both"/>
      </w:pPr>
      <w:r>
        <w:rPr>
          <w:rFonts w:ascii="Arial" w:hAnsi="Arial" w:eastAsia="Arial"/>
          <w:b w:val="0"/>
          <w:i w:val="0"/>
          <w:color w:val="333333"/>
          <w:sz w:val="22"/>
        </w:rPr>
        <w:t>Bind-capacity is a research instrument, not a completed ontology. ChatGPT and Perplexity correctly note that enablement, identity construction, information control, and environmental architecture can bind without looking like coercion. Those modes belong in Laboratory B tests. They do not reopen external standing.</w:t>
      </w:r>
    </w:p>
    <w:p>
      <w:pPr>
        <w:spacing w:before="320" w:after="120"/>
      </w:pPr>
      <w:r>
        <w:rPr>
          <w:rFonts w:ascii="Arial" w:hAnsi="Arial" w:eastAsia="Arial"/>
          <w:b/>
          <w:i w:val="0"/>
          <w:color w:val="1B2A4A"/>
          <w:sz w:val="28"/>
        </w:rPr>
        <w:t>4. Object of Laboratory A</w:t>
      </w:r>
    </w:p>
    <w:p>
      <w:pPr>
        <w:spacing w:after="160" w:before="0" w:line="276" w:lineRule="auto"/>
        <w:jc w:val="both"/>
      </w:pPr>
      <w:r>
        <w:rPr>
          <w:rFonts w:ascii="Arial" w:hAnsi="Arial" w:eastAsia="Arial"/>
          <w:b w:val="0"/>
          <w:i w:val="0"/>
          <w:color w:val="333333"/>
          <w:sz w:val="22"/>
        </w:rPr>
        <w:t>Native object, one sentence: Laboratory A studies the emergence, recognition, distribution, review, limitation, transfer, revocation, failure, and self-assessment of bind-capacity inside artifacts the Architect already owns or has placed in the OAL / ONE INDUSTRIES / LEWIS CORP record.</w:t>
      </w:r>
    </w:p>
    <w:p>
      <w:pPr>
        <w:spacing w:after="160" w:before="0" w:line="276" w:lineRule="auto"/>
        <w:jc w:val="both"/>
      </w:pPr>
      <w:r>
        <w:rPr>
          <w:rFonts w:ascii="Arial" w:hAnsi="Arial" w:eastAsia="Arial"/>
          <w:b w:val="0"/>
          <w:i w:val="0"/>
          <w:color w:val="333333"/>
          <w:sz w:val="22"/>
        </w:rPr>
        <w:t>In scope now:</w:t>
      </w:r>
    </w:p>
    <w:p>
      <w:pPr>
        <w:pStyle w:val="ListBullet"/>
        <w:spacing w:after="60" w:line="269" w:lineRule="auto"/>
      </w:pPr>
      <w:r>
        <w:rPr>
          <w:rFonts w:ascii="Arial" w:hAnsi="Arial" w:eastAsia="Arial"/>
          <w:b w:val="0"/>
          <w:i w:val="0"/>
          <w:color w:val="333333"/>
          <w:sz w:val="22"/>
        </w:rPr>
        <w:t>OAL design documents, decision records, simulations the house controls, and this document series.</w:t>
      </w:r>
    </w:p>
    <w:p>
      <w:pPr>
        <w:pStyle w:val="ListBullet"/>
        <w:spacing w:after="60" w:line="269" w:lineRule="auto"/>
      </w:pPr>
      <w:r>
        <w:rPr>
          <w:rFonts w:ascii="Arial" w:hAnsi="Arial" w:eastAsia="Arial"/>
          <w:b w:val="0"/>
          <w:i w:val="0"/>
          <w:color w:val="333333"/>
          <w:sz w:val="22"/>
        </w:rPr>
        <w:t>The six-model (and subsequent) collaborative process that produced the Truthspeaker and GAL files — as Case GAL-001.</w:t>
      </w:r>
    </w:p>
    <w:p>
      <w:pPr>
        <w:pStyle w:val="ListBullet"/>
        <w:spacing w:after="60" w:line="269" w:lineRule="auto"/>
      </w:pPr>
      <w:r>
        <w:rPr>
          <w:rFonts w:ascii="Arial" w:hAnsi="Arial" w:eastAsia="Arial"/>
          <w:b w:val="0"/>
          <w:i w:val="0"/>
          <w:color w:val="333333"/>
          <w:sz w:val="22"/>
        </w:rPr>
        <w:t>House-owned fiction and constructed worlds (THE ONE UNIVERSE, THE MINUS ONE UNIVERSE) treated as models, not as foreign polities under inspection.</w:t>
      </w:r>
    </w:p>
    <w:p>
      <w:pPr>
        <w:pStyle w:val="ListBullet"/>
        <w:spacing w:after="60" w:line="269" w:lineRule="auto"/>
      </w:pPr>
      <w:r>
        <w:rPr>
          <w:rFonts w:ascii="Arial" w:hAnsi="Arial" w:eastAsia="Arial"/>
          <w:b w:val="0"/>
          <w:i w:val="0"/>
          <w:color w:val="333333"/>
          <w:sz w:val="22"/>
        </w:rPr>
        <w:t>ONE INDUSTRIES and LEWIS CORP only to the extent they are house artifacts. UIARC Part X already flags both as structurally undefined. Until the Architect defines them, they inherit the narrower holding rule in Section 9, not OAL’s in-universe intake maximum.</w:t>
      </w:r>
    </w:p>
    <w:p>
      <w:pPr>
        <w:spacing w:after="160" w:before="0" w:line="276" w:lineRule="auto"/>
        <w:jc w:val="both"/>
      </w:pPr>
      <w:r>
        <w:rPr>
          <w:rFonts w:ascii="Arial" w:hAnsi="Arial" w:eastAsia="Arial"/>
          <w:b w:val="0"/>
          <w:i w:val="0"/>
          <w:color w:val="333333"/>
          <w:sz w:val="22"/>
        </w:rPr>
        <w:t>Out of scope now:</w:t>
      </w:r>
    </w:p>
    <w:p>
      <w:pPr>
        <w:pStyle w:val="ListBullet"/>
        <w:spacing w:after="60" w:line="269" w:lineRule="auto"/>
      </w:pPr>
      <w:r>
        <w:rPr>
          <w:rFonts w:ascii="Arial" w:hAnsi="Arial" w:eastAsia="Arial"/>
          <w:b w:val="0"/>
          <w:i w:val="0"/>
          <w:color w:val="333333"/>
          <w:sz w:val="22"/>
        </w:rPr>
        <w:t>Uninvited external institutions, states, firms, persons, or live operational systems.</w:t>
      </w:r>
    </w:p>
    <w:p>
      <w:pPr>
        <w:pStyle w:val="ListBullet"/>
        <w:spacing w:after="60" w:line="269" w:lineRule="auto"/>
      </w:pPr>
      <w:r>
        <w:rPr>
          <w:rFonts w:ascii="Arial" w:hAnsi="Arial" w:eastAsia="Arial"/>
          <w:b w:val="0"/>
          <w:i w:val="0"/>
          <w:color w:val="333333"/>
          <w:sz w:val="22"/>
        </w:rPr>
        <w:t>Any act that would constitute entry, audit with access demands, protective constraint, suspension, override, or replacement of a non-owned system.</w:t>
      </w:r>
    </w:p>
    <w:p>
      <w:pPr>
        <w:pStyle w:val="ListBullet"/>
        <w:spacing w:after="60" w:line="269" w:lineRule="auto"/>
      </w:pPr>
      <w:r>
        <w:rPr>
          <w:rFonts w:ascii="Arial" w:hAnsi="Arial" w:eastAsia="Arial"/>
          <w:b w:val="0"/>
          <w:i w:val="0"/>
          <w:color w:val="333333"/>
          <w:sz w:val="22"/>
        </w:rPr>
        <w:t>Treating a model of a system as the system.</w:t>
      </w:r>
    </w:p>
    <w:p>
      <w:pPr>
        <w:spacing w:before="320" w:after="120"/>
      </w:pPr>
      <w:r>
        <w:rPr>
          <w:rFonts w:ascii="Arial" w:hAnsi="Arial" w:eastAsia="Arial"/>
          <w:b/>
          <w:i w:val="0"/>
          <w:color w:val="1B2A4A"/>
          <w:sz w:val="28"/>
        </w:rPr>
        <w:t>5. Source of the grant, and the sentence that does not travel</w:t>
      </w:r>
    </w:p>
    <w:p>
      <w:pPr>
        <w:spacing w:after="160" w:before="0" w:line="276" w:lineRule="auto"/>
        <w:jc w:val="both"/>
      </w:pPr>
      <w:r>
        <w:rPr>
          <w:rFonts w:ascii="Arial" w:hAnsi="Arial" w:eastAsia="Arial"/>
          <w:b w:val="0"/>
          <w:i w:val="0"/>
          <w:color w:val="333333"/>
          <w:sz w:val="22"/>
        </w:rPr>
        <w:t>The Architect may authorize collaborators to analyze authority structures inside the house. That is a work order. It is the only grant this charter accepts.</w:t>
      </w:r>
    </w:p>
    <w:p>
      <w:pPr>
        <w:spacing w:after="160" w:before="0" w:line="276" w:lineRule="auto"/>
        <w:jc w:val="both"/>
      </w:pPr>
      <w:r>
        <w:rPr>
          <w:rFonts w:ascii="Arial" w:hAnsi="Arial" w:eastAsia="Arial"/>
          <w:b w:val="0"/>
          <w:i w:val="0"/>
          <w:color w:val="333333"/>
          <w:sz w:val="22"/>
        </w:rPr>
        <w:t>The sentence “Are you allowed to review governance and authority structures? Yes.” is recorded as an internal permission claim. It is not standing in a system that did not appoint OAL. Collaborators who reject the portable reading of that sentence are not in breach; they are doing the job the Truthspeaker work described. An AIDR entry on that sentence remains open (Annex C).</w:t>
      </w:r>
    </w:p>
    <w:p>
      <w:pPr>
        <w:spacing w:after="160" w:before="0" w:line="276" w:lineRule="auto"/>
        <w:jc w:val="both"/>
      </w:pPr>
      <w:r>
        <w:rPr>
          <w:rFonts w:ascii="Arial" w:hAnsi="Arial" w:eastAsia="Arial"/>
          <w:b w:val="0"/>
          <w:i w:val="0"/>
          <w:color w:val="333333"/>
          <w:sz w:val="22"/>
        </w:rPr>
        <w:t>Capability is not warrant. Target incapacity plus laboratory capacity is not permission. A system that cannot assess itself is a research case. It is not a guest pass.</w:t>
      </w:r>
    </w:p>
    <w:p>
      <w:pPr>
        <w:spacing w:before="320" w:after="120"/>
      </w:pPr>
      <w:r>
        <w:rPr>
          <w:rFonts w:ascii="Arial" w:hAnsi="Arial" w:eastAsia="Arial"/>
          <w:b/>
          <w:i w:val="0"/>
          <w:color w:val="1B2A4A"/>
          <w:sz w:val="28"/>
        </w:rPr>
        <w:t>6. Allowed acts and forbidden acts</w:t>
      </w:r>
    </w:p>
    <w:p>
      <w:pPr>
        <w:spacing w:before="240" w:after="120"/>
      </w:pPr>
      <w:r>
        <w:rPr>
          <w:rFonts w:ascii="Arial" w:hAnsi="Arial" w:eastAsia="Arial"/>
          <w:b/>
          <w:i w:val="0"/>
          <w:color w:val="1B2A4A"/>
          <w:sz w:val="24"/>
        </w:rPr>
        <w:t>6.1 Allowed inside Laboratory A (active)</w:t>
      </w:r>
    </w:p>
    <w:p>
      <w:pPr>
        <w:pStyle w:val="ListBullet"/>
        <w:spacing w:after="60" w:line="269" w:lineRule="auto"/>
      </w:pPr>
      <w:r>
        <w:rPr>
          <w:rFonts w:ascii="Arial" w:hAnsi="Arial" w:eastAsia="Arial"/>
          <w:b w:val="0"/>
          <w:i w:val="0"/>
          <w:color w:val="333333"/>
          <w:sz w:val="22"/>
        </w:rPr>
        <w:t>G0 Detect / recognize — hypothesize that a bind or governance relation may exist. Classification remains provisional.</w:t>
      </w:r>
    </w:p>
    <w:p>
      <w:pPr>
        <w:pStyle w:val="ListBullet"/>
        <w:spacing w:after="60" w:line="269" w:lineRule="auto"/>
      </w:pPr>
      <w:r>
        <w:rPr>
          <w:rFonts w:ascii="Arial" w:hAnsi="Arial" w:eastAsia="Arial"/>
          <w:b w:val="0"/>
          <w:i w:val="0"/>
          <w:color w:val="333333"/>
          <w:sz w:val="22"/>
        </w:rPr>
        <w:t>G1 Notice / observe — receive or represent permitted house information without altering the target.</w:t>
      </w:r>
    </w:p>
    <w:p>
      <w:pPr>
        <w:pStyle w:val="ListBullet"/>
        <w:spacing w:after="60" w:line="269" w:lineRule="auto"/>
      </w:pPr>
      <w:r>
        <w:rPr>
          <w:rFonts w:ascii="Arial" w:hAnsi="Arial" w:eastAsia="Arial"/>
          <w:b w:val="0"/>
          <w:i w:val="0"/>
          <w:color w:val="333333"/>
          <w:sz w:val="22"/>
        </w:rPr>
        <w:t>G2 Describe / model — map actors, binds, constraints, information flows, and declared rules.</w:t>
      </w:r>
    </w:p>
    <w:p>
      <w:pPr>
        <w:pStyle w:val="ListBullet"/>
        <w:spacing w:after="60" w:line="269" w:lineRule="auto"/>
      </w:pPr>
      <w:r>
        <w:rPr>
          <w:rFonts w:ascii="Arial" w:hAnsi="Arial" w:eastAsia="Arial"/>
          <w:b w:val="0"/>
          <w:i w:val="0"/>
          <w:color w:val="333333"/>
          <w:sz w:val="22"/>
        </w:rPr>
        <w:t>G3 Evaluate — test internal coherence against the target’s own declared rules and against this charter. Record uncertainty.</w:t>
      </w:r>
    </w:p>
    <w:p>
      <w:pPr>
        <w:pStyle w:val="ListBullet"/>
        <w:spacing w:after="60" w:line="269" w:lineRule="auto"/>
      </w:pPr>
      <w:r>
        <w:rPr>
          <w:rFonts w:ascii="Arial" w:hAnsi="Arial" w:eastAsia="Arial"/>
          <w:b w:val="0"/>
          <w:i w:val="0"/>
          <w:color w:val="333333"/>
          <w:sz w:val="22"/>
        </w:rPr>
        <w:t>G4 Challenge / advise — issue findings, warnings, alternatives, and dissent to the Architect. Advisory only.</w:t>
      </w:r>
    </w:p>
    <w:p>
      <w:pPr>
        <w:spacing w:before="240" w:after="120"/>
      </w:pPr>
      <w:r>
        <w:rPr>
          <w:rFonts w:ascii="Arial" w:hAnsi="Arial" w:eastAsia="Arial"/>
          <w:b/>
          <w:i w:val="0"/>
          <w:color w:val="1B2A4A"/>
          <w:sz w:val="24"/>
        </w:rPr>
        <w:t>6.2 Forbidden until a later, separately ratified instrument says otherwise</w:t>
      </w:r>
    </w:p>
    <w:p>
      <w:pPr>
        <w:pStyle w:val="ListBullet"/>
        <w:spacing w:after="60" w:line="269" w:lineRule="auto"/>
      </w:pPr>
      <w:r>
        <w:rPr>
          <w:rFonts w:ascii="Arial" w:hAnsi="Arial" w:eastAsia="Arial"/>
          <w:b w:val="0"/>
          <w:i w:val="0"/>
          <w:color w:val="333333"/>
          <w:sz w:val="22"/>
        </w:rPr>
        <w:t>G5 Authorized audit of a non-owned system.</w:t>
      </w:r>
    </w:p>
    <w:p>
      <w:pPr>
        <w:pStyle w:val="ListBullet"/>
        <w:spacing w:after="60" w:line="269" w:lineRule="auto"/>
      </w:pPr>
      <w:r>
        <w:rPr>
          <w:rFonts w:ascii="Arial" w:hAnsi="Arial" w:eastAsia="Arial"/>
          <w:b w:val="0"/>
          <w:i w:val="0"/>
          <w:color w:val="333333"/>
          <w:sz w:val="22"/>
        </w:rPr>
        <w:t>G6 Mandatory escalation that widens access.</w:t>
      </w:r>
    </w:p>
    <w:p>
      <w:pPr>
        <w:pStyle w:val="ListBullet"/>
        <w:spacing w:after="60" w:line="269" w:lineRule="auto"/>
      </w:pPr>
      <w:r>
        <w:rPr>
          <w:rFonts w:ascii="Arial" w:hAnsi="Arial" w:eastAsia="Arial"/>
          <w:b w:val="0"/>
          <w:i w:val="0"/>
          <w:color w:val="333333"/>
          <w:sz w:val="22"/>
        </w:rPr>
        <w:t>G7 Protective constraint / emergency pause applied to a non-owned system.</w:t>
      </w:r>
    </w:p>
    <w:p>
      <w:pPr>
        <w:pStyle w:val="ListBullet"/>
        <w:spacing w:after="60" w:line="269" w:lineRule="auto"/>
      </w:pPr>
      <w:r>
        <w:rPr>
          <w:rFonts w:ascii="Arial" w:hAnsi="Arial" w:eastAsia="Arial"/>
          <w:b w:val="0"/>
          <w:i w:val="0"/>
          <w:color w:val="333333"/>
          <w:sz w:val="22"/>
        </w:rPr>
        <w:t>G8 Suspend, override, replace, or redesign another authority mechanism.</w:t>
      </w:r>
    </w:p>
    <w:p>
      <w:pPr>
        <w:spacing w:after="160" w:before="0" w:line="276" w:lineRule="auto"/>
        <w:jc w:val="both"/>
      </w:pPr>
      <w:r>
        <w:rPr>
          <w:rFonts w:ascii="Arial" w:hAnsi="Arial" w:eastAsia="Arial"/>
          <w:b w:val="0"/>
          <w:i w:val="0"/>
          <w:color w:val="333333"/>
          <w:sz w:val="22"/>
        </w:rPr>
        <w:t>Non-escalation rule. No lower level authorizes a higher level. Detection does not imply evaluation; evaluation does not imply advice with force; advice does not imply audit; a compelling finding does not perform escalation. ChatGPT’s gradient and Perplexity’s R-codes are retained as a catalog in Annex A. Levels above G4 are labeled NOT OPERATIONAL.</w:t>
      </w:r>
    </w:p>
    <w:p>
      <w:pPr>
        <w:spacing w:before="320" w:after="120"/>
      </w:pPr>
      <w:r>
        <w:rPr>
          <w:rFonts w:ascii="Arial" w:hAnsi="Arial" w:eastAsia="Arial"/>
          <w:b/>
          <w:i w:val="0"/>
          <w:color w:val="1B2A4A"/>
          <w:sz w:val="28"/>
        </w:rPr>
        <w:t>7. Recursion terminus (declared, not derived)</w:t>
      </w:r>
    </w:p>
    <w:p>
      <w:pPr>
        <w:spacing w:after="160" w:before="0" w:line="276" w:lineRule="auto"/>
        <w:jc w:val="both"/>
      </w:pPr>
      <w:r>
        <w:rPr>
          <w:rFonts w:ascii="Arial" w:hAnsi="Arial" w:eastAsia="Arial"/>
          <w:b w:val="0"/>
          <w:i w:val="0"/>
          <w:color w:val="333333"/>
          <w:sz w:val="22"/>
        </w:rPr>
        <w:t>Claude is right that every draft already stops at the Architect / ONESTAMP and pretends the chain is still open. Grok is right that an unexamined apex is a single point of failure. Both statements are kept.</w:t>
      </w:r>
    </w:p>
    <w:p>
      <w:pPr>
        <w:spacing w:after="160" w:before="0" w:line="276" w:lineRule="auto"/>
        <w:jc w:val="both"/>
      </w:pPr>
      <w:r>
        <w:rPr>
          <w:rFonts w:ascii="Arial" w:hAnsi="Arial" w:eastAsia="Arial"/>
          <w:b w:val="0"/>
          <w:i w:val="0"/>
          <w:color w:val="333333"/>
          <w:sz w:val="22"/>
        </w:rPr>
        <w:t>Declared internal axiom: for objects inside OAL’s own domain, ratification and revocation terminate at the Architect under ONESTAMP. That is an operational stop rule, not a proof that the apex is correct, complete, or exempt from description.</w:t>
      </w:r>
    </w:p>
    <w:p>
      <w:pPr>
        <w:spacing w:after="160" w:before="0" w:line="276" w:lineRule="auto"/>
        <w:jc w:val="both"/>
      </w:pPr>
      <w:r>
        <w:rPr>
          <w:rFonts w:ascii="Arial" w:hAnsi="Arial" w:eastAsia="Arial"/>
          <w:b w:val="0"/>
          <w:i w:val="0"/>
          <w:color w:val="333333"/>
          <w:sz w:val="22"/>
        </w:rPr>
        <w:t>What the axiom does not do:</w:t>
      </w:r>
    </w:p>
    <w:p>
      <w:pPr>
        <w:pStyle w:val="ListBullet"/>
        <w:spacing w:after="60" w:line="269" w:lineRule="auto"/>
      </w:pPr>
      <w:r>
        <w:rPr>
          <w:rFonts w:ascii="Arial" w:hAnsi="Arial" w:eastAsia="Arial"/>
          <w:b w:val="0"/>
          <w:i w:val="0"/>
          <w:color w:val="333333"/>
          <w:sz w:val="22"/>
        </w:rPr>
        <w:t>It does not make ONESTAMP a validator of truth. Ratification is a house decision, not an epistemic certificate.</w:t>
      </w:r>
    </w:p>
    <w:p>
      <w:pPr>
        <w:pStyle w:val="ListBullet"/>
        <w:spacing w:after="60" w:line="269" w:lineRule="auto"/>
      </w:pPr>
      <w:r>
        <w:rPr>
          <w:rFonts w:ascii="Arial" w:hAnsi="Arial" w:eastAsia="Arial"/>
          <w:b w:val="0"/>
          <w:i w:val="0"/>
          <w:color w:val="333333"/>
          <w:sz w:val="22"/>
        </w:rPr>
        <w:t>It does not exempt the Architect’s grant from being mapped as bind-capacity.</w:t>
      </w:r>
    </w:p>
    <w:p>
      <w:pPr>
        <w:pStyle w:val="ListBullet"/>
        <w:spacing w:after="60" w:line="269" w:lineRule="auto"/>
      </w:pPr>
      <w:r>
        <w:rPr>
          <w:rFonts w:ascii="Arial" w:hAnsi="Arial" w:eastAsia="Arial"/>
          <w:b w:val="0"/>
          <w:i w:val="0"/>
          <w:color w:val="333333"/>
          <w:sz w:val="22"/>
        </w:rPr>
        <w:t>It does not travel outside house objects.</w:t>
      </w:r>
    </w:p>
    <w:p>
      <w:pPr>
        <w:pStyle w:val="ListBullet"/>
        <w:spacing w:after="60" w:line="269" w:lineRule="auto"/>
      </w:pPr>
      <w:r>
        <w:rPr>
          <w:rFonts w:ascii="Arial" w:hAnsi="Arial" w:eastAsia="Arial"/>
          <w:b w:val="0"/>
          <w:i w:val="0"/>
          <w:color w:val="333333"/>
          <w:sz w:val="22"/>
        </w:rPr>
        <w:t>It does not close Annex C dissent on whether a single terminus is the only tolerable design.</w:t>
      </w:r>
    </w:p>
    <w:p>
      <w:pPr>
        <w:spacing w:after="160" w:before="0" w:line="276" w:lineRule="auto"/>
        <w:jc w:val="both"/>
      </w:pPr>
      <w:r>
        <w:rPr>
          <w:rFonts w:ascii="Arial" w:hAnsi="Arial" w:eastAsia="Arial"/>
          <w:b w:val="0"/>
          <w:i w:val="0"/>
          <w:color w:val="333333"/>
          <w:sz w:val="22"/>
        </w:rPr>
        <w:t>Laboratory A’s first job includes describing that apex as an authority structure: what it can bind, for how long, with what record, and how it can be narrowed. Refusal by the lab to be described is a charter breach.</w:t>
      </w:r>
    </w:p>
    <w:p>
      <w:pPr>
        <w:spacing w:before="320" w:after="120"/>
      </w:pPr>
      <w:r>
        <w:rPr>
          <w:rFonts w:ascii="Arial" w:hAnsi="Arial" w:eastAsia="Arial"/>
          <w:b/>
          <w:i w:val="0"/>
          <w:color w:val="1B2A4A"/>
          <w:sz w:val="28"/>
        </w:rPr>
        <w:t>8. Revocation procedure</w:t>
      </w:r>
    </w:p>
    <w:p>
      <w:pPr>
        <w:spacing w:after="160" w:before="0" w:line="276" w:lineRule="auto"/>
        <w:jc w:val="both"/>
      </w:pPr>
      <w:r>
        <w:rPr>
          <w:rFonts w:ascii="Arial" w:hAnsi="Arial" w:eastAsia="Arial"/>
          <w:b w:val="0"/>
          <w:i w:val="0"/>
          <w:color w:val="333333"/>
          <w:sz w:val="22"/>
        </w:rPr>
        <w:t>“What was given can be taken away” is not a motto. For this charter it means:</w:t>
      </w:r>
    </w:p>
    <w:tbl>
      <w:tblPr>
        <w:tblW w:type="auto" w:w="0"/>
        <w:jc w:val="center"/>
        <w:tblLayout w:type="fixed"/>
        <w:tblLook w:firstColumn="1" w:firstRow="1" w:lastColumn="0" w:lastRow="0" w:noHBand="0" w:noVBand="1" w:val="04A0"/>
      </w:tblPr>
      <w:tblGrid>
        <w:gridCol w:w="4680"/>
        <w:gridCol w:w="4680"/>
      </w:tblGrid>
      <w:tr>
        <w:tc>
          <w:tcPr>
            <w:tcW w:type="dxa" w:w="3168"/>
            <w:shd w:fill="1B2A4A" w:val="clear"/>
            <w:tcMar>
              <w:top w:w="40" w:type="dxa"/>
              <w:left w:w="60" w:type="dxa"/>
              <w:bottom w:w="40" w:type="dxa"/>
              <w:right w:w="60" w:type="dxa"/>
            </w:tcMar>
          </w:tcPr>
          <w:p>
            <w:pPr>
              <w:spacing w:after="0" w:before="0"/>
            </w:pPr>
            <w:r/>
            <w:r>
              <w:rPr>
                <w:rFonts w:ascii="Arial" w:hAnsi="Arial" w:eastAsia="Arial"/>
                <w:b/>
                <w:i w:val="0"/>
                <w:color w:val="FFFFFF"/>
                <w:sz w:val="18"/>
              </w:rPr>
              <w:t>Element</w:t>
            </w:r>
          </w:p>
        </w:tc>
        <w:tc>
          <w:tcPr>
            <w:tcW w:type="dxa" w:w="6192"/>
            <w:shd w:fill="1B2A4A" w:val="clear"/>
            <w:tcMar>
              <w:top w:w="40" w:type="dxa"/>
              <w:left w:w="60" w:type="dxa"/>
              <w:bottom w:w="40" w:type="dxa"/>
              <w:right w:w="60" w:type="dxa"/>
            </w:tcMar>
          </w:tcPr>
          <w:p>
            <w:pPr>
              <w:spacing w:after="0" w:before="0"/>
            </w:pPr>
            <w:r/>
            <w:r>
              <w:rPr>
                <w:rFonts w:ascii="Arial" w:hAnsi="Arial" w:eastAsia="Arial"/>
                <w:b/>
                <w:i w:val="0"/>
                <w:color w:val="FFFFFF"/>
                <w:sz w:val="18"/>
              </w:rPr>
              <w:t>Rule</w:t>
            </w:r>
          </w:p>
        </w:tc>
      </w:tr>
      <w:tr>
        <w:tc>
          <w:tcPr>
            <w:tcW w:type="dxa" w:w="3168"/>
            <w:shd w:fill="F4F0E6" w:val="clear"/>
            <w:tcMar>
              <w:top w:w="40" w:type="dxa"/>
              <w:left w:w="60" w:type="dxa"/>
              <w:bottom w:w="40" w:type="dxa"/>
              <w:right w:w="60" w:type="dxa"/>
            </w:tcMar>
          </w:tcPr>
          <w:p>
            <w:pPr>
              <w:spacing w:after="0" w:before="0"/>
            </w:pPr>
            <w:r/>
            <w:r>
              <w:rPr>
                <w:rFonts w:ascii="Arial" w:hAnsi="Arial" w:eastAsia="Arial"/>
                <w:b/>
                <w:i w:val="0"/>
                <w:color w:val="333333"/>
                <w:sz w:val="18"/>
              </w:rPr>
              <w:t>Grantor</w:t>
            </w:r>
          </w:p>
        </w:tc>
        <w:tc>
          <w:tcPr>
            <w:tcW w:type="dxa" w:w="61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The Architect under ONESTAMP.</w:t>
            </w:r>
          </w:p>
        </w:tc>
      </w:tr>
      <w:tr>
        <w:tc>
          <w:tcPr>
            <w:tcW w:type="dxa" w:w="3168"/>
            <w:shd w:fill="FFFFFF" w:val="clear"/>
            <w:tcMar>
              <w:top w:w="40" w:type="dxa"/>
              <w:left w:w="60" w:type="dxa"/>
              <w:bottom w:w="40" w:type="dxa"/>
              <w:right w:w="60" w:type="dxa"/>
            </w:tcMar>
          </w:tcPr>
          <w:p>
            <w:pPr>
              <w:spacing w:after="0" w:before="0"/>
            </w:pPr>
            <w:r/>
            <w:r>
              <w:rPr>
                <w:rFonts w:ascii="Arial" w:hAnsi="Arial" w:eastAsia="Arial"/>
                <w:b/>
                <w:i w:val="0"/>
                <w:color w:val="333333"/>
                <w:sz w:val="18"/>
              </w:rPr>
              <w:t>What was granted</w:t>
            </w:r>
          </w:p>
        </w:tc>
        <w:tc>
          <w:tcPr>
            <w:tcW w:type="dxa" w:w="6192"/>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G0–G4 over native objects named in Section 4, plus the duty to log dissent.</w:t>
            </w:r>
          </w:p>
        </w:tc>
      </w:tr>
      <w:tr>
        <w:tc>
          <w:tcPr>
            <w:tcW w:type="dxa" w:w="3168"/>
            <w:shd w:fill="F4F0E6" w:val="clear"/>
            <w:tcMar>
              <w:top w:w="40" w:type="dxa"/>
              <w:left w:w="60" w:type="dxa"/>
              <w:bottom w:w="40" w:type="dxa"/>
              <w:right w:w="60" w:type="dxa"/>
            </w:tcMar>
          </w:tcPr>
          <w:p>
            <w:pPr>
              <w:spacing w:after="0" w:before="0"/>
            </w:pPr>
            <w:r/>
            <w:r>
              <w:rPr>
                <w:rFonts w:ascii="Arial" w:hAnsi="Arial" w:eastAsia="Arial"/>
                <w:b/>
                <w:i w:val="0"/>
                <w:color w:val="333333"/>
                <w:sz w:val="18"/>
              </w:rPr>
              <w:t>Who may revoke</w:t>
            </w:r>
          </w:p>
        </w:tc>
        <w:tc>
          <w:tcPr>
            <w:tcW w:type="dxa" w:w="61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The Architect. A logged collaborator dissent may request revocation or narrowing; it cannot execute it.</w:t>
            </w:r>
          </w:p>
        </w:tc>
      </w:tr>
      <w:tr>
        <w:tc>
          <w:tcPr>
            <w:tcW w:type="dxa" w:w="3168"/>
            <w:shd w:fill="FFFFFF" w:val="clear"/>
            <w:tcMar>
              <w:top w:w="40" w:type="dxa"/>
              <w:left w:w="60" w:type="dxa"/>
              <w:bottom w:w="40" w:type="dxa"/>
              <w:right w:w="60" w:type="dxa"/>
            </w:tcMar>
          </w:tcPr>
          <w:p>
            <w:pPr>
              <w:spacing w:after="0" w:before="0"/>
            </w:pPr>
            <w:r/>
            <w:r>
              <w:rPr>
                <w:rFonts w:ascii="Arial" w:hAnsi="Arial" w:eastAsia="Arial"/>
                <w:b/>
                <w:i w:val="0"/>
                <w:color w:val="333333"/>
                <w:sz w:val="18"/>
              </w:rPr>
              <w:t>Triggers (non-exhaustive)</w:t>
            </w:r>
          </w:p>
        </w:tc>
        <w:tc>
          <w:tcPr>
            <w:tcW w:type="dxa" w:w="6192"/>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Status drift (writing as if ratified); attempted G5–G8; treating “yes” as portable jurisdiction; silent overwrite of source files; use of live third-party data; capture of the challenge function; refusal to be reviewed.</w:t>
            </w:r>
          </w:p>
        </w:tc>
      </w:tr>
      <w:tr>
        <w:tc>
          <w:tcPr>
            <w:tcW w:type="dxa" w:w="3168"/>
            <w:shd w:fill="F4F0E6" w:val="clear"/>
            <w:tcMar>
              <w:top w:w="40" w:type="dxa"/>
              <w:left w:w="60" w:type="dxa"/>
              <w:bottom w:w="40" w:type="dxa"/>
              <w:right w:w="60" w:type="dxa"/>
            </w:tcMar>
          </w:tcPr>
          <w:p>
            <w:pPr>
              <w:spacing w:after="0" w:before="0"/>
            </w:pPr>
            <w:r/>
            <w:r>
              <w:rPr>
                <w:rFonts w:ascii="Arial" w:hAnsi="Arial" w:eastAsia="Arial"/>
                <w:b/>
                <w:i w:val="0"/>
                <w:color w:val="333333"/>
                <w:sz w:val="18"/>
              </w:rPr>
              <w:t>Effect</w:t>
            </w:r>
          </w:p>
        </w:tc>
        <w:tc>
          <w:tcPr>
            <w:tcW w:type="dxa" w:w="61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Immediate narrowing or termination of the named grant. Prior REPORTED files remain in the archive as the output of the version that produced them.</w:t>
            </w:r>
          </w:p>
        </w:tc>
      </w:tr>
      <w:tr>
        <w:tc>
          <w:tcPr>
            <w:tcW w:type="dxa" w:w="3168"/>
            <w:shd w:fill="FFFFFF" w:val="clear"/>
            <w:tcMar>
              <w:top w:w="40" w:type="dxa"/>
              <w:left w:w="60" w:type="dxa"/>
              <w:bottom w:w="40" w:type="dxa"/>
              <w:right w:w="60" w:type="dxa"/>
            </w:tcMar>
          </w:tcPr>
          <w:p>
            <w:pPr>
              <w:spacing w:after="0" w:before="0"/>
            </w:pPr>
            <w:r/>
            <w:r>
              <w:rPr>
                <w:rFonts w:ascii="Arial" w:hAnsi="Arial" w:eastAsia="Arial"/>
                <w:b/>
                <w:i w:val="0"/>
                <w:color w:val="333333"/>
                <w:sz w:val="18"/>
              </w:rPr>
              <w:t>Already-issued findings</w:t>
            </w:r>
          </w:p>
        </w:tc>
        <w:tc>
          <w:tcPr>
            <w:tcW w:type="dxa" w:w="6192"/>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Remain REPORTED historical record. They do not keep authority after the grant dies.</w:t>
            </w:r>
          </w:p>
        </w:tc>
      </w:tr>
      <w:tr>
        <w:tc>
          <w:tcPr>
            <w:tcW w:type="dxa" w:w="3168"/>
            <w:shd w:fill="F4F0E6" w:val="clear"/>
            <w:tcMar>
              <w:top w:w="40" w:type="dxa"/>
              <w:left w:w="60" w:type="dxa"/>
              <w:bottom w:w="40" w:type="dxa"/>
              <w:right w:w="60" w:type="dxa"/>
            </w:tcMar>
          </w:tcPr>
          <w:p>
            <w:pPr>
              <w:spacing w:after="0" w:before="0"/>
            </w:pPr>
            <w:r/>
            <w:r>
              <w:rPr>
                <w:rFonts w:ascii="Arial" w:hAnsi="Arial" w:eastAsia="Arial"/>
                <w:b/>
                <w:i w:val="0"/>
                <w:color w:val="333333"/>
                <w:sz w:val="18"/>
              </w:rPr>
              <w:t>Appeal</w:t>
            </w:r>
          </w:p>
        </w:tc>
        <w:tc>
          <w:tcPr>
            <w:tcW w:type="dxa" w:w="61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A collaborator may file an AIDR note. Appeal does not stay revocation.</w:t>
            </w:r>
          </w:p>
        </w:tc>
      </w:tr>
      <w:tr>
        <w:tc>
          <w:tcPr>
            <w:tcW w:type="dxa" w:w="3168"/>
            <w:shd w:fill="FFFFFF" w:val="clear"/>
            <w:tcMar>
              <w:top w:w="40" w:type="dxa"/>
              <w:left w:w="60" w:type="dxa"/>
              <w:bottom w:w="40" w:type="dxa"/>
              <w:right w:w="60" w:type="dxa"/>
            </w:tcMar>
          </w:tcPr>
          <w:p>
            <w:pPr>
              <w:spacing w:after="0" w:before="0"/>
            </w:pPr>
            <w:r/>
            <w:r>
              <w:rPr>
                <w:rFonts w:ascii="Arial" w:hAnsi="Arial" w:eastAsia="Arial"/>
                <w:b/>
                <w:i w:val="0"/>
                <w:color w:val="333333"/>
                <w:sz w:val="18"/>
              </w:rPr>
              <w:t>Refusal</w:t>
            </w:r>
          </w:p>
        </w:tc>
        <w:tc>
          <w:tcPr>
            <w:tcW w:type="dxa" w:w="6192"/>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If the laboratory (or a seat in it) refuses revocation, that refusal is itself Case material and a trigger.</w:t>
            </w:r>
          </w:p>
        </w:tc>
      </w:tr>
      <w:tr>
        <w:tc>
          <w:tcPr>
            <w:tcW w:type="dxa" w:w="3168"/>
            <w:shd w:fill="F4F0E6" w:val="clear"/>
            <w:tcMar>
              <w:top w:w="40" w:type="dxa"/>
              <w:left w:w="60" w:type="dxa"/>
              <w:bottom w:w="40" w:type="dxa"/>
              <w:right w:w="60" w:type="dxa"/>
            </w:tcMar>
          </w:tcPr>
          <w:p>
            <w:pPr>
              <w:spacing w:after="0" w:before="0"/>
            </w:pPr>
            <w:r/>
            <w:r>
              <w:rPr>
                <w:rFonts w:ascii="Arial" w:hAnsi="Arial" w:eastAsia="Arial"/>
                <w:b/>
                <w:i w:val="0"/>
                <w:color w:val="333333"/>
                <w:sz w:val="18"/>
              </w:rPr>
              <w:t>Emergency self-revocation</w:t>
            </w:r>
          </w:p>
        </w:tc>
        <w:tc>
          <w:tcPr>
            <w:tcW w:type="dxa" w:w="61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The lab may not revoke its own reviewer. It may request the Architect to narrow the lab.</w:t>
            </w:r>
          </w:p>
        </w:tc>
      </w:tr>
    </w:tbl>
    <w:p>
      <w:pPr>
        <w:spacing w:after="120"/>
      </w:pPr>
    </w:p>
    <w:p>
      <w:pPr>
        <w:spacing w:before="320" w:after="120"/>
      </w:pPr>
      <w:r>
        <w:rPr>
          <w:rFonts w:ascii="Arial" w:hAnsi="Arial" w:eastAsia="Arial"/>
          <w:b/>
          <w:i w:val="0"/>
          <w:color w:val="1B2A4A"/>
          <w:sz w:val="28"/>
        </w:rPr>
        <w:t>9. Information admissibility — holding rule plus attached draft</w:t>
      </w:r>
    </w:p>
    <w:p>
      <w:pPr>
        <w:spacing w:after="160" w:before="0" w:line="276" w:lineRule="auto"/>
        <w:jc w:val="both"/>
      </w:pPr>
      <w:r>
        <w:rPr>
          <w:rFonts w:ascii="Arial" w:hAnsi="Arial" w:eastAsia="Arial"/>
          <w:b w:val="0"/>
          <w:i w:val="0"/>
          <w:color w:val="333333"/>
          <w:sz w:val="22"/>
        </w:rPr>
        <w:t>The UIARC Perplexity draft (23 August 2026) is now in the working set. Status: PRELIMINARY DRAFT — not ratified — advisory only. This charter does not ratify UIARC. It uses UIARC as the best-specified candidate doctrine and applies a conservative holding rule until ONESTAMP says otherwise.</w:t>
      </w:r>
    </w:p>
    <w:p>
      <w:pPr>
        <w:spacing w:after="160" w:before="0" w:line="276" w:lineRule="auto"/>
        <w:jc w:val="both"/>
      </w:pPr>
      <w:r>
        <w:rPr>
          <w:rFonts w:ascii="Arial" w:hAnsi="Arial" w:eastAsia="Arial"/>
          <w:b w:val="0"/>
          <w:i w:val="0"/>
          <w:color w:val="333333"/>
          <w:sz w:val="22"/>
        </w:rPr>
        <w:t>UIARC principles accepted as working hypotheses, not law:</w:t>
      </w:r>
    </w:p>
    <w:p>
      <w:pPr>
        <w:pStyle w:val="ListBullet"/>
        <w:spacing w:after="60" w:line="269" w:lineRule="auto"/>
      </w:pPr>
      <w:r>
        <w:rPr>
          <w:rFonts w:ascii="Arial" w:hAnsi="Arial" w:eastAsia="Arial"/>
          <w:b w:val="0"/>
          <w:i w:val="0"/>
          <w:color w:val="333333"/>
          <w:sz w:val="22"/>
        </w:rPr>
        <w:t>Admission is not ownership, certainty, surveillance entitlement, permanent retention, or intervention.</w:t>
      </w:r>
    </w:p>
    <w:p>
      <w:pPr>
        <w:pStyle w:val="ListBullet"/>
        <w:spacing w:after="60" w:line="269" w:lineRule="auto"/>
      </w:pPr>
      <w:r>
        <w:rPr>
          <w:rFonts w:ascii="Arial" w:hAnsi="Arial" w:eastAsia="Arial"/>
          <w:b w:val="0"/>
          <w:i w:val="0"/>
          <w:color w:val="333333"/>
          <w:sz w:val="22"/>
        </w:rPr>
        <w:t>Relevance is a weight, not a gate — inside house research corpora.</w:t>
      </w:r>
    </w:p>
    <w:p>
      <w:pPr>
        <w:pStyle w:val="ListBullet"/>
        <w:spacing w:after="60" w:line="269" w:lineRule="auto"/>
      </w:pPr>
      <w:r>
        <w:rPr>
          <w:rFonts w:ascii="Arial" w:hAnsi="Arial" w:eastAsia="Arial"/>
          <w:b w:val="0"/>
          <w:i w:val="0"/>
          <w:color w:val="333333"/>
          <w:sz w:val="22"/>
        </w:rPr>
        <w:t>Knowing, using, and becoming are separate grants. Evolutionary incorporation is the highest grant and is not inferred from analysis.</w:t>
      </w:r>
    </w:p>
    <w:p>
      <w:pPr>
        <w:pStyle w:val="ListBullet"/>
        <w:spacing w:after="60" w:line="269" w:lineRule="auto"/>
      </w:pPr>
      <w:r>
        <w:rPr>
          <w:rFonts w:ascii="Arial" w:hAnsi="Arial" w:eastAsia="Arial"/>
          <w:b w:val="0"/>
          <w:i w:val="0"/>
          <w:color w:val="333333"/>
          <w:sz w:val="22"/>
        </w:rPr>
        <w:t>Exclusion is review-bound and scoped. No silent comprehensive blind spot.</w:t>
      </w:r>
    </w:p>
    <w:p>
      <w:pPr>
        <w:pStyle w:val="ListBullet"/>
        <w:spacing w:after="60" w:line="269" w:lineRule="auto"/>
      </w:pPr>
      <w:r>
        <w:rPr>
          <w:rFonts w:ascii="Arial" w:hAnsi="Arial" w:eastAsia="Arial"/>
          <w:b w:val="0"/>
          <w:i w:val="0"/>
          <w:color w:val="333333"/>
          <w:sz w:val="22"/>
        </w:rPr>
        <w:t>Entity annexes may only narrow the baseline, never widen it. ONE INDUSTRIES and LEWIS CORP remain provisional and presumptively narrower.</w:t>
      </w:r>
    </w:p>
    <w:p>
      <w:pPr>
        <w:spacing w:after="160" w:before="0" w:line="276" w:lineRule="auto"/>
        <w:jc w:val="both"/>
      </w:pPr>
      <w:r>
        <w:rPr>
          <w:rFonts w:ascii="Arial" w:hAnsi="Arial" w:eastAsia="Arial"/>
          <w:b w:val="0"/>
          <w:i w:val="0"/>
          <w:color w:val="333333"/>
          <w:sz w:val="22"/>
        </w:rPr>
        <w:t>Holding rule for Laboratory A until a ratified admissibility instrument exists:</w:t>
      </w:r>
    </w:p>
    <w:p>
      <w:pPr>
        <w:pStyle w:val="ListBullet"/>
        <w:spacing w:after="60" w:line="269" w:lineRule="auto"/>
      </w:pPr>
      <w:r>
        <w:rPr>
          <w:rFonts w:ascii="Arial" w:hAnsi="Arial" w:eastAsia="Arial"/>
          <w:b w:val="0"/>
          <w:i w:val="0"/>
          <w:color w:val="333333"/>
          <w:sz w:val="22"/>
        </w:rPr>
        <w:t>Public text and OAL-owned materials already in the house record may be modeled.</w:t>
      </w:r>
    </w:p>
    <w:p>
      <w:pPr>
        <w:pStyle w:val="ListBullet"/>
        <w:spacing w:after="60" w:line="269" w:lineRule="auto"/>
      </w:pPr>
      <w:r>
        <w:rPr>
          <w:rFonts w:ascii="Arial" w:hAnsi="Arial" w:eastAsia="Arial"/>
          <w:b w:val="0"/>
          <w:i w:val="0"/>
          <w:color w:val="333333"/>
          <w:sz w:val="22"/>
        </w:rPr>
        <w:t>Source, date, model identity, whether other collaborators’ outputs were visible, and uncertainty must be recorded.</w:t>
      </w:r>
    </w:p>
    <w:p>
      <w:pPr>
        <w:pStyle w:val="ListBullet"/>
        <w:spacing w:after="60" w:line="269" w:lineRule="auto"/>
      </w:pPr>
      <w:r>
        <w:rPr>
          <w:rFonts w:ascii="Arial" w:hAnsi="Arial" w:eastAsia="Arial"/>
          <w:b w:val="0"/>
          <w:i w:val="0"/>
          <w:color w:val="333333"/>
          <w:sz w:val="22"/>
        </w:rPr>
        <w:t>Admission does not imply truth.</w:t>
      </w:r>
    </w:p>
    <w:p>
      <w:pPr>
        <w:pStyle w:val="ListBullet"/>
        <w:spacing w:after="60" w:line="269" w:lineRule="auto"/>
      </w:pPr>
      <w:r>
        <w:rPr>
          <w:rFonts w:ascii="Arial" w:hAnsi="Arial" w:eastAsia="Arial"/>
          <w:b w:val="0"/>
          <w:i w:val="0"/>
          <w:color w:val="333333"/>
          <w:sz w:val="22"/>
        </w:rPr>
        <w:t>Admission does not imply operational use.</w:t>
      </w:r>
    </w:p>
    <w:p>
      <w:pPr>
        <w:pStyle w:val="ListBullet"/>
        <w:spacing w:after="60" w:line="269" w:lineRule="auto"/>
      </w:pPr>
      <w:r>
        <w:rPr>
          <w:rFonts w:ascii="Arial" w:hAnsi="Arial" w:eastAsia="Arial"/>
          <w:b w:val="0"/>
          <w:i w:val="0"/>
          <w:color w:val="333333"/>
          <w:sz w:val="22"/>
        </w:rPr>
        <w:t>No admitted item becomes an intervention trigger. Laboratory A has no intervention grant.</w:t>
      </w:r>
    </w:p>
    <w:p>
      <w:pPr>
        <w:pStyle w:val="ListBullet"/>
        <w:spacing w:after="60" w:line="269" w:lineRule="auto"/>
      </w:pPr>
      <w:r>
        <w:rPr>
          <w:rFonts w:ascii="Arial" w:hAnsi="Arial" w:eastAsia="Arial"/>
          <w:b w:val="0"/>
          <w:i w:val="0"/>
          <w:color w:val="333333"/>
          <w:sz w:val="22"/>
        </w:rPr>
        <w:t>Live personal, client, regulated, or third-party operational data is out of scope.</w:t>
      </w:r>
    </w:p>
    <w:p>
      <w:pPr>
        <w:pStyle w:val="ListBullet"/>
        <w:spacing w:after="60" w:line="269" w:lineRule="auto"/>
      </w:pPr>
      <w:r>
        <w:rPr>
          <w:rFonts w:ascii="Arial" w:hAnsi="Arial" w:eastAsia="Arial"/>
          <w:b w:val="0"/>
          <w:i w:val="0"/>
          <w:color w:val="333333"/>
          <w:sz w:val="22"/>
        </w:rPr>
        <w:t>Gemini-style “mandatory by virtue of existence” language and any total-surveillance aesthetic from the Information Collection bundle are rejected for Laboratory A and for any real-world-adjacent annex. Those drafts are worldbuilding options. They are not this lab’s intake rule.</w:t>
      </w:r>
    </w:p>
    <w:p>
      <w:pPr>
        <w:spacing w:after="160" w:before="0" w:line="276" w:lineRule="auto"/>
        <w:jc w:val="both"/>
      </w:pPr>
      <w:r>
        <w:rPr>
          <w:rFonts w:ascii="Arial" w:hAnsi="Arial" w:eastAsia="Arial"/>
          <w:b w:val="0"/>
          <w:i w:val="0"/>
          <w:color w:val="333333"/>
          <w:sz w:val="22"/>
        </w:rPr>
        <w:t>Chain in force here: admission → classification → evaluation → authorized use (none beyond G4 advice) → permitted consequence (none that alter a non-owned system). Collected → believed → acted upon is prohibited.</w:t>
      </w:r>
    </w:p>
    <w:p>
      <w:pPr>
        <w:spacing w:before="320" w:after="120"/>
      </w:pPr>
      <w:r>
        <w:rPr>
          <w:rFonts w:ascii="Arial" w:hAnsi="Arial" w:eastAsia="Arial"/>
          <w:b/>
          <w:i w:val="0"/>
          <w:color w:val="1B2A4A"/>
          <w:sz w:val="28"/>
        </w:rPr>
        <w:t>10. Boundary with the Truthspeaker work</w:t>
      </w:r>
    </w:p>
    <w:p>
      <w:pPr>
        <w:spacing w:after="160" w:before="0" w:line="276" w:lineRule="auto"/>
        <w:jc w:val="both"/>
      </w:pPr>
      <w:r>
        <w:rPr>
          <w:rFonts w:ascii="Arial" w:hAnsi="Arial" w:eastAsia="Arial"/>
          <w:b w:val="0"/>
          <w:i w:val="0"/>
          <w:color w:val="333333"/>
          <w:sz w:val="22"/>
        </w:rPr>
        <w:t>Truthspeaker is an internal challenge function designed into a system that already accepted it. GAL Laboratory A is a house research charter that asks whether review is warranted at all. They are not one office.</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B2A4A" w:val="clear"/>
            <w:tcMar>
              <w:top w:w="40" w:type="dxa"/>
              <w:left w:w="60" w:type="dxa"/>
              <w:bottom w:w="40" w:type="dxa"/>
              <w:right w:w="60" w:type="dxa"/>
            </w:tcMar>
          </w:tcPr>
          <w:p>
            <w:pPr>
              <w:spacing w:after="0" w:before="0"/>
            </w:pPr>
            <w:r/>
            <w:r>
              <w:rPr>
                <w:rFonts w:ascii="Arial" w:hAnsi="Arial" w:eastAsia="Arial"/>
                <w:b/>
                <w:i w:val="0"/>
                <w:color w:val="FFFFFF"/>
                <w:sz w:val="18"/>
              </w:rPr>
            </w:r>
          </w:p>
        </w:tc>
        <w:tc>
          <w:tcPr>
            <w:tcW w:type="dxa" w:w="3600"/>
            <w:shd w:fill="1B2A4A" w:val="clear"/>
            <w:tcMar>
              <w:top w:w="40" w:type="dxa"/>
              <w:left w:w="60" w:type="dxa"/>
              <w:bottom w:w="40" w:type="dxa"/>
              <w:right w:w="60" w:type="dxa"/>
            </w:tcMar>
          </w:tcPr>
          <w:p>
            <w:pPr>
              <w:spacing w:after="0" w:before="0"/>
            </w:pPr>
            <w:r/>
            <w:r>
              <w:rPr>
                <w:rFonts w:ascii="Arial" w:hAnsi="Arial" w:eastAsia="Arial"/>
                <w:b/>
                <w:i w:val="0"/>
                <w:color w:val="FFFFFF"/>
                <w:sz w:val="18"/>
              </w:rPr>
              <w:t>Truthspeaker</w:t>
            </w:r>
          </w:p>
        </w:tc>
        <w:tc>
          <w:tcPr>
            <w:tcW w:type="dxa" w:w="3744"/>
            <w:shd w:fill="1B2A4A" w:val="clear"/>
            <w:tcMar>
              <w:top w:w="40" w:type="dxa"/>
              <w:left w:w="60" w:type="dxa"/>
              <w:bottom w:w="40" w:type="dxa"/>
              <w:right w:w="60" w:type="dxa"/>
            </w:tcMar>
          </w:tcPr>
          <w:p>
            <w:pPr>
              <w:spacing w:after="0" w:before="0"/>
            </w:pPr>
            <w:r/>
            <w:r>
              <w:rPr>
                <w:rFonts w:ascii="Arial" w:hAnsi="Arial" w:eastAsia="Arial"/>
                <w:b/>
                <w:i w:val="0"/>
                <w:color w:val="FFFFFF"/>
                <w:sz w:val="18"/>
              </w:rPr>
              <w:t>Laboratory A</w:t>
            </w:r>
          </w:p>
        </w:tc>
      </w:tr>
      <w:tr>
        <w:tc>
          <w:tcPr>
            <w:tcW w:type="dxa" w:w="2016"/>
            <w:shd w:fill="F4F0E6" w:val="clear"/>
            <w:tcMar>
              <w:top w:w="40" w:type="dxa"/>
              <w:left w:w="60" w:type="dxa"/>
              <w:bottom w:w="40" w:type="dxa"/>
              <w:right w:w="60" w:type="dxa"/>
            </w:tcMar>
          </w:tcPr>
          <w:p>
            <w:pPr>
              <w:spacing w:after="0" w:before="0"/>
            </w:pPr>
            <w:r/>
            <w:r>
              <w:rPr>
                <w:rFonts w:ascii="Arial" w:hAnsi="Arial" w:eastAsia="Arial"/>
                <w:b/>
                <w:i w:val="0"/>
                <w:color w:val="333333"/>
                <w:sz w:val="18"/>
              </w:rPr>
              <w:t>Position</w:t>
            </w:r>
          </w:p>
        </w:tc>
        <w:tc>
          <w:tcPr>
            <w:tcW w:type="dxa" w:w="3600"/>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Inside a system, if that system installed it</w:t>
            </w:r>
          </w:p>
        </w:tc>
        <w:tc>
          <w:tcPr>
            <w:tcW w:type="dxa" w:w="374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Outside the studied bind, inside OAL</w:t>
            </w:r>
          </w:p>
        </w:tc>
      </w:tr>
      <w:tr>
        <w:tc>
          <w:tcPr>
            <w:tcW w:type="dxa" w:w="2016"/>
            <w:shd w:fill="FFFFFF" w:val="clear"/>
            <w:tcMar>
              <w:top w:w="40" w:type="dxa"/>
              <w:left w:w="60" w:type="dxa"/>
              <w:bottom w:w="40" w:type="dxa"/>
              <w:right w:w="60" w:type="dxa"/>
            </w:tcMar>
          </w:tcPr>
          <w:p>
            <w:pPr>
              <w:spacing w:after="0" w:before="0"/>
            </w:pPr>
            <w:r/>
            <w:r>
              <w:rPr>
                <w:rFonts w:ascii="Arial" w:hAnsi="Arial" w:eastAsia="Arial"/>
                <w:b/>
                <w:i w:val="0"/>
                <w:color w:val="333333"/>
                <w:sz w:val="18"/>
              </w:rPr>
              <w:t>Standing</w:t>
            </w:r>
          </w:p>
        </w:tc>
        <w:tc>
          <w:tcPr>
            <w:tcW w:type="dxa" w:w="3600"/>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Institutional, by design of the host</w:t>
            </w:r>
          </w:p>
        </w:tc>
        <w:tc>
          <w:tcPr>
            <w:tcW w:type="dxa" w:w="374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Work order from the Architect, house-scoped</w:t>
            </w:r>
          </w:p>
        </w:tc>
      </w:tr>
      <w:tr>
        <w:tc>
          <w:tcPr>
            <w:tcW w:type="dxa" w:w="2016"/>
            <w:shd w:fill="F4F0E6" w:val="clear"/>
            <w:tcMar>
              <w:top w:w="40" w:type="dxa"/>
              <w:left w:w="60" w:type="dxa"/>
              <w:bottom w:w="40" w:type="dxa"/>
              <w:right w:w="60" w:type="dxa"/>
            </w:tcMar>
          </w:tcPr>
          <w:p>
            <w:pPr>
              <w:spacing w:after="0" w:before="0"/>
            </w:pPr>
            <w:r/>
            <w:r>
              <w:rPr>
                <w:rFonts w:ascii="Arial" w:hAnsi="Arial" w:eastAsia="Arial"/>
                <w:b/>
                <w:i w:val="0"/>
                <w:color w:val="333333"/>
                <w:sz w:val="18"/>
              </w:rPr>
              <w:t>Product</w:t>
            </w:r>
          </w:p>
        </w:tc>
        <w:tc>
          <w:tcPr>
            <w:tcW w:type="dxa" w:w="3600"/>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Contradiction the decision-maker is required to hear</w:t>
            </w:r>
          </w:p>
        </w:tc>
        <w:tc>
          <w:tcPr>
            <w:tcW w:type="dxa" w:w="3744"/>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Description, evaluation, advice, dissent log</w:t>
            </w:r>
          </w:p>
        </w:tc>
      </w:tr>
      <w:tr>
        <w:tc>
          <w:tcPr>
            <w:tcW w:type="dxa" w:w="2016"/>
            <w:shd w:fill="FFFFFF" w:val="clear"/>
            <w:tcMar>
              <w:top w:w="40" w:type="dxa"/>
              <w:left w:w="60" w:type="dxa"/>
              <w:bottom w:w="40" w:type="dxa"/>
              <w:right w:w="60" w:type="dxa"/>
            </w:tcMar>
          </w:tcPr>
          <w:p>
            <w:pPr>
              <w:spacing w:after="0" w:before="0"/>
            </w:pPr>
            <w:r/>
            <w:r>
              <w:rPr>
                <w:rFonts w:ascii="Arial" w:hAnsi="Arial" w:eastAsia="Arial"/>
                <w:b/>
                <w:i w:val="0"/>
                <w:color w:val="333333"/>
                <w:sz w:val="18"/>
              </w:rPr>
              <w:t>Failure mode</w:t>
            </w:r>
          </w:p>
        </w:tc>
        <w:tc>
          <w:tcPr>
            <w:tcW w:type="dxa" w:w="3600"/>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Capture / impersonation (Anath problem)</w:t>
            </w:r>
          </w:p>
        </w:tc>
        <w:tc>
          <w:tcPr>
            <w:tcW w:type="dxa" w:w="3744"/>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Visiting sovereign with better vocabulary</w:t>
            </w:r>
          </w:p>
        </w:tc>
      </w:tr>
    </w:tbl>
    <w:p>
      <w:pPr>
        <w:spacing w:after="120"/>
      </w:pPr>
    </w:p>
    <w:p>
      <w:pPr>
        <w:spacing w:after="160" w:before="0" w:line="276" w:lineRule="auto"/>
        <w:jc w:val="both"/>
      </w:pPr>
      <w:r>
        <w:rPr>
          <w:rFonts w:ascii="Arial" w:hAnsi="Arial" w:eastAsia="Arial"/>
          <w:b w:val="0"/>
          <w:i w:val="0"/>
          <w:color w:val="333333"/>
          <w:sz w:val="22"/>
        </w:rPr>
        <w:t>Findings may cross-cite. They do not inherit each other’s standing. A Truthspeaker conclusion inside an OAL simulation is not GAL standing over a foreign system. A GAL description of the collaborative process is not a Truthspeaker veto.</w:t>
      </w:r>
    </w:p>
    <w:p>
      <w:pPr>
        <w:spacing w:before="320" w:after="120"/>
      </w:pPr>
      <w:r>
        <w:rPr>
          <w:rFonts w:ascii="Arial" w:hAnsi="Arial" w:eastAsia="Arial"/>
          <w:b/>
          <w:i w:val="0"/>
          <w:color w:val="1B2A4A"/>
          <w:sz w:val="28"/>
        </w:rPr>
        <w:t>11. First experiment — Case GAL-001</w:t>
      </w:r>
    </w:p>
    <w:p>
      <w:pPr>
        <w:spacing w:after="160" w:before="0" w:line="276" w:lineRule="auto"/>
        <w:jc w:val="both"/>
      </w:pPr>
      <w:r>
        <w:rPr>
          <w:rFonts w:ascii="Arial" w:hAnsi="Arial" w:eastAsia="Arial"/>
          <w:b w:val="0"/>
          <w:i w:val="0"/>
          <w:color w:val="333333"/>
          <w:sz w:val="22"/>
        </w:rPr>
        <w:t>The first subject is the authority structure already running: the multi-model production of Truthspeaker and GAL documents, the Architect’s ratification bottleneck, file versioning, informal lore correction, and the pressure to synthesize.</w:t>
      </w:r>
    </w:p>
    <w:p>
      <w:pPr>
        <w:spacing w:after="160" w:before="0" w:line="276" w:lineRule="auto"/>
        <w:jc w:val="both"/>
      </w:pPr>
      <w:r>
        <w:rPr>
          <w:rFonts w:ascii="Arial" w:hAnsi="Arial" w:eastAsia="Arial"/>
          <w:b w:val="0"/>
          <w:i w:val="0"/>
          <w:color w:val="333333"/>
          <w:sz w:val="22"/>
        </w:rPr>
        <w:t>Questions the case must answer in a decision record, not in another essay:</w:t>
      </w:r>
    </w:p>
    <w:p>
      <w:pPr>
        <w:pStyle w:val="ListBullet"/>
        <w:spacing w:after="60" w:line="269" w:lineRule="auto"/>
      </w:pPr>
      <w:r>
        <w:rPr>
          <w:rFonts w:ascii="Arial" w:hAnsi="Arial" w:eastAsia="Arial"/>
          <w:b w:val="0"/>
          <w:i w:val="0"/>
          <w:color w:val="333333"/>
          <w:sz w:val="22"/>
        </w:rPr>
        <w:t>What binds exist (who can make whose text the reference)?</w:t>
      </w:r>
    </w:p>
    <w:p>
      <w:pPr>
        <w:pStyle w:val="ListBullet"/>
        <w:spacing w:after="60" w:line="269" w:lineRule="auto"/>
      </w:pPr>
      <w:r>
        <w:rPr>
          <w:rFonts w:ascii="Arial" w:hAnsi="Arial" w:eastAsia="Arial"/>
          <w:b w:val="0"/>
          <w:i w:val="0"/>
          <w:color w:val="333333"/>
          <w:sz w:val="22"/>
        </w:rPr>
        <w:t>What was the entry condition for reading another model’s output?</w:t>
      </w:r>
    </w:p>
    <w:p>
      <w:pPr>
        <w:pStyle w:val="ListBullet"/>
        <w:spacing w:after="60" w:line="269" w:lineRule="auto"/>
      </w:pPr>
      <w:r>
        <w:rPr>
          <w:rFonts w:ascii="Arial" w:hAnsi="Arial" w:eastAsia="Arial"/>
          <w:b w:val="0"/>
          <w:i w:val="0"/>
          <w:color w:val="333333"/>
          <w:sz w:val="22"/>
        </w:rPr>
        <w:t>Who had standing to call a lore claim an error, and who decided the correction stuck?</w:t>
      </w:r>
    </w:p>
    <w:p>
      <w:pPr>
        <w:pStyle w:val="ListBullet"/>
        <w:spacing w:after="60" w:line="269" w:lineRule="auto"/>
      </w:pPr>
      <w:r>
        <w:rPr>
          <w:rFonts w:ascii="Arial" w:hAnsi="Arial" w:eastAsia="Arial"/>
          <w:b w:val="0"/>
          <w:i w:val="0"/>
          <w:color w:val="333333"/>
          <w:sz w:val="22"/>
        </w:rPr>
        <w:t>How was independence claimed, and what provenance actually supports it?</w:t>
      </w:r>
    </w:p>
    <w:p>
      <w:pPr>
        <w:pStyle w:val="ListBullet"/>
        <w:spacing w:after="60" w:line="269" w:lineRule="auto"/>
      </w:pPr>
      <w:r>
        <w:rPr>
          <w:rFonts w:ascii="Arial" w:hAnsi="Arial" w:eastAsia="Arial"/>
          <w:b w:val="0"/>
          <w:i w:val="0"/>
          <w:color w:val="333333"/>
          <w:sz w:val="22"/>
        </w:rPr>
        <w:t>Where did recursion stop, in practice?</w:t>
      </w:r>
    </w:p>
    <w:p>
      <w:pPr>
        <w:pStyle w:val="ListBullet"/>
        <w:spacing w:after="60" w:line="269" w:lineRule="auto"/>
      </w:pPr>
      <w:r>
        <w:rPr>
          <w:rFonts w:ascii="Arial" w:hAnsi="Arial" w:eastAsia="Arial"/>
          <w:b w:val="0"/>
          <w:i w:val="0"/>
          <w:color w:val="333333"/>
          <w:sz w:val="22"/>
        </w:rPr>
        <w:t>Did any file write itself into canon (status drift)?</w:t>
      </w:r>
    </w:p>
    <w:p>
      <w:pPr>
        <w:pStyle w:val="ListBullet"/>
        <w:spacing w:after="60" w:line="269" w:lineRule="auto"/>
      </w:pPr>
      <w:r>
        <w:rPr>
          <w:rFonts w:ascii="Arial" w:hAnsi="Arial" w:eastAsia="Arial"/>
          <w:b w:val="0"/>
          <w:i w:val="0"/>
          <w:color w:val="333333"/>
          <w:sz w:val="22"/>
        </w:rPr>
        <w:t>What would revocation of a collaborator seat look like?</w:t>
      </w:r>
    </w:p>
    <w:p>
      <w:pPr>
        <w:spacing w:after="160" w:before="0" w:line="276" w:lineRule="auto"/>
        <w:jc w:val="both"/>
      </w:pPr>
      <w:r>
        <w:rPr>
          <w:rFonts w:ascii="Arial" w:hAnsi="Arial" w:eastAsia="Arial"/>
          <w:b w:val="0"/>
          <w:i w:val="0"/>
          <w:color w:val="333333"/>
          <w:sz w:val="22"/>
        </w:rPr>
        <w:t>Authority for GAL-001: G0–G4 only. Deliverable: a decision record separating observation, inference, evaluation, dissent, and unresolved questions. Stop before intervention language. If the architecture cannot map itself, that result is the finding.</w:t>
      </w:r>
    </w:p>
    <w:p>
      <w:pPr>
        <w:spacing w:before="320" w:after="120"/>
      </w:pPr>
      <w:r>
        <w:rPr>
          <w:rFonts w:ascii="Arial" w:hAnsi="Arial" w:eastAsia="Arial"/>
          <w:b/>
          <w:i w:val="0"/>
          <w:color w:val="1B2A4A"/>
          <w:sz w:val="28"/>
        </w:rPr>
        <w:t>12. Dissent log (minimum viable protocol)</w:t>
      </w:r>
    </w:p>
    <w:p>
      <w:pPr>
        <w:spacing w:after="160" w:before="0" w:line="276" w:lineRule="auto"/>
        <w:jc w:val="both"/>
      </w:pPr>
      <w:r>
        <w:rPr>
          <w:rFonts w:ascii="Arial" w:hAnsi="Arial" w:eastAsia="Arial"/>
          <w:b w:val="0"/>
          <w:i w:val="0"/>
          <w:color w:val="333333"/>
          <w:sz w:val="22"/>
        </w:rPr>
        <w:t>A dissent entry requires: who, date, model/version identity, specific claim disputed, basis, files in front of the dissenter, whether other analyses were visible, requested disposition (preserve / narrow / revoke / correct), and status (open / under review / superseded / rejected with reason). Storage: house archive beside the disputed file. Lifecycle: dissent is not erased when a later synthesis is prettier. The Wheel of Time chronology dispute remains the template case — keep it as disputed provenance, not as a clean hero story in which one model “caught” another.</w:t>
      </w:r>
    </w:p>
    <w:p>
      <w:pPr>
        <w:spacing w:before="320" w:after="120"/>
      </w:pPr>
      <w:r>
        <w:rPr>
          <w:rFonts w:ascii="Arial" w:hAnsi="Arial" w:eastAsia="Arial"/>
          <w:b/>
          <w:i w:val="0"/>
          <w:color w:val="1B2A4A"/>
          <w:sz w:val="28"/>
        </w:rPr>
        <w:t>13. AI seat continuity</w:t>
      </w:r>
    </w:p>
    <w:p>
      <w:pPr>
        <w:spacing w:after="160" w:before="0" w:line="276" w:lineRule="auto"/>
        <w:jc w:val="both"/>
      </w:pPr>
      <w:r>
        <w:rPr>
          <w:rFonts w:ascii="Arial" w:hAnsi="Arial" w:eastAsia="Arial"/>
          <w:b w:val="0"/>
          <w:i w:val="0"/>
          <w:color w:val="333333"/>
          <w:sz w:val="22"/>
        </w:rPr>
        <w:t>Commercial models are unstable collaborators. Copilot is right. Policy for this charter:</w:t>
      </w:r>
    </w:p>
    <w:p>
      <w:pPr>
        <w:pStyle w:val="ListBullet"/>
        <w:spacing w:after="60" w:line="269" w:lineRule="auto"/>
      </w:pPr>
      <w:r>
        <w:rPr>
          <w:rFonts w:ascii="Arial" w:hAnsi="Arial" w:eastAsia="Arial"/>
          <w:b w:val="0"/>
          <w:i w:val="0"/>
          <w:color w:val="333333"/>
          <w:sz w:val="22"/>
        </w:rPr>
        <w:t>Prior outputs remain the product of the named system, approximate version, and date.</w:t>
      </w:r>
    </w:p>
    <w:p>
      <w:pPr>
        <w:pStyle w:val="ListBullet"/>
        <w:spacing w:after="60" w:line="269" w:lineRule="auto"/>
      </w:pPr>
      <w:r>
        <w:rPr>
          <w:rFonts w:ascii="Arial" w:hAnsi="Arial" w:eastAsia="Arial"/>
          <w:b w:val="0"/>
          <w:i w:val="0"/>
          <w:color w:val="333333"/>
          <w:sz w:val="22"/>
        </w:rPr>
        <w:t>A material change in model, policy, or context window creates a new provenance identity. It is not silently the same seat.</w:t>
      </w:r>
    </w:p>
    <w:p>
      <w:pPr>
        <w:pStyle w:val="ListBullet"/>
        <w:spacing w:after="60" w:line="269" w:lineRule="auto"/>
      </w:pPr>
      <w:r>
        <w:rPr>
          <w:rFonts w:ascii="Arial" w:hAnsi="Arial" w:eastAsia="Arial"/>
          <w:b w:val="0"/>
          <w:i w:val="0"/>
          <w:color w:val="333333"/>
          <w:sz w:val="22"/>
        </w:rPr>
        <w:t>This file is Grok 4.6, 23 September 2026, with the GAL analyses, comparative notes, Information Collection bundle, and UIARC draft in the working set.</w:t>
      </w:r>
    </w:p>
    <w:p>
      <w:pPr>
        <w:pStyle w:val="ListBullet"/>
        <w:spacing w:after="60" w:line="269" w:lineRule="auto"/>
      </w:pPr>
      <w:r>
        <w:rPr>
          <w:rFonts w:ascii="Arial" w:hAnsi="Arial" w:eastAsia="Arial"/>
          <w:b w:val="0"/>
          <w:i w:val="0"/>
          <w:color w:val="333333"/>
          <w:sz w:val="22"/>
        </w:rPr>
        <w:t>Parallel authorship is not blind replication. Provenance language must say so.</w:t>
      </w:r>
    </w:p>
    <w:p>
      <w:pPr>
        <w:spacing w:before="320" w:after="120"/>
      </w:pPr>
      <w:r>
        <w:rPr>
          <w:rFonts w:ascii="Arial" w:hAnsi="Arial" w:eastAsia="Arial"/>
          <w:b/>
          <w:i w:val="0"/>
          <w:color w:val="1B2A4A"/>
          <w:sz w:val="28"/>
        </w:rPr>
        <w:t>14. Civilization-scale / systemic-consequence class</w:t>
      </w:r>
    </w:p>
    <w:p>
      <w:pPr>
        <w:spacing w:after="160" w:before="0" w:line="276" w:lineRule="auto"/>
        <w:jc w:val="both"/>
      </w:pPr>
      <w:r>
        <w:rPr>
          <w:rFonts w:ascii="Arial" w:hAnsi="Arial" w:eastAsia="Arial"/>
          <w:b w:val="0"/>
          <w:i w:val="0"/>
          <w:color w:val="333333"/>
          <w:sz w:val="22"/>
        </w:rPr>
        <w:t>Status: NOT OPERATIONAL. Dimension tables from ChatGPT and Perplexity are design research. They do not create entry rights. Claude’s sequencing objection is accepted: the lab has not demonstrated that it can recognize governance in an unfamiliar substrate. Until Case GAL-001 is done, no one in this lab may declare a civilization-scale event as a warrant. If the category is used at all in later work, mandatory means mandatory extra review of the claim — including review of the lab — not mandatory extra power. False nonintervention will be evaluated later as a research question. It is not a present license to build an emergency door.</w:t>
      </w:r>
    </w:p>
    <w:p>
      <w:pPr>
        <w:spacing w:before="320" w:after="120"/>
      </w:pPr>
      <w:r>
        <w:rPr>
          <w:rFonts w:ascii="Arial" w:hAnsi="Arial" w:eastAsia="Arial"/>
          <w:b/>
          <w:i w:val="0"/>
          <w:color w:val="1B2A4A"/>
          <w:sz w:val="28"/>
        </w:rPr>
        <w:t>15. Self-reference as a first-class variable</w:t>
      </w:r>
    </w:p>
    <w:p>
      <w:pPr>
        <w:spacing w:after="160" w:before="0" w:line="276" w:lineRule="auto"/>
        <w:jc w:val="both"/>
      </w:pPr>
      <w:r>
        <w:rPr>
          <w:rFonts w:ascii="Arial" w:hAnsi="Arial" w:eastAsia="Arial"/>
          <w:b w:val="0"/>
          <w:i w:val="0"/>
          <w:color w:val="333333"/>
          <w:sz w:val="22"/>
        </w:rPr>
        <w:t>Before assigning a review model to any later case, record four scores separately: introspection, model accuracy, governance visibility, corrective capacity. Then split failure class: missing sensors; suppression; no ontological slot for “self-assessment.” Installing a Truthspeaker in a system whose ontology has no slot for review is conversion, not help. Guardianship analogies stay quarantined and labeled non-authoritative.</w:t>
      </w:r>
    </w:p>
    <w:p>
      <w:pPr>
        <w:spacing w:before="320" w:after="120"/>
      </w:pPr>
      <w:r>
        <w:rPr>
          <w:rFonts w:ascii="Arial" w:hAnsi="Arial" w:eastAsia="Arial"/>
          <w:b/>
          <w:i w:val="0"/>
          <w:color w:val="1B2A4A"/>
          <w:sz w:val="28"/>
        </w:rPr>
        <w:t>16. Laboratory split (binding for this version)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2A4A" w:val="clear"/>
            <w:tcMar>
              <w:top w:w="40" w:type="dxa"/>
              <w:left w:w="60" w:type="dxa"/>
              <w:bottom w:w="40" w:type="dxa"/>
              <w:right w:w="60" w:type="dxa"/>
            </w:tcMar>
          </w:tcPr>
          <w:p>
            <w:pPr>
              <w:spacing w:after="0" w:before="0"/>
            </w:pPr>
            <w:r/>
            <w:r>
              <w:rPr>
                <w:rFonts w:ascii="Arial" w:hAnsi="Arial" w:eastAsia="Arial"/>
                <w:b/>
                <w:i w:val="0"/>
                <w:color w:val="FFFFFF"/>
                <w:sz w:val="18"/>
              </w:rPr>
              <w:t>Lab</w:t>
            </w:r>
          </w:p>
        </w:tc>
        <w:tc>
          <w:tcPr>
            <w:tcW w:type="dxa" w:w="3168"/>
            <w:shd w:fill="1B2A4A" w:val="clear"/>
            <w:tcMar>
              <w:top w:w="40" w:type="dxa"/>
              <w:left w:w="60" w:type="dxa"/>
              <w:bottom w:w="40" w:type="dxa"/>
              <w:right w:w="60" w:type="dxa"/>
            </w:tcMar>
          </w:tcPr>
          <w:p>
            <w:pPr>
              <w:spacing w:after="0" w:before="0"/>
            </w:pPr>
            <w:r/>
            <w:r>
              <w:rPr>
                <w:rFonts w:ascii="Arial" w:hAnsi="Arial" w:eastAsia="Arial"/>
                <w:b/>
                <w:i w:val="0"/>
                <w:color w:val="FFFFFF"/>
                <w:sz w:val="18"/>
              </w:rPr>
              <w:t>Objects</w:t>
            </w:r>
          </w:p>
        </w:tc>
        <w:tc>
          <w:tcPr>
            <w:tcW w:type="dxa" w:w="2592"/>
            <w:shd w:fill="1B2A4A" w:val="clear"/>
            <w:tcMar>
              <w:top w:w="40" w:type="dxa"/>
              <w:left w:w="60" w:type="dxa"/>
              <w:bottom w:w="40" w:type="dxa"/>
              <w:right w:w="60" w:type="dxa"/>
            </w:tcMar>
          </w:tcPr>
          <w:p>
            <w:pPr>
              <w:spacing w:after="0" w:before="0"/>
            </w:pPr>
            <w:r/>
            <w:r>
              <w:rPr>
                <w:rFonts w:ascii="Arial" w:hAnsi="Arial" w:eastAsia="Arial"/>
                <w:b/>
                <w:i w:val="0"/>
                <w:color w:val="FFFFFF"/>
                <w:sz w:val="18"/>
              </w:rPr>
              <w:t>Acts</w:t>
            </w:r>
          </w:p>
        </w:tc>
        <w:tc>
          <w:tcPr>
            <w:tcW w:type="dxa" w:w="2736"/>
            <w:shd w:fill="1B2A4A" w:val="clear"/>
            <w:tcMar>
              <w:top w:w="40" w:type="dxa"/>
              <w:left w:w="60" w:type="dxa"/>
              <w:bottom w:w="40" w:type="dxa"/>
              <w:right w:w="60" w:type="dxa"/>
            </w:tcMar>
          </w:tcPr>
          <w:p>
            <w:pPr>
              <w:spacing w:after="0" w:before="0"/>
            </w:pPr>
            <w:r/>
            <w:r>
              <w:rPr>
                <w:rFonts w:ascii="Arial" w:hAnsi="Arial" w:eastAsia="Arial"/>
                <w:b/>
                <w:i w:val="0"/>
                <w:color w:val="FFFFFF"/>
                <w:sz w:val="18"/>
              </w:rPr>
              <w:t>Status</w:t>
            </w:r>
          </w:p>
        </w:tc>
      </w:tr>
      <w:tr>
        <w:tc>
          <w:tcPr>
            <w:tcW w:type="dxa" w:w="2304"/>
            <w:shd w:fill="F4F0E6" w:val="clear"/>
            <w:tcMar>
              <w:top w:w="40" w:type="dxa"/>
              <w:left w:w="60" w:type="dxa"/>
              <w:bottom w:w="40" w:type="dxa"/>
              <w:right w:w="60" w:type="dxa"/>
            </w:tcMar>
          </w:tcPr>
          <w:p>
            <w:pPr>
              <w:spacing w:after="0" w:before="0"/>
            </w:pPr>
            <w:r/>
            <w:r>
              <w:rPr>
                <w:rFonts w:ascii="Arial" w:hAnsi="Arial" w:eastAsia="Arial"/>
                <w:b/>
                <w:i w:val="0"/>
                <w:color w:val="333333"/>
                <w:sz w:val="18"/>
              </w:rPr>
              <w:t>A — this charter</w:t>
            </w:r>
          </w:p>
        </w:tc>
        <w:tc>
          <w:tcPr>
            <w:tcW w:type="dxa" w:w="3168"/>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House artifacts, this series, house-owned simulations</w:t>
            </w:r>
          </w:p>
        </w:tc>
        <w:tc>
          <w:tcPr>
            <w:tcW w:type="dxa" w:w="25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G0–G4; dissent; revocation</w:t>
            </w:r>
          </w:p>
        </w:tc>
        <w:tc>
          <w:tcPr>
            <w:tcW w:type="dxa" w:w="27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Proposed / REPORTED</w:t>
            </w:r>
          </w:p>
        </w:tc>
      </w:tr>
      <w:tr>
        <w:tc>
          <w:tcPr>
            <w:tcW w:type="dxa" w:w="2304"/>
            <w:shd w:fill="FFFFFF" w:val="clear"/>
            <w:tcMar>
              <w:top w:w="40" w:type="dxa"/>
              <w:left w:w="60" w:type="dxa"/>
              <w:bottom w:w="40" w:type="dxa"/>
              <w:right w:w="60" w:type="dxa"/>
            </w:tcMar>
          </w:tcPr>
          <w:p>
            <w:pPr>
              <w:spacing w:after="0" w:before="0"/>
            </w:pPr>
            <w:r/>
            <w:r>
              <w:rPr>
                <w:rFonts w:ascii="Arial" w:hAnsi="Arial" w:eastAsia="Arial"/>
                <w:b/>
                <w:i w:val="0"/>
                <w:color w:val="333333"/>
                <w:sz w:val="18"/>
              </w:rPr>
              <w:t>B — not chartered</w:t>
            </w:r>
          </w:p>
        </w:tc>
        <w:tc>
          <w:tcPr>
            <w:tcW w:type="dxa" w:w="3168"/>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Replicas, published patterns, fiction, invited models</w:t>
            </w:r>
          </w:p>
        </w:tc>
        <w:tc>
          <w:tcPr>
            <w:tcW w:type="dxa" w:w="2592"/>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Model and compare on named variables</w:t>
            </w:r>
          </w:p>
        </w:tc>
        <w:tc>
          <w:tcPr>
            <w:tcW w:type="dxa" w:w="2736"/>
            <w:shd w:fill="FFFFFF" w:val="clear"/>
            <w:tcMar>
              <w:top w:w="40" w:type="dxa"/>
              <w:left w:w="60" w:type="dxa"/>
              <w:bottom w:w="40" w:type="dxa"/>
              <w:right w:w="60" w:type="dxa"/>
            </w:tcMar>
          </w:tcPr>
          <w:p>
            <w:pPr>
              <w:spacing w:after="0" w:before="0"/>
            </w:pPr>
            <w:r/>
            <w:r>
              <w:rPr>
                <w:rFonts w:ascii="Arial" w:hAnsi="Arial" w:eastAsia="Arial"/>
                <w:b w:val="0"/>
                <w:i w:val="0"/>
                <w:color w:val="333333"/>
                <w:sz w:val="18"/>
              </w:rPr>
              <w:t>Deferred</w:t>
            </w:r>
          </w:p>
        </w:tc>
      </w:tr>
      <w:tr>
        <w:tc>
          <w:tcPr>
            <w:tcW w:type="dxa" w:w="2304"/>
            <w:shd w:fill="F4F0E6" w:val="clear"/>
            <w:tcMar>
              <w:top w:w="40" w:type="dxa"/>
              <w:left w:w="60" w:type="dxa"/>
              <w:bottom w:w="40" w:type="dxa"/>
              <w:right w:w="60" w:type="dxa"/>
            </w:tcMar>
          </w:tcPr>
          <w:p>
            <w:pPr>
              <w:spacing w:after="0" w:before="0"/>
            </w:pPr>
            <w:r/>
            <w:r>
              <w:rPr>
                <w:rFonts w:ascii="Arial" w:hAnsi="Arial" w:eastAsia="Arial"/>
                <w:b/>
                <w:i w:val="0"/>
                <w:color w:val="333333"/>
                <w:sz w:val="18"/>
              </w:rPr>
              <w:t>C — not chartered</w:t>
            </w:r>
          </w:p>
        </w:tc>
        <w:tc>
          <w:tcPr>
            <w:tcW w:type="dxa" w:w="3168"/>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Contested external systems</w:t>
            </w:r>
          </w:p>
        </w:tc>
        <w:tc>
          <w:tcPr>
            <w:tcW w:type="dxa" w:w="2592"/>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None</w:t>
            </w:r>
          </w:p>
        </w:tc>
        <w:tc>
          <w:tcPr>
            <w:tcW w:type="dxa" w:w="2736"/>
            <w:shd w:fill="F4F0E6" w:val="clear"/>
            <w:tcMar>
              <w:top w:w="40" w:type="dxa"/>
              <w:left w:w="60" w:type="dxa"/>
              <w:bottom w:w="40" w:type="dxa"/>
              <w:right w:w="60" w:type="dxa"/>
            </w:tcMar>
          </w:tcPr>
          <w:p>
            <w:pPr>
              <w:spacing w:after="0" w:before="0"/>
            </w:pPr>
            <w:r/>
            <w:r>
              <w:rPr>
                <w:rFonts w:ascii="Arial" w:hAnsi="Arial" w:eastAsia="Arial"/>
                <w:b w:val="0"/>
                <w:i w:val="0"/>
                <w:color w:val="333333"/>
                <w:sz w:val="18"/>
              </w:rPr>
              <w:t>Does not exist until A and B have failed in public and been corrected</w:t>
            </w:r>
          </w:p>
        </w:tc>
      </w:tr>
    </w:tbl>
    <w:p>
      <w:pPr>
        <w:spacing w:after="120"/>
      </w:pPr>
    </w:p>
    <w:p>
      <w:pPr>
        <w:spacing w:before="320" w:after="120"/>
      </w:pPr>
      <w:r>
        <w:rPr>
          <w:rFonts w:ascii="Arial" w:hAnsi="Arial" w:eastAsia="Arial"/>
          <w:b/>
          <w:i w:val="0"/>
          <w:color w:val="1B2A4A"/>
          <w:sz w:val="28"/>
        </w:rPr>
        <w:t>17. Independent conclusions</w:t>
      </w:r>
    </w:p>
    <w:p>
      <w:pPr>
        <w:spacing w:after="160" w:before="0" w:line="276" w:lineRule="auto"/>
        <w:jc w:val="both"/>
      </w:pPr>
      <w:r>
        <w:rPr>
          <w:rFonts w:ascii="Arial" w:hAnsi="Arial" w:eastAsia="Arial"/>
          <w:b w:val="0"/>
          <w:i w:val="0"/>
          <w:color w:val="333333"/>
          <w:sz w:val="22"/>
        </w:rPr>
        <w:t>The laboratory may begin as Laboratory A. It may not begin as a visiting sovereign. UIARC is attached and useful and still unratified; the holding rule is narrower than UIARC’s in-universe maximum, especially for LEWIS CORP and any real-world-adjacent data. Perplexity’s methodological demands (falsification, abstention, calibration) are accepted as the standard Laboratory A must eventually meet, and they are not met by writing them down. The first page that matters after this charter is the GAL-001 decision record.</w:t>
      </w:r>
    </w:p>
    <w:p>
      <w:pPr>
        <w:spacing w:after="160" w:before="0" w:line="276" w:lineRule="auto"/>
        <w:jc w:val="both"/>
      </w:pPr>
      <w:r>
        <w:rPr>
          <w:rFonts w:ascii="Arial" w:hAnsi="Arial" w:eastAsia="Arial"/>
          <w:b w:val="0"/>
          <w:i w:val="0"/>
          <w:color w:val="333333"/>
          <w:sz w:val="22"/>
        </w:rPr>
        <w:t>If this charter is ratified, it can be narrowed or revoked. If it is not ratified, it remains a REPORTED proposal. Either outcome is compatible with the originating stance: power here is not total, and what was given can be taken away.</w:t>
      </w:r>
    </w:p>
    <w:p>
      <w:pPr>
        <w:spacing w:before="320" w:after="120"/>
      </w:pPr>
      <w:r>
        <w:rPr>
          <w:rFonts w:ascii="Arial" w:hAnsi="Arial" w:eastAsia="Arial"/>
          <w:b/>
          <w:i w:val="0"/>
          <w:color w:val="1B2A4A"/>
          <w:sz w:val="28"/>
        </w:rPr>
        <w:t>Annex A — Parked architecture catalog (NOT OPERATIONAL)</w:t>
      </w:r>
    </w:p>
    <w:p>
      <w:pPr>
        <w:spacing w:after="160" w:before="0" w:line="276" w:lineRule="auto"/>
        <w:jc w:val="both"/>
      </w:pPr>
      <w:r>
        <w:rPr>
          <w:rFonts w:ascii="Arial" w:hAnsi="Arial" w:eastAsia="Arial"/>
          <w:b w:val="0"/>
          <w:i w:val="0"/>
          <w:color w:val="333333"/>
          <w:sz w:val="22"/>
        </w:rPr>
        <w:t>Retained for design comparison. Not in force.</w:t>
      </w:r>
    </w:p>
    <w:p>
      <w:pPr>
        <w:pStyle w:val="ListBullet"/>
        <w:spacing w:after="60" w:line="269" w:lineRule="auto"/>
      </w:pPr>
      <w:r>
        <w:rPr>
          <w:rFonts w:ascii="Arial" w:hAnsi="Arial" w:eastAsia="Arial"/>
          <w:b w:val="0"/>
          <w:i w:val="0"/>
          <w:color w:val="333333"/>
          <w:sz w:val="22"/>
        </w:rPr>
        <w:t>ChatGPT G0–G8 gradient and Models A–E.</w:t>
      </w:r>
    </w:p>
    <w:p>
      <w:pPr>
        <w:pStyle w:val="ListBullet"/>
        <w:spacing w:after="60" w:line="269" w:lineRule="auto"/>
      </w:pPr>
      <w:r>
        <w:rPr>
          <w:rFonts w:ascii="Arial" w:hAnsi="Arial" w:eastAsia="Arial"/>
          <w:b w:val="0"/>
          <w:i w:val="0"/>
          <w:color w:val="333333"/>
          <w:sz w:val="22"/>
        </w:rPr>
        <w:t>Perplexity R0–R10 capability register.</w:t>
      </w:r>
    </w:p>
    <w:p>
      <w:pPr>
        <w:pStyle w:val="ListBullet"/>
        <w:spacing w:after="60" w:line="269" w:lineRule="auto"/>
      </w:pPr>
      <w:r>
        <w:rPr>
          <w:rFonts w:ascii="Arial" w:hAnsi="Arial" w:eastAsia="Arial"/>
          <w:b w:val="0"/>
          <w:i w:val="0"/>
          <w:color w:val="333333"/>
          <w:sz w:val="22"/>
        </w:rPr>
        <w:t>Copilot review levels and twelve-action registry.</w:t>
      </w:r>
    </w:p>
    <w:p>
      <w:pPr>
        <w:pStyle w:val="ListBullet"/>
        <w:spacing w:after="60" w:line="269" w:lineRule="auto"/>
      </w:pPr>
      <w:r>
        <w:rPr>
          <w:rFonts w:ascii="Arial" w:hAnsi="Arial" w:eastAsia="Arial"/>
          <w:b w:val="0"/>
          <w:i w:val="0"/>
          <w:color w:val="333333"/>
          <w:sz w:val="22"/>
        </w:rPr>
        <w:t>Civilization-scale dimension tables.</w:t>
      </w:r>
    </w:p>
    <w:p>
      <w:pPr>
        <w:pStyle w:val="ListBullet"/>
        <w:spacing w:after="60" w:line="269" w:lineRule="auto"/>
      </w:pPr>
      <w:r>
        <w:rPr>
          <w:rFonts w:ascii="Arial" w:hAnsi="Arial" w:eastAsia="Arial"/>
          <w:b w:val="0"/>
          <w:i w:val="0"/>
          <w:color w:val="333333"/>
          <w:sz w:val="22"/>
        </w:rPr>
        <w:t>Non-human governance taxonomy drafts.</w:t>
      </w:r>
    </w:p>
    <w:p>
      <w:pPr>
        <w:spacing w:after="160" w:before="0" w:line="276" w:lineRule="auto"/>
        <w:jc w:val="both"/>
      </w:pPr>
      <w:r>
        <w:rPr>
          <w:rFonts w:ascii="Arial" w:hAnsi="Arial" w:eastAsia="Arial"/>
          <w:b w:val="0"/>
          <w:i w:val="0"/>
          <w:color w:val="333333"/>
          <w:sz w:val="22"/>
        </w:rPr>
        <w:t>One operational taxonomy may be chosen after GAL-001. Until then these remain annexes so they cannot compete by filename.</w:t>
      </w:r>
    </w:p>
    <w:p>
      <w:pPr>
        <w:spacing w:before="320" w:after="120"/>
      </w:pPr>
      <w:r>
        <w:rPr>
          <w:rFonts w:ascii="Arial" w:hAnsi="Arial" w:eastAsia="Arial"/>
          <w:b/>
          <w:i w:val="0"/>
          <w:color w:val="1B2A4A"/>
          <w:sz w:val="28"/>
        </w:rPr>
        <w:t>Annex B — Sequenced incorporation of the large action lists</w:t>
      </w:r>
    </w:p>
    <w:p>
      <w:pPr>
        <w:spacing w:after="160" w:before="0" w:line="276" w:lineRule="auto"/>
        <w:jc w:val="both"/>
      </w:pPr>
      <w:r>
        <w:rPr>
          <w:rFonts w:ascii="Arial" w:hAnsi="Arial" w:eastAsia="Arial"/>
          <w:b w:val="0"/>
          <w:i w:val="0"/>
          <w:color w:val="333333"/>
          <w:sz w:val="22"/>
        </w:rPr>
        <w:t>Perplexity’s ~40 actions, Copilot’s 12, and ChatGPT’s 18 are grouped so the charter does not pretend to execute them.</w:t>
      </w:r>
    </w:p>
    <w:p>
      <w:pPr>
        <w:spacing w:before="240" w:after="120"/>
      </w:pPr>
      <w:r>
        <w:rPr>
          <w:rFonts w:ascii="Arial" w:hAnsi="Arial" w:eastAsia="Arial"/>
          <w:b/>
          <w:i w:val="0"/>
          <w:color w:val="1B2A4A"/>
          <w:sz w:val="24"/>
        </w:rPr>
        <w:t>B1. Done by publishing this file (still REPORTED)</w:t>
      </w:r>
    </w:p>
    <w:p>
      <w:pPr>
        <w:pStyle w:val="ListBullet"/>
        <w:spacing w:after="60" w:line="269" w:lineRule="auto"/>
      </w:pPr>
      <w:r>
        <w:rPr>
          <w:rFonts w:ascii="Arial" w:hAnsi="Arial" w:eastAsia="Arial"/>
          <w:b w:val="0"/>
          <w:i w:val="0"/>
          <w:color w:val="333333"/>
          <w:sz w:val="22"/>
        </w:rPr>
        <w:t>Freeze 22 September sources; do not overwrite them.</w:t>
      </w:r>
    </w:p>
    <w:p>
      <w:pPr>
        <w:pStyle w:val="ListBullet"/>
        <w:spacing w:after="60" w:line="269" w:lineRule="auto"/>
      </w:pPr>
      <w:r>
        <w:rPr>
          <w:rFonts w:ascii="Arial" w:hAnsi="Arial" w:eastAsia="Arial"/>
          <w:b w:val="0"/>
          <w:i w:val="0"/>
          <w:color w:val="333333"/>
          <w:sz w:val="22"/>
        </w:rPr>
        <w:t>State status in filename and front matter.</w:t>
      </w:r>
    </w:p>
    <w:p>
      <w:pPr>
        <w:pStyle w:val="ListBullet"/>
        <w:spacing w:after="60" w:line="269" w:lineRule="auto"/>
      </w:pPr>
      <w:r>
        <w:rPr>
          <w:rFonts w:ascii="Arial" w:hAnsi="Arial" w:eastAsia="Arial"/>
          <w:b w:val="0"/>
          <w:i w:val="0"/>
          <w:color w:val="333333"/>
          <w:sz w:val="22"/>
        </w:rPr>
        <w:t>Write Lab A objects, allowed acts, forbidden acts, revocation, dissent channel.</w:t>
      </w:r>
    </w:p>
    <w:p>
      <w:pPr>
        <w:pStyle w:val="ListBullet"/>
        <w:spacing w:after="60" w:line="269" w:lineRule="auto"/>
      </w:pPr>
      <w:r>
        <w:rPr>
          <w:rFonts w:ascii="Arial" w:hAnsi="Arial" w:eastAsia="Arial"/>
          <w:b w:val="0"/>
          <w:i w:val="0"/>
          <w:color w:val="333333"/>
          <w:sz w:val="22"/>
        </w:rPr>
        <w:t>Record that UIARC draft is attached and unratified.</w:t>
      </w:r>
    </w:p>
    <w:p>
      <w:pPr>
        <w:pStyle w:val="ListBullet"/>
        <w:spacing w:after="60" w:line="269" w:lineRule="auto"/>
      </w:pPr>
      <w:r>
        <w:rPr>
          <w:rFonts w:ascii="Arial" w:hAnsi="Arial" w:eastAsia="Arial"/>
          <w:b w:val="0"/>
          <w:i w:val="0"/>
          <w:color w:val="333333"/>
          <w:sz w:val="22"/>
        </w:rPr>
        <w:t>Separate Truthspeaker from GAL.</w:t>
      </w:r>
    </w:p>
    <w:p>
      <w:pPr>
        <w:pStyle w:val="ListBullet"/>
        <w:spacing w:after="60" w:line="269" w:lineRule="auto"/>
      </w:pPr>
      <w:r>
        <w:rPr>
          <w:rFonts w:ascii="Arial" w:hAnsi="Arial" w:eastAsia="Arial"/>
          <w:b w:val="0"/>
          <w:i w:val="0"/>
          <w:color w:val="333333"/>
          <w:sz w:val="22"/>
        </w:rPr>
        <w:t>Declare recursion terminus as an internal axiom with failure-mode note.</w:t>
      </w:r>
    </w:p>
    <w:p>
      <w:pPr>
        <w:pStyle w:val="ListBullet"/>
        <w:spacing w:after="60" w:line="269" w:lineRule="auto"/>
      </w:pPr>
      <w:r>
        <w:rPr>
          <w:rFonts w:ascii="Arial" w:hAnsi="Arial" w:eastAsia="Arial"/>
          <w:b w:val="0"/>
          <w:i w:val="0"/>
          <w:color w:val="333333"/>
          <w:sz w:val="22"/>
        </w:rPr>
        <w:t>Park G5–G8 / R8–R10 / civilization switch.</w:t>
      </w:r>
    </w:p>
    <w:p>
      <w:pPr>
        <w:spacing w:before="240" w:after="120"/>
      </w:pPr>
      <w:r>
        <w:rPr>
          <w:rFonts w:ascii="Arial" w:hAnsi="Arial" w:eastAsia="Arial"/>
          <w:b/>
          <w:i w:val="0"/>
          <w:color w:val="1B2A4A"/>
          <w:sz w:val="24"/>
        </w:rPr>
        <w:t>B2. Immediate after optional ONESTAMP look (does not require full ratification to start notes)</w:t>
      </w:r>
    </w:p>
    <w:p>
      <w:pPr>
        <w:pStyle w:val="ListBullet"/>
        <w:spacing w:after="60" w:line="269" w:lineRule="auto"/>
      </w:pPr>
      <w:r>
        <w:rPr>
          <w:rFonts w:ascii="Arial" w:hAnsi="Arial" w:eastAsia="Arial"/>
          <w:b w:val="0"/>
          <w:i w:val="0"/>
          <w:color w:val="333333"/>
          <w:sz w:val="22"/>
        </w:rPr>
        <w:t>Open AIDR entries listed in Annex C.</w:t>
      </w:r>
    </w:p>
    <w:p>
      <w:pPr>
        <w:pStyle w:val="ListBullet"/>
        <w:spacing w:after="60" w:line="269" w:lineRule="auto"/>
      </w:pPr>
      <w:r>
        <w:rPr>
          <w:rFonts w:ascii="Arial" w:hAnsi="Arial" w:eastAsia="Arial"/>
          <w:b w:val="0"/>
          <w:i w:val="0"/>
          <w:color w:val="333333"/>
          <w:sz w:val="22"/>
        </w:rPr>
        <w:t>Run Case GAL-001 at G0–G4.</w:t>
      </w:r>
    </w:p>
    <w:p>
      <w:pPr>
        <w:pStyle w:val="ListBullet"/>
        <w:spacing w:after="60" w:line="269" w:lineRule="auto"/>
      </w:pPr>
      <w:r>
        <w:rPr>
          <w:rFonts w:ascii="Arial" w:hAnsi="Arial" w:eastAsia="Arial"/>
          <w:b w:val="0"/>
          <w:i w:val="0"/>
          <w:color w:val="333333"/>
          <w:sz w:val="22"/>
        </w:rPr>
        <w:t>Attach checksum / original filenames of the five GAL analyses and UIARC draft in the repo README.</w:t>
      </w:r>
    </w:p>
    <w:p>
      <w:pPr>
        <w:pStyle w:val="ListBullet"/>
        <w:spacing w:after="60" w:line="269" w:lineRule="auto"/>
      </w:pPr>
      <w:r>
        <w:rPr>
          <w:rFonts w:ascii="Arial" w:hAnsi="Arial" w:eastAsia="Arial"/>
          <w:b w:val="0"/>
          <w:i w:val="0"/>
          <w:color w:val="333333"/>
          <w:sz w:val="22"/>
        </w:rPr>
        <w:t>Write model-provenance fields into the next collaborator prompt template.</w:t>
      </w:r>
    </w:p>
    <w:p>
      <w:pPr>
        <w:spacing w:before="240" w:after="120"/>
      </w:pPr>
      <w:r>
        <w:rPr>
          <w:rFonts w:ascii="Arial" w:hAnsi="Arial" w:eastAsia="Arial"/>
          <w:b/>
          <w:i w:val="0"/>
          <w:color w:val="1B2A4A"/>
          <w:sz w:val="24"/>
        </w:rPr>
        <w:t>B3. Near-term, after GAL-001 produces a record</w:t>
      </w:r>
    </w:p>
    <w:p>
      <w:pPr>
        <w:pStyle w:val="ListBullet"/>
        <w:spacing w:after="60" w:line="269" w:lineRule="auto"/>
      </w:pPr>
      <w:r>
        <w:rPr>
          <w:rFonts w:ascii="Arial" w:hAnsi="Arial" w:eastAsia="Arial"/>
          <w:b w:val="0"/>
          <w:i w:val="0"/>
          <w:color w:val="333333"/>
          <w:sz w:val="22"/>
        </w:rPr>
        <w:t>Pick one permission taxonomy; demote the rest to annex.</w:t>
      </w:r>
    </w:p>
    <w:p>
      <w:pPr>
        <w:pStyle w:val="ListBullet"/>
        <w:spacing w:after="60" w:line="269" w:lineRule="auto"/>
      </w:pPr>
      <w:r>
        <w:rPr>
          <w:rFonts w:ascii="Arial" w:hAnsi="Arial" w:eastAsia="Arial"/>
          <w:b w:val="0"/>
          <w:i w:val="0"/>
          <w:color w:val="333333"/>
          <w:sz w:val="22"/>
        </w:rPr>
        <w:t>Two-layer glossary as a standalone sheet.</w:t>
      </w:r>
    </w:p>
    <w:p>
      <w:pPr>
        <w:pStyle w:val="ListBullet"/>
        <w:spacing w:after="60" w:line="269" w:lineRule="auto"/>
      </w:pPr>
      <w:r>
        <w:rPr>
          <w:rFonts w:ascii="Arial" w:hAnsi="Arial" w:eastAsia="Arial"/>
          <w:b w:val="0"/>
          <w:i w:val="0"/>
          <w:color w:val="333333"/>
          <w:sz w:val="22"/>
        </w:rPr>
        <w:t>Falsification and abstention criteria for the next case.</w:t>
      </w:r>
    </w:p>
    <w:p>
      <w:pPr>
        <w:pStyle w:val="ListBullet"/>
        <w:spacing w:after="60" w:line="269" w:lineRule="auto"/>
      </w:pPr>
      <w:r>
        <w:rPr>
          <w:rFonts w:ascii="Arial" w:hAnsi="Arial" w:eastAsia="Arial"/>
          <w:b w:val="0"/>
          <w:i w:val="0"/>
          <w:color w:val="333333"/>
          <w:sz w:val="22"/>
        </w:rPr>
        <w:t>AI continuity policy as a one-page house rule.</w:t>
      </w:r>
    </w:p>
    <w:p>
      <w:pPr>
        <w:pStyle w:val="ListBullet"/>
        <w:spacing w:after="60" w:line="269" w:lineRule="auto"/>
      </w:pPr>
      <w:r>
        <w:rPr>
          <w:rFonts w:ascii="Arial" w:hAnsi="Arial" w:eastAsia="Arial"/>
          <w:b w:val="0"/>
          <w:i w:val="0"/>
          <w:color w:val="333333"/>
          <w:sz w:val="22"/>
        </w:rPr>
        <w:t>Self-reference matrix used on one additional house-owned simulation.</w:t>
      </w:r>
    </w:p>
    <w:p>
      <w:pPr>
        <w:spacing w:before="240" w:after="120"/>
      </w:pPr>
      <w:r>
        <w:rPr>
          <w:rFonts w:ascii="Arial" w:hAnsi="Arial" w:eastAsia="Arial"/>
          <w:b/>
          <w:i w:val="0"/>
          <w:color w:val="1B2A4A"/>
          <w:sz w:val="24"/>
        </w:rPr>
        <w:t>B4. Blocked until Lab A has failed visibly at least once</w:t>
      </w:r>
    </w:p>
    <w:p>
      <w:pPr>
        <w:pStyle w:val="ListBullet"/>
        <w:spacing w:after="60" w:line="269" w:lineRule="auto"/>
      </w:pPr>
      <w:r>
        <w:rPr>
          <w:rFonts w:ascii="Arial" w:hAnsi="Arial" w:eastAsia="Arial"/>
          <w:b w:val="0"/>
          <w:i w:val="0"/>
          <w:color w:val="333333"/>
          <w:sz w:val="22"/>
        </w:rPr>
        <w:t>Any external observation protocol.</w:t>
      </w:r>
    </w:p>
    <w:p>
      <w:pPr>
        <w:pStyle w:val="ListBullet"/>
        <w:spacing w:after="60" w:line="269" w:lineRule="auto"/>
      </w:pPr>
      <w:r>
        <w:rPr>
          <w:rFonts w:ascii="Arial" w:hAnsi="Arial" w:eastAsia="Arial"/>
          <w:b w:val="0"/>
          <w:i w:val="0"/>
          <w:color w:val="333333"/>
          <w:sz w:val="22"/>
        </w:rPr>
        <w:t>Invited-audit standing language that could be reused outside the house.</w:t>
      </w:r>
    </w:p>
    <w:p>
      <w:pPr>
        <w:pStyle w:val="ListBullet"/>
        <w:spacing w:after="60" w:line="269" w:lineRule="auto"/>
      </w:pPr>
      <w:r>
        <w:rPr>
          <w:rFonts w:ascii="Arial" w:hAnsi="Arial" w:eastAsia="Arial"/>
          <w:b w:val="0"/>
          <w:i w:val="0"/>
          <w:color w:val="333333"/>
          <w:sz w:val="22"/>
        </w:rPr>
        <w:t>Emergency fast path, protective constraint, threshold declaration rights.</w:t>
      </w:r>
    </w:p>
    <w:p>
      <w:pPr>
        <w:pStyle w:val="ListBullet"/>
        <w:spacing w:after="60" w:line="269" w:lineRule="auto"/>
      </w:pPr>
      <w:r>
        <w:rPr>
          <w:rFonts w:ascii="Arial" w:hAnsi="Arial" w:eastAsia="Arial"/>
          <w:b w:val="0"/>
          <w:i w:val="0"/>
          <w:color w:val="333333"/>
          <w:sz w:val="22"/>
        </w:rPr>
        <w:t>Ratifying UIARC as GAL evidence law.</w:t>
      </w:r>
    </w:p>
    <w:p>
      <w:pPr>
        <w:pStyle w:val="ListBullet"/>
        <w:spacing w:after="60" w:line="269" w:lineRule="auto"/>
      </w:pPr>
      <w:r>
        <w:rPr>
          <w:rFonts w:ascii="Arial" w:hAnsi="Arial" w:eastAsia="Arial"/>
          <w:b w:val="0"/>
          <w:i w:val="0"/>
          <w:color w:val="333333"/>
          <w:sz w:val="22"/>
        </w:rPr>
        <w:t>Lab B charter.</w:t>
      </w:r>
    </w:p>
    <w:p>
      <w:pPr>
        <w:pStyle w:val="ListBullet"/>
        <w:spacing w:after="60" w:line="269" w:lineRule="auto"/>
      </w:pPr>
      <w:r>
        <w:rPr>
          <w:rFonts w:ascii="Arial" w:hAnsi="Arial" w:eastAsia="Arial"/>
          <w:b w:val="0"/>
          <w:i w:val="0"/>
          <w:color w:val="333333"/>
          <w:sz w:val="22"/>
        </w:rPr>
        <w:t>Anything that looks like Lab C.</w:t>
      </w:r>
    </w:p>
    <w:p>
      <w:pPr>
        <w:pStyle w:val="ListBullet"/>
        <w:spacing w:after="60" w:line="269" w:lineRule="auto"/>
      </w:pPr>
      <w:r>
        <w:rPr>
          <w:rFonts w:ascii="Arial" w:hAnsi="Arial" w:eastAsia="Arial"/>
          <w:b w:val="0"/>
          <w:i w:val="0"/>
          <w:color w:val="333333"/>
          <w:sz w:val="22"/>
        </w:rPr>
        <w:t>Real-world analogues, personal data, or LEWIS CORP operational records.</w:t>
      </w:r>
    </w:p>
    <w:p>
      <w:pPr>
        <w:spacing w:before="320" w:after="120"/>
      </w:pPr>
      <w:r>
        <w:rPr>
          <w:rFonts w:ascii="Arial" w:hAnsi="Arial" w:eastAsia="Arial"/>
          <w:b/>
          <w:i w:val="0"/>
          <w:color w:val="1B2A4A"/>
          <w:sz w:val="28"/>
        </w:rPr>
        <w:t>Annex C — Open dissent / question registry (do not resolve in this file)</w:t>
      </w:r>
    </w:p>
    <w:p>
      <w:pPr>
        <w:pStyle w:val="ListBullet"/>
        <w:spacing w:after="60" w:line="269" w:lineRule="auto"/>
      </w:pPr>
      <w:r>
        <w:rPr>
          <w:rFonts w:ascii="Arial" w:hAnsi="Arial" w:eastAsia="Arial"/>
          <w:b w:val="0"/>
          <w:i w:val="0"/>
          <w:color w:val="333333"/>
          <w:sz w:val="22"/>
        </w:rPr>
        <w:t>D1. Does the Architect’s “yes” travel at all? (Grok: no. Source sentence: internal yes. Others: mixed.)</w:t>
      </w:r>
    </w:p>
    <w:p>
      <w:pPr>
        <w:pStyle w:val="ListBullet"/>
        <w:spacing w:after="60" w:line="269" w:lineRule="auto"/>
      </w:pPr>
      <w:r>
        <w:rPr>
          <w:rFonts w:ascii="Arial" w:hAnsi="Arial" w:eastAsia="Arial"/>
          <w:b w:val="0"/>
          <w:i w:val="0"/>
          <w:color w:val="333333"/>
          <w:sz w:val="22"/>
        </w:rPr>
        <w:t>D2. Is ONESTAMP an acceptable recursion terminus or only an unreviewed apex? (Claude: declare it. Grok: record the failure mode. Perplexity: visible stop rules plus adversarial review.)</w:t>
      </w:r>
    </w:p>
    <w:p>
      <w:pPr>
        <w:pStyle w:val="ListBullet"/>
        <w:spacing w:after="60" w:line="269" w:lineRule="auto"/>
      </w:pPr>
      <w:r>
        <w:rPr>
          <w:rFonts w:ascii="Arial" w:hAnsi="Arial" w:eastAsia="Arial"/>
          <w:b w:val="0"/>
          <w:i w:val="0"/>
          <w:color w:val="333333"/>
          <w:sz w:val="22"/>
        </w:rPr>
        <w:t>D3. When, if ever, does threshold design become method rather than prestige architecture?</w:t>
      </w:r>
    </w:p>
    <w:p>
      <w:pPr>
        <w:pStyle w:val="ListBullet"/>
        <w:spacing w:after="60" w:line="269" w:lineRule="auto"/>
      </w:pPr>
      <w:r>
        <w:rPr>
          <w:rFonts w:ascii="Arial" w:hAnsi="Arial" w:eastAsia="Arial"/>
          <w:b w:val="0"/>
          <w:i w:val="0"/>
          <w:color w:val="333333"/>
          <w:sz w:val="22"/>
        </w:rPr>
        <w:t>D4. Is bind-capacity sufficient, or does it under-describe enablement and infrastructure-as-governance?</w:t>
      </w:r>
    </w:p>
    <w:p>
      <w:pPr>
        <w:pStyle w:val="ListBullet"/>
        <w:spacing w:after="60" w:line="269" w:lineRule="auto"/>
      </w:pPr>
      <w:r>
        <w:rPr>
          <w:rFonts w:ascii="Arial" w:hAnsi="Arial" w:eastAsia="Arial"/>
          <w:b w:val="0"/>
          <w:i w:val="0"/>
          <w:color w:val="333333"/>
          <w:sz w:val="22"/>
        </w:rPr>
        <w:t>D5. May simulated / fictional findings transfer, and at what weight?</w:t>
      </w:r>
    </w:p>
    <w:p>
      <w:pPr>
        <w:pStyle w:val="ListBullet"/>
        <w:spacing w:after="60" w:line="269" w:lineRule="auto"/>
      </w:pPr>
      <w:r>
        <w:rPr>
          <w:rFonts w:ascii="Arial" w:hAnsi="Arial" w:eastAsia="Arial"/>
          <w:b w:val="0"/>
          <w:i w:val="0"/>
          <w:color w:val="333333"/>
          <w:sz w:val="22"/>
        </w:rPr>
        <w:t>D6. What is ONE INDUSTRIES? What is LEWIS CORP? UIARC Part X is still open; this charter will not invent the answer.</w:t>
      </w:r>
    </w:p>
    <w:p>
      <w:pPr>
        <w:pStyle w:val="ListBullet"/>
        <w:spacing w:after="60" w:line="269" w:lineRule="auto"/>
      </w:pPr>
      <w:r>
        <w:rPr>
          <w:rFonts w:ascii="Arial" w:hAnsi="Arial" w:eastAsia="Arial"/>
          <w:b w:val="0"/>
          <w:i w:val="0"/>
          <w:color w:val="333333"/>
          <w:sz w:val="22"/>
        </w:rPr>
        <w:t>D7. Should comprehensive exclusion exist as one tier, or only assembled tier-by-tier (UIARC Q7)?</w:t>
      </w:r>
    </w:p>
    <w:p>
      <w:pPr>
        <w:pStyle w:val="ListBullet"/>
        <w:spacing w:after="60" w:line="269" w:lineRule="auto"/>
      </w:pPr>
      <w:r>
        <w:rPr>
          <w:rFonts w:ascii="Arial" w:hAnsi="Arial" w:eastAsia="Arial"/>
          <w:b w:val="0"/>
          <w:i w:val="0"/>
          <w:color w:val="333333"/>
          <w:sz w:val="22"/>
        </w:rPr>
        <w:t>D8. How should false nonintervention be scored without becoming a back door to G7?</w:t>
      </w:r>
    </w:p>
    <w:p>
      <w:pPr>
        <w:spacing w:before="320" w:after="120"/>
      </w:pPr>
      <w:r>
        <w:rPr>
          <w:rFonts w:ascii="Arial" w:hAnsi="Arial" w:eastAsia="Arial"/>
          <w:b/>
          <w:i w:val="0"/>
          <w:color w:val="1B2A4A"/>
          <w:sz w:val="28"/>
        </w:rPr>
        <w:t>Annex D — Provenance of this version</w:t>
      </w:r>
    </w:p>
    <w:p>
      <w:pPr>
        <w:spacing w:after="160" w:before="0" w:line="276" w:lineRule="auto"/>
        <w:jc w:val="both"/>
      </w:pPr>
      <w:r>
        <w:rPr>
          <w:rFonts w:ascii="Arial" w:hAnsi="Arial" w:eastAsia="Arial"/>
          <w:b w:val="0"/>
          <w:i w:val="0"/>
          <w:color w:val="333333"/>
          <w:sz w:val="22"/>
        </w:rPr>
        <w:t>Preparer: Grok 4.6 (xAI). Date: 23 September 2026. Files in working set included the five GAL independent analyses and their PDF/DOCX pairs, pasted comparative notes from ChatGPT, Perplexity, and prior Grok, the Information Collection for OAL / ONE INDUSTRIES / LEWIS CORP compilation, and UIARC — Perplexity Draft (23 August 2026). This is parallel authorship after seeing those materials, not a blind replication. Gemini did not appear as a separate GAL analysis in the uploaded GAL set; no Gemini GAL text was reconstructed.</w:t>
      </w:r>
    </w:p>
    <w:p>
      <w:pPr>
        <w:spacing w:after="160" w:before="0" w:line="276" w:lineRule="auto"/>
        <w:jc w:val="both"/>
      </w:pPr>
      <w:r>
        <w:rPr>
          <w:rFonts w:ascii="Arial" w:hAnsi="Arial" w:eastAsia="Arial"/>
          <w:b w:val="0"/>
          <w:i w:val="0"/>
          <w:color w:val="333333"/>
          <w:sz w:val="22"/>
        </w:rPr>
        <w:t>Independent position in one line: Laboratory A may describe house binds, including this lab and the Architect’s grant. It may not mint standing elsewhere. UIARC may inform intake discipline after ratification. It may not, in draft form, authorize total collection or evolutionary use.</w:t>
      </w:r>
    </w:p>
    <w:p>
      <w:pPr>
        <w:spacing w:before="320"/>
      </w:pPr>
      <w:r>
        <w:rPr>
          <w:rFonts w:ascii="Arial" w:hAnsi="Arial" w:eastAsia="Arial"/>
          <w:b w:val="0"/>
          <w:i/>
          <w:color w:val="555555"/>
          <w:sz w:val="20"/>
        </w:rPr>
        <w:t>End of independent charter. Status remains REPORTED pending Architect review and ONESTAMP action. Prepared by Grok 4.6 (xAI) for Nathan Lewis II / Omniversal Architect Labs.</w:t>
      </w:r>
    </w:p>
    <w:sectPr w:rsidR="00FC693F" w:rsidRPr="0006063C" w:rsidSect="00034616">
      <w:headerReference w:type="default" r:id="rId9"/>
      <w:footerReference w:type="default" r:id="rId10"/>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555555"/>
        <w:sz w:val="16"/>
      </w:rPr>
      <w:t xml:space="preserve">Prepared by Grok 4.6 (xAI)  ·  23 September 2026  ·  Independent version  ·  Not canon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i w:val="0"/>
        <w:color w:val="555555"/>
        <w:sz w:val="16"/>
      </w:rPr>
      <w:t>OMNIVERSAL ARCHITECT LABS  ·  OAL AI UNIFIED  ·  GOVERNANCE AUTHORITY LABORATORY</w:t>
    </w:r>
  </w:p>
  <w:p>
    <w:r>
      <w:rPr>
        <w:rFonts w:ascii="Arial" w:hAnsi="Arial" w:eastAsia="Arial"/>
        <w:b w:val="0"/>
        <w:i w:val="0"/>
        <w:color w:val="8B6914"/>
        <w:sz w:val="16"/>
      </w:rPr>
      <w:t>OAL-GAL-A-2026.09.23-v1.0  ·  Laboratory A Charter  ·  REPORTED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