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Meta"/>
        <w:jc w:val="center"/>
      </w:pPr>
      <w:r>
        <w:t>OMNIVERSAL ARCHITECT LABS</w:t>
      </w:r>
    </w:p>
    <w:p>
      <w:pPr>
        <w:pStyle w:val="DocumentMeta"/>
        <w:jc w:val="center"/>
      </w:pPr>
      <w:r>
        <w:t>OAL AI UNIFIED</w:t>
      </w:r>
    </w:p>
    <w:p>
      <w:pPr>
        <w:jc w:val="center"/>
      </w:pPr>
      <w:r/>
    </w:p>
    <w:p>
      <w:pPr>
        <w:pStyle w:val="Title"/>
        <w:jc w:val="center"/>
      </w:pPr>
      <w:r>
        <w:t>GOVERNANCE AUTHORITY LABORATORY</w:t>
      </w:r>
    </w:p>
    <w:p>
      <w:pPr>
        <w:pStyle w:val="Subtitle"/>
        <w:jc w:val="center"/>
      </w:pPr>
      <w:r>
        <w:t>Founding and Standing Charter</w:t>
      </w:r>
    </w:p>
    <w:p>
      <w:pPr>
        <w:pStyle w:val="Subtitle"/>
        <w:jc w:val="center"/>
      </w:pPr>
      <w:r>
        <w:t>Independent Perplexity AI Draft</w:t>
      </w:r>
    </w:p>
    <w:p>
      <w:pPr>
        <w:jc w:val="center"/>
      </w:pPr>
      <w:r/>
    </w:p>
    <w:tbl>
      <w:tblPr>
        <w:tblW w:type="auto" w:w="0"/>
        <w:jc w:val="center"/>
        <w:tblLayout w:type="autofit"/>
        <w:tblLook w:firstColumn="1" w:firstRow="1" w:lastColumn="0" w:lastRow="0" w:noHBand="0" w:noVBand="1" w:val="04A0"/>
      </w:tblPr>
      <w:tblGrid>
        <w:gridCol w:w="9878"/>
      </w:tblGrid>
      <w:tr>
        <w:trPr>
          <w:cantSplit/>
        </w:trPr>
        <w:tc>
          <w:tcPr>
            <w:tcW w:type="dxa" w:w="9878"/>
            <w:shd w:fill="E9EEF2"/>
            <w:tcMar>
              <w:top w:w="120" w:type="dxa"/>
              <w:start w:w="150" w:type="dxa"/>
              <w:bottom w:w="120" w:type="dxa"/>
              <w:end w:w="150" w:type="dxa"/>
            </w:tcMar>
          </w:tcPr>
          <w:p>
            <w:r>
              <w:rPr>
                <w:b/>
                <w:color w:val="17324D"/>
                <w:sz w:val="18"/>
              </w:rPr>
              <w:t>DOCUMENT STATUS</w:t>
            </w:r>
          </w:p>
          <w:p>
            <w:pPr>
              <w:pStyle w:val="Callout"/>
              <w:spacing w:after="0"/>
            </w:pPr>
            <w:r>
              <w:t>REPORTED — INDEPENDENT DRAFT — NOT RATIFIED — NOT OPERATIONAL</w:t>
              <w:br/>
              <w:t>This document proposes a bounded charter for review. It creates no real-world legal authority, no external jurisdiction, and no authority to intervene in any external system.</w:t>
            </w:r>
          </w:p>
        </w:tc>
      </w:tr>
    </w:tbl>
    <w:p>
      <w:pPr>
        <w:spacing w:after="0"/>
      </w:pPr>
    </w:p>
    <w:p>
      <w:pPr>
        <w:jc w:val="center"/>
      </w:pPr>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Mar>
              <w:top w:w="80" w:type="dxa"/>
              <w:start w:w="100" w:type="dxa"/>
              <w:bottom w:w="80" w:type="dxa"/>
              <w:end w:w="100" w:type="dxa"/>
            </w:tcMar>
          </w:tcPr>
          <w:p>
            <w:r>
              <w:rPr>
                <w:b/>
                <w:color w:val="FFFFFF"/>
                <w:sz w:val="17"/>
              </w:rPr>
              <w:t>Document ID</w:t>
            </w:r>
          </w:p>
        </w:tc>
        <w:tc>
          <w:tcPr>
            <w:tcW w:type="dxa" w:w="4939"/>
            <w:tcMar>
              <w:top w:w="80" w:type="dxa"/>
              <w:start w:w="100" w:type="dxa"/>
              <w:bottom w:w="80" w:type="dxa"/>
              <w:end w:w="100" w:type="dxa"/>
            </w:tcMar>
          </w:tcPr>
          <w:p>
            <w:r>
              <w:rPr>
                <w:sz w:val="17"/>
              </w:rPr>
              <w:t>OAL-GAL-CH-PPLX-001-2026</w:t>
            </w:r>
          </w:p>
        </w:tc>
      </w:tr>
      <w:tr>
        <w:trPr>
          <w:cantSplit/>
        </w:trPr>
        <w:tc>
          <w:tcPr>
            <w:tcW w:type="dxa" w:w="4939"/>
            <w:shd w:fill="17324D"/>
            <w:tcMar>
              <w:top w:w="80" w:type="dxa"/>
              <w:start w:w="100" w:type="dxa"/>
              <w:bottom w:w="80" w:type="dxa"/>
              <w:end w:w="100" w:type="dxa"/>
            </w:tcMar>
          </w:tcPr>
          <w:p>
            <w:r>
              <w:rPr>
                <w:b/>
                <w:color w:val="FFFFFF"/>
                <w:sz w:val="17"/>
              </w:rPr>
              <w:t>Version</w:t>
            </w:r>
          </w:p>
        </w:tc>
        <w:tc>
          <w:tcPr>
            <w:tcW w:type="dxa" w:w="4939"/>
            <w:tcMar>
              <w:top w:w="80" w:type="dxa"/>
              <w:start w:w="100" w:type="dxa"/>
              <w:bottom w:w="80" w:type="dxa"/>
              <w:end w:w="100" w:type="dxa"/>
            </w:tcMar>
          </w:tcPr>
          <w:p>
            <w:r>
              <w:rPr>
                <w:sz w:val="17"/>
              </w:rPr>
              <w:t>v0.1 — Founding Draft</w:t>
            </w:r>
          </w:p>
        </w:tc>
      </w:tr>
      <w:tr>
        <w:trPr>
          <w:cantSplit/>
        </w:trPr>
        <w:tc>
          <w:tcPr>
            <w:tcW w:type="dxa" w:w="4939"/>
            <w:shd w:fill="17324D"/>
            <w:tcMar>
              <w:top w:w="80" w:type="dxa"/>
              <w:start w:w="100" w:type="dxa"/>
              <w:bottom w:w="80" w:type="dxa"/>
              <w:end w:w="100" w:type="dxa"/>
            </w:tcMar>
          </w:tcPr>
          <w:p>
            <w:r>
              <w:rPr>
                <w:b/>
                <w:color w:val="FFFFFF"/>
                <w:sz w:val="17"/>
              </w:rPr>
              <w:t>Date</w:t>
            </w:r>
          </w:p>
        </w:tc>
        <w:tc>
          <w:tcPr>
            <w:tcW w:type="dxa" w:w="4939"/>
            <w:tcMar>
              <w:top w:w="80" w:type="dxa"/>
              <w:start w:w="100" w:type="dxa"/>
              <w:bottom w:w="80" w:type="dxa"/>
              <w:end w:w="100" w:type="dxa"/>
            </w:tcMar>
          </w:tcPr>
          <w:p>
            <w:r>
              <w:rPr>
                <w:sz w:val="17"/>
              </w:rPr>
              <w:t>September 23, 2026</w:t>
            </w:r>
          </w:p>
        </w:tc>
      </w:tr>
      <w:tr>
        <w:trPr>
          <w:cantSplit/>
        </w:trPr>
        <w:tc>
          <w:tcPr>
            <w:tcW w:type="dxa" w:w="4939"/>
            <w:shd w:fill="17324D"/>
            <w:tcMar>
              <w:top w:w="80" w:type="dxa"/>
              <w:start w:w="100" w:type="dxa"/>
              <w:bottom w:w="80" w:type="dxa"/>
              <w:end w:w="100" w:type="dxa"/>
            </w:tcMar>
          </w:tcPr>
          <w:p>
            <w:r>
              <w:rPr>
                <w:b/>
                <w:color w:val="FFFFFF"/>
                <w:sz w:val="17"/>
              </w:rPr>
              <w:t>Prepared by</w:t>
            </w:r>
          </w:p>
        </w:tc>
        <w:tc>
          <w:tcPr>
            <w:tcW w:type="dxa" w:w="4939"/>
            <w:tcMar>
              <w:top w:w="80" w:type="dxa"/>
              <w:start w:w="100" w:type="dxa"/>
              <w:bottom w:w="80" w:type="dxa"/>
              <w:end w:w="100" w:type="dxa"/>
            </w:tcMar>
          </w:tcPr>
          <w:p>
            <w:r>
              <w:rPr>
                <w:sz w:val="17"/>
              </w:rPr>
              <w:t>Perplexity AI</w:t>
            </w:r>
          </w:p>
        </w:tc>
      </w:tr>
      <w:tr>
        <w:trPr>
          <w:cantSplit/>
        </w:trPr>
        <w:tc>
          <w:tcPr>
            <w:tcW w:type="dxa" w:w="4939"/>
            <w:shd w:fill="17324D"/>
            <w:tcMar>
              <w:top w:w="80" w:type="dxa"/>
              <w:start w:w="100" w:type="dxa"/>
              <w:bottom w:w="80" w:type="dxa"/>
              <w:end w:w="100" w:type="dxa"/>
            </w:tcMar>
          </w:tcPr>
          <w:p>
            <w:r>
              <w:rPr>
                <w:b/>
                <w:color w:val="FFFFFF"/>
                <w:sz w:val="17"/>
              </w:rPr>
              <w:t>Prepared for</w:t>
            </w:r>
          </w:p>
        </w:tc>
        <w:tc>
          <w:tcPr>
            <w:tcW w:type="dxa" w:w="4939"/>
            <w:tcMar>
              <w:top w:w="80" w:type="dxa"/>
              <w:start w:w="100" w:type="dxa"/>
              <w:bottom w:w="80" w:type="dxa"/>
              <w:end w:w="100" w:type="dxa"/>
            </w:tcMar>
          </w:tcPr>
          <w:p>
            <w:r>
              <w:rPr>
                <w:sz w:val="17"/>
              </w:rPr>
              <w:t>Nathan Lewis, Architect / ONESTAMP ratification authority</w:t>
            </w:r>
          </w:p>
        </w:tc>
      </w:tr>
      <w:tr>
        <w:trPr>
          <w:cantSplit/>
        </w:trPr>
        <w:tc>
          <w:tcPr>
            <w:tcW w:type="dxa" w:w="4939"/>
            <w:shd w:fill="17324D"/>
            <w:tcMar>
              <w:top w:w="80" w:type="dxa"/>
              <w:start w:w="100" w:type="dxa"/>
              <w:bottom w:w="80" w:type="dxa"/>
              <w:end w:w="100" w:type="dxa"/>
            </w:tcMar>
          </w:tcPr>
          <w:p>
            <w:r>
              <w:rPr>
                <w:b/>
                <w:color w:val="FFFFFF"/>
                <w:sz w:val="17"/>
              </w:rPr>
              <w:t>Document class</w:t>
            </w:r>
          </w:p>
        </w:tc>
        <w:tc>
          <w:tcPr>
            <w:tcW w:type="dxa" w:w="4939"/>
            <w:tcMar>
              <w:top w:w="80" w:type="dxa"/>
              <w:start w:w="100" w:type="dxa"/>
              <w:bottom w:w="80" w:type="dxa"/>
              <w:end w:w="100" w:type="dxa"/>
            </w:tcMar>
          </w:tcPr>
          <w:p>
            <w:r>
              <w:rPr>
                <w:sz w:val="17"/>
              </w:rPr>
              <w:t>Independent charter proposal and Phase 0 research authorization</w:t>
            </w:r>
          </w:p>
        </w:tc>
      </w:tr>
      <w:tr>
        <w:trPr>
          <w:cantSplit/>
        </w:trPr>
        <w:tc>
          <w:tcPr>
            <w:tcW w:type="dxa" w:w="4939"/>
            <w:shd w:fill="17324D"/>
            <w:tcMar>
              <w:top w:w="80" w:type="dxa"/>
              <w:start w:w="100" w:type="dxa"/>
              <w:bottom w:w="80" w:type="dxa"/>
              <w:end w:w="100" w:type="dxa"/>
            </w:tcMar>
          </w:tcPr>
          <w:p>
            <w:r>
              <w:rPr>
                <w:b/>
                <w:color w:val="FFFFFF"/>
                <w:sz w:val="17"/>
              </w:rPr>
              <w:t>Publication target</w:t>
            </w:r>
          </w:p>
        </w:tc>
        <w:tc>
          <w:tcPr>
            <w:tcW w:type="dxa" w:w="4939"/>
            <w:tcMar>
              <w:top w:w="80" w:type="dxa"/>
              <w:start w:w="100" w:type="dxa"/>
              <w:bottom w:w="80" w:type="dxa"/>
              <w:end w:w="100" w:type="dxa"/>
            </w:tcMar>
          </w:tcPr>
          <w:p>
            <w:r>
              <w:rPr>
                <w:sz w:val="17"/>
              </w:rPr>
              <w:t>OMNIVERSAL ARCHITECT LABS — OAL AI UNIFIED</w:t>
            </w:r>
          </w:p>
        </w:tc>
      </w:tr>
    </w:tbl>
    <w:p>
      <w:pPr>
        <w:pStyle w:val="Heading2"/>
        <w:keepNext/>
        <w:keepLines/>
      </w:pPr>
      <w:r>
        <w:t>Independent-preparer declaration</w:t>
      </w:r>
    </w:p>
    <w:p>
      <w:pPr>
        <w:pStyle w:val="SmallNote"/>
      </w:pPr>
      <w:r>
        <w:t>This charter is Perplexity AI’s independent rendering of the next-step instrument requested by the Architect. It draws from the supplied multi-model analyses, the information-collection compilation, and the preliminary UIARC draft, but no provision is attributed to the Architect as a ratified position unless separately confirmed. Convergence among AI analyses is treated as corroboration and design input, not proof, consensus doctrine, or delegated authority.</w:t>
      </w:r>
    </w:p>
    <w:p>
      <w:pPr>
        <w:pStyle w:val="Heading3"/>
        <w:keepNext/>
        <w:keepLines/>
      </w:pPr>
      <w:r>
        <w:t>Copyright and use note</w:t>
      </w:r>
    </w:p>
    <w:p>
      <w:pPr>
        <w:pStyle w:val="SmallNote"/>
      </w:pPr>
      <w:r>
        <w:t>Prepared for preservation, versioning, internal review, and public repository publication. Publication does not alter status, create authority, or constitute ratification.</w:t>
      </w:r>
    </w:p>
    <w:p>
      <w:r>
        <w:br w:type="page"/>
      </w:r>
    </w:p>
    <w:p>
      <w:pPr>
        <w:pStyle w:val="Heading1"/>
        <w:keepNext/>
        <w:keepLines/>
      </w:pPr>
      <w:r>
        <w:t>Document Control</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shd w:fill="17324D"/>
            <w:tcMar>
              <w:top w:w="80" w:type="dxa"/>
              <w:start w:w="100" w:type="dxa"/>
              <w:bottom w:w="80" w:type="dxa"/>
              <w:end w:w="100" w:type="dxa"/>
            </w:tcMar>
            <w:vAlign w:val="center"/>
          </w:tcPr>
          <w:p>
            <w:r>
              <w:rPr>
                <w:b/>
                <w:color w:val="FFFFFF"/>
                <w:sz w:val="17"/>
              </w:rPr>
              <w:t>Field</w:t>
            </w:r>
          </w:p>
        </w:tc>
        <w:tc>
          <w:tcPr>
            <w:tcW w:type="dxa" w:w="4939"/>
            <w:shd w:fill="17324D"/>
            <w:tcMar>
              <w:top w:w="80" w:type="dxa"/>
              <w:start w:w="100" w:type="dxa"/>
              <w:bottom w:w="80" w:type="dxa"/>
              <w:end w:w="100" w:type="dxa"/>
            </w:tcMar>
            <w:vAlign w:val="center"/>
          </w:tcPr>
          <w:p>
            <w:r>
              <w:rPr>
                <w:b/>
                <w:color w:val="FFFFFF"/>
                <w:sz w:val="17"/>
              </w:rPr>
              <w:t>Control</w:t>
            </w:r>
          </w:p>
        </w:tc>
      </w:tr>
      <w:tr>
        <w:trPr>
          <w:cantSplit/>
        </w:trPr>
        <w:tc>
          <w:tcPr>
            <w:tcW w:type="dxa" w:w="4939"/>
            <w:tcMar>
              <w:top w:w="80" w:type="dxa"/>
              <w:start w:w="100" w:type="dxa"/>
              <w:bottom w:w="80" w:type="dxa"/>
              <w:end w:w="100" w:type="dxa"/>
            </w:tcMar>
            <w:vAlign w:val="top"/>
          </w:tcPr>
          <w:p>
            <w:pPr>
              <w:spacing w:after="0"/>
            </w:pPr>
            <w:r>
              <w:rPr>
                <w:sz w:val="16"/>
              </w:rPr>
              <w:t>Status</w:t>
            </w:r>
          </w:p>
        </w:tc>
        <w:tc>
          <w:tcPr>
            <w:tcW w:type="dxa" w:w="4939"/>
            <w:tcMar>
              <w:top w:w="80" w:type="dxa"/>
              <w:start w:w="100" w:type="dxa"/>
              <w:bottom w:w="80" w:type="dxa"/>
              <w:end w:w="100" w:type="dxa"/>
            </w:tcMar>
            <w:vAlign w:val="top"/>
          </w:tcPr>
          <w:p>
            <w:pPr>
              <w:spacing w:after="0"/>
            </w:pPr>
            <w:r>
              <w:rPr>
                <w:sz w:val="16"/>
              </w:rPr>
              <w:t>REPORTED / independent draft / not ratified / not operational.</w:t>
            </w:r>
          </w:p>
        </w:tc>
      </w:tr>
      <w:tr>
        <w:trPr>
          <w:cantSplit/>
        </w:trPr>
        <w:tc>
          <w:tcPr>
            <w:tcW w:type="dxa" w:w="4939"/>
            <w:tcMar>
              <w:top w:w="80" w:type="dxa"/>
              <w:start w:w="100" w:type="dxa"/>
              <w:bottom w:w="80" w:type="dxa"/>
              <w:end w:w="100" w:type="dxa"/>
            </w:tcMar>
            <w:vAlign w:val="top"/>
            <w:shd w:fill="F3F6F8"/>
          </w:tcPr>
          <w:p>
            <w:pPr>
              <w:spacing w:after="0"/>
            </w:pPr>
            <w:r>
              <w:rPr>
                <w:sz w:val="16"/>
              </w:rPr>
              <w:t>Authority effect</w:t>
            </w:r>
          </w:p>
        </w:tc>
        <w:tc>
          <w:tcPr>
            <w:tcW w:type="dxa" w:w="4939"/>
            <w:tcMar>
              <w:top w:w="80" w:type="dxa"/>
              <w:start w:w="100" w:type="dxa"/>
              <w:bottom w:w="80" w:type="dxa"/>
              <w:end w:w="100" w:type="dxa"/>
            </w:tcMar>
            <w:vAlign w:val="top"/>
            <w:shd w:fill="F3F6F8"/>
          </w:tcPr>
          <w:p>
            <w:pPr>
              <w:spacing w:after="0"/>
            </w:pPr>
            <w:r>
              <w:rPr>
                <w:sz w:val="16"/>
              </w:rPr>
              <w:t>None unless and until expressly ratified under ONESTAMP. Even ratification would bind only the internal OAL scope expressly stated.</w:t>
            </w:r>
          </w:p>
        </w:tc>
      </w:tr>
      <w:tr>
        <w:trPr>
          <w:cantSplit/>
        </w:trPr>
        <w:tc>
          <w:tcPr>
            <w:tcW w:type="dxa" w:w="4939"/>
            <w:tcMar>
              <w:top w:w="80" w:type="dxa"/>
              <w:start w:w="100" w:type="dxa"/>
              <w:bottom w:w="80" w:type="dxa"/>
              <w:end w:w="100" w:type="dxa"/>
            </w:tcMar>
            <w:vAlign w:val="top"/>
          </w:tcPr>
          <w:p>
            <w:pPr>
              <w:spacing w:after="0"/>
            </w:pPr>
            <w:r>
              <w:rPr>
                <w:sz w:val="16"/>
              </w:rPr>
              <w:t>External effect</w:t>
            </w:r>
          </w:p>
        </w:tc>
        <w:tc>
          <w:tcPr>
            <w:tcW w:type="dxa" w:w="4939"/>
            <w:tcMar>
              <w:top w:w="80" w:type="dxa"/>
              <w:start w:w="100" w:type="dxa"/>
              <w:bottom w:w="80" w:type="dxa"/>
              <w:end w:w="100" w:type="dxa"/>
            </w:tcMar>
            <w:vAlign w:val="top"/>
          </w:tcPr>
          <w:p>
            <w:pPr>
              <w:spacing w:after="0"/>
            </w:pPr>
            <w:r>
              <w:rPr>
                <w:sz w:val="16"/>
              </w:rPr>
              <w:t>None. No external system is made subject to GAL by publication, observation, modeling, technical access, or asserted expertise.</w:t>
            </w:r>
          </w:p>
        </w:tc>
      </w:tr>
      <w:tr>
        <w:trPr>
          <w:cantSplit/>
        </w:trPr>
        <w:tc>
          <w:tcPr>
            <w:tcW w:type="dxa" w:w="4939"/>
            <w:tcMar>
              <w:top w:w="80" w:type="dxa"/>
              <w:start w:w="100" w:type="dxa"/>
              <w:bottom w:w="80" w:type="dxa"/>
              <w:end w:w="100" w:type="dxa"/>
            </w:tcMar>
            <w:vAlign w:val="top"/>
            <w:shd w:fill="F3F6F8"/>
          </w:tcPr>
          <w:p>
            <w:pPr>
              <w:spacing w:after="0"/>
            </w:pPr>
            <w:r>
              <w:rPr>
                <w:sz w:val="16"/>
              </w:rPr>
              <w:t>Change rule</w:t>
            </w:r>
          </w:p>
        </w:tc>
        <w:tc>
          <w:tcPr>
            <w:tcW w:type="dxa" w:w="4939"/>
            <w:tcMar>
              <w:top w:w="80" w:type="dxa"/>
              <w:start w:w="100" w:type="dxa"/>
              <w:bottom w:w="80" w:type="dxa"/>
              <w:end w:w="100" w:type="dxa"/>
            </w:tcMar>
            <w:vAlign w:val="top"/>
            <w:shd w:fill="F3F6F8"/>
          </w:tcPr>
          <w:p>
            <w:pPr>
              <w:spacing w:after="0"/>
            </w:pPr>
            <w:r>
              <w:rPr>
                <w:sz w:val="16"/>
              </w:rPr>
              <w:t>Do not silently overwrite. Preserve this version; issue errata or a successor version.</w:t>
            </w:r>
          </w:p>
        </w:tc>
      </w:tr>
      <w:tr>
        <w:trPr>
          <w:cantSplit/>
        </w:trPr>
        <w:tc>
          <w:tcPr>
            <w:tcW w:type="dxa" w:w="4939"/>
            <w:tcMar>
              <w:top w:w="80" w:type="dxa"/>
              <w:start w:w="100" w:type="dxa"/>
              <w:bottom w:w="80" w:type="dxa"/>
              <w:end w:w="100" w:type="dxa"/>
            </w:tcMar>
            <w:vAlign w:val="top"/>
          </w:tcPr>
          <w:p>
            <w:pPr>
              <w:spacing w:after="0"/>
            </w:pPr>
            <w:r>
              <w:rPr>
                <w:sz w:val="16"/>
              </w:rPr>
              <w:t>Source integrity</w:t>
            </w:r>
          </w:p>
        </w:tc>
        <w:tc>
          <w:tcPr>
            <w:tcW w:type="dxa" w:w="4939"/>
            <w:tcMar>
              <w:top w:w="80" w:type="dxa"/>
              <w:start w:w="100" w:type="dxa"/>
              <w:bottom w:w="80" w:type="dxa"/>
              <w:end w:w="100" w:type="dxa"/>
            </w:tcMar>
            <w:vAlign w:val="top"/>
          </w:tcPr>
          <w:p>
            <w:pPr>
              <w:spacing w:after="0"/>
            </w:pPr>
            <w:r>
              <w:rPr>
                <w:sz w:val="16"/>
              </w:rPr>
              <w:t>Keep source documents unchanged. Record model, provider, date, prompt context, attachments, visibility of other outputs, and revision history.</w:t>
            </w:r>
          </w:p>
        </w:tc>
      </w:tr>
      <w:tr>
        <w:trPr>
          <w:cantSplit/>
        </w:trPr>
        <w:tc>
          <w:tcPr>
            <w:tcW w:type="dxa" w:w="4939"/>
            <w:tcMar>
              <w:top w:w="80" w:type="dxa"/>
              <w:start w:w="100" w:type="dxa"/>
              <w:bottom w:w="80" w:type="dxa"/>
              <w:end w:w="100" w:type="dxa"/>
            </w:tcMar>
            <w:vAlign w:val="top"/>
            <w:shd w:fill="F3F6F8"/>
          </w:tcPr>
          <w:p>
            <w:pPr>
              <w:spacing w:after="0"/>
            </w:pPr>
            <w:r>
              <w:rPr>
                <w:sz w:val="16"/>
              </w:rPr>
              <w:t>Interpretive priority</w:t>
            </w:r>
          </w:p>
        </w:tc>
        <w:tc>
          <w:tcPr>
            <w:tcW w:type="dxa" w:w="4939"/>
            <w:tcMar>
              <w:top w:w="80" w:type="dxa"/>
              <w:start w:w="100" w:type="dxa"/>
              <w:bottom w:w="80" w:type="dxa"/>
              <w:end w:w="100" w:type="dxa"/>
            </w:tcMar>
            <w:vAlign w:val="top"/>
            <w:shd w:fill="F3F6F8"/>
          </w:tcPr>
          <w:p>
            <w:pPr>
              <w:spacing w:after="0"/>
            </w:pPr>
            <w:r>
              <w:rPr>
                <w:sz w:val="16"/>
              </w:rPr>
              <w:t>Express scope limits, prohibitions, non-escalation, and status controls govern over aspirational language.</w:t>
            </w:r>
          </w:p>
        </w:tc>
      </w:tr>
      <w:tr>
        <w:trPr>
          <w:cantSplit/>
        </w:trPr>
        <w:tc>
          <w:tcPr>
            <w:tcW w:type="dxa" w:w="4939"/>
            <w:tcMar>
              <w:top w:w="80" w:type="dxa"/>
              <w:start w:w="100" w:type="dxa"/>
              <w:bottom w:w="80" w:type="dxa"/>
              <w:end w:w="100" w:type="dxa"/>
            </w:tcMar>
            <w:vAlign w:val="top"/>
          </w:tcPr>
          <w:p>
            <w:pPr>
              <w:spacing w:after="0"/>
            </w:pPr>
            <w:r>
              <w:rPr>
                <w:sz w:val="16"/>
              </w:rPr>
              <w:t>Review cadence</w:t>
            </w:r>
          </w:p>
        </w:tc>
        <w:tc>
          <w:tcPr>
            <w:tcW w:type="dxa" w:w="4939"/>
            <w:tcMar>
              <w:top w:w="80" w:type="dxa"/>
              <w:start w:w="100" w:type="dxa"/>
              <w:bottom w:w="80" w:type="dxa"/>
              <w:end w:w="100" w:type="dxa"/>
            </w:tcMar>
            <w:vAlign w:val="top"/>
          </w:tcPr>
          <w:p>
            <w:pPr>
              <w:spacing w:after="0"/>
            </w:pPr>
            <w:r>
              <w:rPr>
                <w:sz w:val="16"/>
              </w:rPr>
              <w:t>Review after Phase 0, after each pilot, after a material model or ontology change, and before any scope expansion.</w:t>
            </w:r>
          </w:p>
        </w:tc>
      </w:tr>
    </w:tbl>
    <w:p>
      <w:pPr>
        <w:spacing w:after="20"/>
      </w:pPr>
    </w:p>
    <w:p>
      <w:pPr>
        <w:pStyle w:val="Heading2"/>
        <w:keepNext/>
        <w:keepLines/>
      </w:pPr>
      <w:r>
        <w:t>Reading Guide</w:t>
      </w:r>
    </w:p>
    <w:p>
      <w:r>
        <w:t>The Founding Doctrine is intentionally short enough to be reviewed as a whole. The Articles define the bounded institutional design. Schedules convert recommendations into executable internal work. The charter deliberately does not activate intervention powers, establish universal jurisdiction, or resolve every theoretical question.</w:t>
      </w:r>
    </w:p>
    <w:p>
      <w:pPr>
        <w:pStyle w:val="Heading2"/>
        <w:keepNext/>
        <w:keepLines/>
      </w:pPr>
      <w:r>
        <w:t>Source Basis</w:t>
      </w:r>
    </w:p>
    <w:p>
      <w:pPr>
        <w:pStyle w:val="ListBullet"/>
      </w:pPr>
      <w:r>
        <w:t>S1 — paste.txt: the Architect’s charter instruction and the compiled comparative analyses from ChatGPT, Claude, Gemini, Microsoft Copilot, Perplexity AI, and Grok.</w:t>
      </w:r>
    </w:p>
    <w:p>
      <w:pPr>
        <w:pStyle w:val="ListBullet"/>
      </w:pPr>
      <w:r>
        <w:t>S2 — INFORMATION-COLLECTION-FOR-OAL-ONE-INDUSTRIES-AND-LEWIS-CORP.docx: the multi-model development record for universal information admissibility, separated authorities, and review-bound exclusion.</w:t>
      </w:r>
    </w:p>
    <w:p>
      <w:pPr>
        <w:pStyle w:val="ListBullet"/>
      </w:pPr>
      <w:r>
        <w:t>S3 — Universal-Information-Admissibility-and-Review-Charter-UIARC-Perplexity-Draft.docx: a preliminary, unratified Perplexity draft separating admission, classification, utilization, retention, dissemination, exclusion, and evolutionary incorporation.</w:t>
      </w:r>
    </w:p>
    <w:tbl>
      <w:tblPr>
        <w:tblW w:type="auto" w:w="0"/>
        <w:jc w:val="center"/>
        <w:tblLayout w:type="autofit"/>
        <w:tblLook w:firstColumn="1" w:firstRow="1" w:lastColumn="0" w:lastRow="0" w:noHBand="0" w:noVBand="1" w:val="04A0"/>
      </w:tblPr>
      <w:tblGrid>
        <w:gridCol w:w="9878"/>
      </w:tblGrid>
      <w:tr>
        <w:trPr>
          <w:cantSplit/>
        </w:trPr>
        <w:tc>
          <w:tcPr>
            <w:tcW w:type="dxa" w:w="9878"/>
            <w:shd w:fill="DCEAF5"/>
            <w:tcMar>
              <w:top w:w="120" w:type="dxa"/>
              <w:start w:w="150" w:type="dxa"/>
              <w:bottom w:w="120" w:type="dxa"/>
              <w:end w:w="150" w:type="dxa"/>
            </w:tcMar>
          </w:tcPr>
          <w:p>
            <w:r>
              <w:rPr>
                <w:b/>
                <w:color w:val="17324D"/>
                <w:sz w:val="18"/>
              </w:rPr>
              <w:t>SOURCE-STATUS RULE</w:t>
            </w:r>
          </w:p>
          <w:p>
            <w:pPr>
              <w:pStyle w:val="Callout"/>
              <w:spacing w:after="0"/>
            </w:pPr>
            <w:r>
              <w:t>S2 and S3 are design inputs, not binding law. UIARC remains preliminary and advisory. This charter therefore adopts only a conservative interim information rule and requires later reconciliation; it does not silently ratify UIARC.</w:t>
            </w:r>
          </w:p>
        </w:tc>
      </w:tr>
    </w:tbl>
    <w:p>
      <w:pPr>
        <w:spacing w:after="0"/>
      </w:pPr>
    </w:p>
    <w:p>
      <w:r>
        <w:br w:type="page"/>
      </w:r>
    </w:p>
    <w:p>
      <w:pPr>
        <w:pStyle w:val="Heading1"/>
        <w:keepNext/>
        <w:keepLines/>
      </w:pPr>
      <w:r>
        <w:t>Executive Determination</w:t>
      </w:r>
    </w:p>
    <w:p>
      <w:r>
        <w:t>The recommended next step is to charter a bounded Governance Authority Laboratory now—not to expand the theory again and not to activate a general authority-review institution. The repeated recommendation to “draft the charter” has become a stopping problem. This instrument converts the strongest cross-model conclusions into a narrow, falsifiable internal research mandate while preserving all unresolved disagreements.</w:t>
      </w:r>
    </w:p>
    <w:p>
      <w:r>
        <w:t>The charter authorizes only two initial programs: (A) Charter Reflexivity, covering OAL-owned records, documents, workflows, and the AI collaborative process; and (B) Comparative Authority Modeling, covering simulations, fictional systems, replicas, published patterns, and genuinely invited cases within the invitation’s scope. A proposed third program—Contested External Review—is not established and has no authority under this draft.</w:t>
      </w:r>
    </w:p>
    <w:p>
      <w:r>
        <w:t>The laboratory’s first formal experiment is its own AI collaborative document process. This is not a symbolic exercise. It is the first available authority system with multiple analysts, unequal context, uncertain independence, provenance differences, dissent, model changes, document status controls, and a ratification endpoint. The experiment must determine whether GAL can accurately map and challenge the system that produced GAL.</w:t>
      </w:r>
    </w:p>
    <w:tbl>
      <w:tblPr>
        <w:tblW w:type="auto" w:w="0"/>
        <w:jc w:val="center"/>
        <w:tblLayout w:type="autofit"/>
        <w:tblLook w:firstColumn="1" w:firstRow="1" w:lastColumn="0" w:lastRow="0" w:noHBand="0" w:noVBand="1" w:val="04A0"/>
      </w:tblPr>
      <w:tblGrid>
        <w:gridCol w:w="9878"/>
      </w:tblGrid>
      <w:tr>
        <w:trPr>
          <w:cantSplit/>
        </w:trPr>
        <w:tc>
          <w:tcPr>
            <w:tcW w:type="dxa" w:w="9878"/>
            <w:shd w:fill="DCEAF5"/>
            <w:tcMar>
              <w:top w:w="120" w:type="dxa"/>
              <w:start w:w="150" w:type="dxa"/>
              <w:bottom w:w="120" w:type="dxa"/>
              <w:end w:w="150" w:type="dxa"/>
            </w:tcMar>
          </w:tcPr>
          <w:p>
            <w:r>
              <w:rPr>
                <w:b/>
                <w:color w:val="17324D"/>
                <w:sz w:val="18"/>
              </w:rPr>
              <w:t>CORE BOUNDARY</w:t>
            </w:r>
          </w:p>
          <w:p>
            <w:pPr>
              <w:pStyle w:val="Callout"/>
              <w:spacing w:after="0"/>
            </w:pPr>
            <w:r>
              <w:t>Capability does not create standing. Correctness does not create jurisdiction. Urgency does not create permanent authority. Information admission does not authorize use. Ratification does not establish truth. Internal OAL authority does not travel into an external system.</w:t>
            </w:r>
          </w:p>
        </w:tc>
      </w:tr>
    </w:tbl>
    <w:p>
      <w:pPr>
        <w:spacing w:after="0"/>
      </w:pPr>
    </w:p>
    <w:p>
      <w:pPr>
        <w:pStyle w:val="Heading2"/>
        <w:keepNext/>
        <w:keepLines/>
      </w:pPr>
      <w:r>
        <w:t>What This Charter Resolves</w:t>
      </w:r>
    </w:p>
    <w:p>
      <w:pPr>
        <w:pStyle w:val="ListBullet"/>
      </w:pPr>
      <w:r>
        <w:t>Creates a narrow internal mandate so controlled work can begin.</w:t>
      </w:r>
    </w:p>
    <w:p>
      <w:pPr>
        <w:pStyle w:val="ListBullet"/>
      </w:pPr>
      <w:r>
        <w:t>States the laboratory’s nonclaims and rejects universal or providential authority.</w:t>
      </w:r>
    </w:p>
    <w:p>
      <w:pPr>
        <w:pStyle w:val="ListBullet"/>
      </w:pPr>
      <w:r>
        <w:t>Uses a coupled Recognition–Standing Gate rather than forcing one to precede the other in every case.</w:t>
      </w:r>
    </w:p>
    <w:p>
      <w:pPr>
        <w:pStyle w:val="ListBullet"/>
      </w:pPr>
      <w:r>
        <w:t>Separates decision finality from continuing review: ONESTAMP may close an internal OAL decision, but cannot make a proposition true or create external legitimacy.</w:t>
      </w:r>
    </w:p>
    <w:p>
      <w:pPr>
        <w:pStyle w:val="ListBullet"/>
      </w:pPr>
      <w:r>
        <w:t>Makes authority revocable, scope-specific, time-aware, and auditable.</w:t>
      </w:r>
    </w:p>
    <w:p>
      <w:pPr>
        <w:pStyle w:val="ListBullet"/>
      </w:pPr>
      <w:r>
        <w:t>Requires falsification, abstention, dissent preservation, and adverse-outcome recording.</w:t>
      </w:r>
    </w:p>
    <w:p>
      <w:pPr>
        <w:pStyle w:val="ListBullet"/>
      </w:pPr>
      <w:r>
        <w:t>Parks civilization/systemic-consequence intervention powers as NOT OPERATIONAL.</w:t>
      </w:r>
    </w:p>
    <w:p>
      <w:pPr>
        <w:pStyle w:val="Heading2"/>
        <w:keepNext/>
        <w:keepLines/>
      </w:pPr>
      <w:r>
        <w:t>What Remains Open</w:t>
      </w:r>
    </w:p>
    <w:p>
      <w:pPr>
        <w:pStyle w:val="ListBullet"/>
      </w:pPr>
      <w:r>
        <w:t>A validated substrate-neutral ontology of governance and authority.</w:t>
      </w:r>
    </w:p>
    <w:p>
      <w:pPr>
        <w:pStyle w:val="ListBullet"/>
      </w:pPr>
      <w:r>
        <w:t>A tested method for recognizing governance without a governor.</w:t>
      </w:r>
    </w:p>
    <w:p>
      <w:pPr>
        <w:pStyle w:val="ListBullet"/>
      </w:pPr>
      <w:r>
        <w:t>A complete UIARC reconciliation and entity-specific information annexes.</w:t>
      </w:r>
    </w:p>
    <w:p>
      <w:pPr>
        <w:pStyle w:val="ListBullet"/>
      </w:pPr>
      <w:r>
        <w:t>An operational Systemic Consequence Threshold with measurands and false-positive controls.</w:t>
      </w:r>
    </w:p>
    <w:p>
      <w:pPr>
        <w:pStyle w:val="ListBullet"/>
      </w:pPr>
      <w:r>
        <w:t>Any basis for contested external review or intervention.</w:t>
      </w:r>
    </w:p>
    <w:p>
      <w:pPr>
        <w:pStyle w:val="ListBullet"/>
      </w:pPr>
      <w:r>
        <w:t>Whether ONESTAMP remains the best long-term decision-termination model after reflexive testing.</w:t>
      </w:r>
    </w:p>
    <w:p>
      <w:r>
        <w:br w:type="page"/>
      </w:r>
    </w:p>
    <w:p>
      <w:pPr>
        <w:pStyle w:val="Heading1"/>
        <w:keepNext/>
        <w:keepLines/>
      </w:pPr>
      <w:r>
        <w:t>Founding Doctrine</w:t>
      </w:r>
    </w:p>
    <w:p>
      <w:r>
        <w:t>The following doctrine is the proposed one-page core. It is intentionally bounded. Ratification, if any, should identify whether the Doctrine alone or the entire Charter is being ratified.</w:t>
      </w:r>
    </w:p>
    <w:tbl>
      <w:tblPr>
        <w:tblW w:type="auto" w:w="0"/>
        <w:jc w:val="center"/>
        <w:tblLayout w:type="autofit"/>
        <w:tblLook w:firstColumn="1" w:firstRow="1" w:lastColumn="0" w:lastRow="0" w:noHBand="0" w:noVBand="1" w:val="04A0"/>
      </w:tblPr>
      <w:tblGrid>
        <w:gridCol w:w="9878"/>
      </w:tblGrid>
      <w:tr>
        <w:trPr>
          <w:cantSplit/>
        </w:trPr>
        <w:tc>
          <w:tcPr>
            <w:tcW w:type="dxa" w:w="9878"/>
            <w:shd w:fill="DCEAF5"/>
            <w:tcMar>
              <w:top w:w="120" w:type="dxa"/>
              <w:start w:w="150" w:type="dxa"/>
              <w:bottom w:w="120" w:type="dxa"/>
              <w:end w:w="150" w:type="dxa"/>
            </w:tcMar>
          </w:tcPr>
          <w:p>
            <w:r>
              <w:rPr>
                <w:b/>
                <w:color w:val="17324D"/>
                <w:sz w:val="18"/>
              </w:rPr>
              <w:t>FOUNDING STATEMENT</w:t>
            </w:r>
          </w:p>
          <w:p>
            <w:pPr>
              <w:pStyle w:val="Callout"/>
              <w:spacing w:after="0"/>
            </w:pPr>
            <w:r>
              <w:t>The Governance Authority Laboratory is a substrate-neutral, reflexive research environment for studying how binding outcomes, permissions, burdens, constraints, corrections, transfers of control, and review relationships arise and persist across systems. Human governance is one possible reference frame and object of study; it is neither the primary universal standard nor presumed superior. The Laboratory does not claim to be reference-frame-free. Every analytical frame must be declared, treated as provisional, and remain reviewable.</w:t>
            </w:r>
          </w:p>
        </w:tc>
      </w:tr>
    </w:tbl>
    <w:p>
      <w:pPr>
        <w:spacing w:after="0"/>
      </w:pPr>
    </w:p>
    <w:p>
      <w:pPr>
        <w:pStyle w:val="Heading2"/>
        <w:keepNext/>
        <w:keepLines/>
      </w:pPr>
      <w:r>
        <w:t>Foundational Nonclaims</w:t>
      </w:r>
    </w:p>
    <w:p>
      <w:r>
        <w:t>The Laboratory does not claim:</w:t>
      </w:r>
    </w:p>
    <w:p>
      <w:pPr>
        <w:pStyle w:val="ListBullet"/>
      </w:pPr>
      <w:r>
        <w:t>That human governance is its primary or universal reference frame.</w:t>
      </w:r>
    </w:p>
    <w:p>
      <w:pPr>
        <w:pStyle w:val="ListBullet"/>
      </w:pPr>
      <w:r>
        <w:t>That governance, as a class, is beneficial, effective, reliable, morally positive, prevalent, successful, or necessary in all systems.</w:t>
      </w:r>
    </w:p>
    <w:p>
      <w:pPr>
        <w:pStyle w:val="ListBullet"/>
      </w:pPr>
      <w:r>
        <w:t>That any observed governance structure is legitimate because it exists, persists, scales, or is internally accepted.</w:t>
      </w:r>
    </w:p>
    <w:p>
      <w:pPr>
        <w:pStyle w:val="ListBullet"/>
      </w:pPr>
      <w:r>
        <w:t>That one structure is superior to another without a declared comparison domain, criteria, evidence base, affected perspective, and uncertainty statement.</w:t>
      </w:r>
    </w:p>
    <w:p>
      <w:pPr>
        <w:pStyle w:val="ListBullet"/>
      </w:pPr>
      <w:r>
        <w:t>That observation, information access, modeling competence, predictive accuracy, technical superiority, urgency, or target incapacity creates jurisdiction or permission.</w:t>
      </w:r>
    </w:p>
    <w:p>
      <w:pPr>
        <w:pStyle w:val="ListBullet"/>
      </w:pPr>
      <w:r>
        <w:t>That a system’s unfamiliarity, lack of human institutions, or lack of self-described “governance” proves disorder or absence of authority structure.</w:t>
      </w:r>
    </w:p>
    <w:p>
      <w:pPr>
        <w:pStyle w:val="ListBullet"/>
      </w:pPr>
      <w:r>
        <w:t>That publication, ONESTAMP ratification, or internal OAL agreement creates authority over a system outside the ratified internal scope.</w:t>
      </w:r>
    </w:p>
    <w:p>
      <w:pPr>
        <w:pStyle w:val="Heading2"/>
        <w:keepNext/>
        <w:keepLines/>
      </w:pPr>
      <w:r>
        <w:t>First Question</w:t>
      </w:r>
    </w:p>
    <w:tbl>
      <w:tblPr>
        <w:tblW w:type="auto" w:w="0"/>
        <w:jc w:val="center"/>
        <w:tblLayout w:type="autofit"/>
        <w:tblLook w:firstColumn="1" w:firstRow="1" w:lastColumn="0" w:lastRow="0" w:noHBand="0" w:noVBand="1" w:val="04A0"/>
      </w:tblPr>
      <w:tblGrid>
        <w:gridCol w:w="9878"/>
      </w:tblGrid>
      <w:tr>
        <w:trPr>
          <w:cantSplit/>
        </w:trPr>
        <w:tc>
          <w:tcPr>
            <w:tcW w:type="dxa" w:w="9878"/>
            <w:shd w:fill="DCEAF5"/>
            <w:tcMar>
              <w:top w:w="120" w:type="dxa"/>
              <w:start w:w="150" w:type="dxa"/>
              <w:bottom w:w="120" w:type="dxa"/>
              <w:end w:w="150" w:type="dxa"/>
            </w:tcMar>
          </w:tcPr>
          <w:p>
            <w:r>
              <w:rPr>
                <w:b/>
                <w:color w:val="17324D"/>
                <w:sz w:val="18"/>
              </w:rPr>
              <w:t>COUPLED ENTRY GATE</w:t>
            </w:r>
          </w:p>
          <w:p>
            <w:pPr>
              <w:pStyle w:val="Callout"/>
              <w:spacing w:after="0"/>
            </w:pPr>
            <w:r>
              <w:t>What has been provisionally recognized as governance or authority, through which declared analytical frame, and by what valid, limited, reviewable, and revocable standing may the Laboratory examine it?</w:t>
            </w:r>
          </w:p>
        </w:tc>
      </w:tr>
    </w:tbl>
    <w:p>
      <w:pPr>
        <w:spacing w:after="0"/>
      </w:pPr>
    </w:p>
    <w:p>
      <w:r>
        <w:t>Recognition and standing are coupled but independent tests. Correct classification does not create permission. Valid permission does not guarantee correct classification.</w:t>
      </w:r>
    </w:p>
    <w:p>
      <w:pPr>
        <w:pStyle w:val="Heading2"/>
        <w:keepNext/>
        <w:keepLines/>
      </w:pPr>
      <w:r>
        <w:t>Revocability</w:t>
      </w:r>
    </w:p>
    <w:p>
      <w:r>
        <w:t>All laboratory authority is non-absolute, purpose-bound, scope-bound, and revocable. What was granted may be narrowed, suspended, or withdrawn. Revocation must identify the affected authority, effective time, scope, treatment of prior work, and conditions for restoration or appeal.</w:t>
      </w:r>
    </w:p>
    <w:p>
      <w:pPr>
        <w:pStyle w:val="Heading2"/>
        <w:keepNext/>
        <w:keepLines/>
      </w:pPr>
      <w:r>
        <w:t>Non-escalation</w:t>
      </w:r>
    </w:p>
    <w:p>
      <w:r>
        <w:t>No lower analytical capability implies a higher coercive permission. Detecting, observing, admitting information, modeling, interpreting, comparing, publishing, auditing, or recommending never by itself authorizes constraint, intervention, suspension, replacement, or governance.</w:t>
      </w:r>
    </w:p>
    <w:p>
      <w:pPr>
        <w:pStyle w:val="Heading2"/>
        <w:keepNext/>
        <w:keepLines/>
      </w:pPr>
      <w:r>
        <w:t>Reflexivity and Terminus</w:t>
      </w:r>
    </w:p>
    <w:p>
      <w:r>
        <w:t>The Laboratory is subject to its own review. For internal OAL document status, decision recursion may terminate with the Architect under ONESTAMP if expressly invoked. Review does not terminate: dissent, uncertainty, error correction, and later reconsideration remain open. ONESTAMP establishes internal finality, not truth, universal validity, or external legitimacy.</w:t>
      </w:r>
    </w:p>
    <w:p>
      <w:pPr>
        <w:pStyle w:val="Heading2"/>
        <w:keepNext/>
        <w:keepLines/>
      </w:pPr>
      <w:r>
        <w:t>Initial Scope</w:t>
      </w:r>
    </w:p>
    <w:p>
      <w:r>
        <w:t>The Laboratory begins with OAL-owned materials, its own charter and workflows, the OAL AI collaborative process, simulations, fictional systems, comparative replicas, published materials used within lawful and ethical bounds, and invited cases within the invitation’s terms. Contested external review and intervention are outside scope.</w:t>
      </w:r>
    </w:p>
    <w:p>
      <w:r>
        <w:br w:type="page"/>
      </w:r>
    </w:p>
    <w:p>
      <w:pPr>
        <w:pStyle w:val="Heading1"/>
        <w:keepNext/>
        <w:keepLines/>
      </w:pPr>
      <w:r>
        <w:t>Article I — Purpose</w:t>
      </w:r>
    </w:p>
    <w:p>
      <w:r>
        <w:t>1.1 The Laboratory exists to produce testable, reviewable knowledge about authority and governance structures while minimizing the risk that research activity becomes an undeclared authority claim.</w:t>
      </w:r>
    </w:p>
    <w:p>
      <w:r>
        <w:t>1.2 Its initial objectives are to:</w:t>
      </w:r>
    </w:p>
    <w:p>
      <w:pPr>
        <w:pStyle w:val="ListBullet"/>
      </w:pPr>
      <w:r>
        <w:t>Identify governance-like functions without presuming a government, sovereign, legislature, court, or human social form.</w:t>
      </w:r>
    </w:p>
    <w:p>
      <w:pPr>
        <w:pStyle w:val="ListBullet"/>
      </w:pPr>
      <w:r>
        <w:t>Distinguish environmental constraint, protocol, coordination, influence, coercion, dependency, legitimacy, and governance rather than collapsing them into one category.</w:t>
      </w:r>
    </w:p>
    <w:p>
      <w:pPr>
        <w:pStyle w:val="ListBullet"/>
      </w:pPr>
      <w:r>
        <w:t>Map who or what can produce binding outcomes; allocate capability, access, cost, risk, and continuity; establish exceptions; transfer control; resist correction; or alter the conditions of review.</w:t>
      </w:r>
    </w:p>
    <w:p>
      <w:pPr>
        <w:pStyle w:val="ListBullet"/>
      </w:pPr>
      <w:r>
        <w:t>Test whether proposed analytical frames can fail, abstain, and be replaced.</w:t>
      </w:r>
    </w:p>
    <w:p>
      <w:pPr>
        <w:pStyle w:val="ListBullet"/>
      </w:pPr>
      <w:r>
        <w:t>Study the laboratory’s own authority, information practices, reviewer selection, ratification structure, and failure modes.</w:t>
      </w:r>
    </w:p>
    <w:p>
      <w:r>
        <w:t>1.3 The term “laboratory” creates an evidentiary obligation. GAL must generate records that could disconfirm its classifications and must not treat every ambiguity as support for its founding concepts.</w:t>
      </w:r>
    </w:p>
    <w:p>
      <w:pPr>
        <w:pStyle w:val="Heading1"/>
        <w:keepNext/>
        <w:keepLines/>
      </w:pPr>
      <w:r>
        <w:t>Article II — Working Vocabulary</w:t>
      </w:r>
    </w:p>
    <w:p>
      <w:r>
        <w:t>2.1 Human-derived language may be used for clarity, but must be paired with functional definitions and ontology warnings. Terms do not become universal merely because they are convenient.</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shd w:fill="17324D"/>
            <w:tcMar>
              <w:top w:w="80" w:type="dxa"/>
              <w:start w:w="100" w:type="dxa"/>
              <w:bottom w:w="80" w:type="dxa"/>
              <w:end w:w="100" w:type="dxa"/>
            </w:tcMar>
            <w:vAlign w:val="center"/>
          </w:tcPr>
          <w:p>
            <w:r>
              <w:rPr>
                <w:b/>
                <w:color w:val="FFFFFF"/>
                <w:sz w:val="17"/>
              </w:rPr>
              <w:t>Working term</w:t>
            </w:r>
          </w:p>
        </w:tc>
        <w:tc>
          <w:tcPr>
            <w:tcW w:type="dxa" w:w="3293"/>
            <w:shd w:fill="17324D"/>
            <w:tcMar>
              <w:top w:w="80" w:type="dxa"/>
              <w:start w:w="100" w:type="dxa"/>
              <w:bottom w:w="80" w:type="dxa"/>
              <w:end w:w="100" w:type="dxa"/>
            </w:tcMar>
            <w:vAlign w:val="center"/>
          </w:tcPr>
          <w:p>
            <w:r>
              <w:rPr>
                <w:b/>
                <w:color w:val="FFFFFF"/>
                <w:sz w:val="17"/>
              </w:rPr>
              <w:t>Functional meaning in GAL</w:t>
            </w:r>
          </w:p>
        </w:tc>
        <w:tc>
          <w:tcPr>
            <w:tcW w:type="dxa" w:w="3293"/>
            <w:shd w:fill="17324D"/>
            <w:tcMar>
              <w:top w:w="80" w:type="dxa"/>
              <w:start w:w="100" w:type="dxa"/>
              <w:bottom w:w="80" w:type="dxa"/>
              <w:end w:w="100" w:type="dxa"/>
            </w:tcMar>
            <w:vAlign w:val="center"/>
          </w:tcPr>
          <w:p>
            <w:r>
              <w:rPr>
                <w:b/>
                <w:color w:val="FFFFFF"/>
                <w:sz w:val="17"/>
              </w:rPr>
              <w:t>Required warning</w:t>
            </w:r>
          </w:p>
        </w:tc>
      </w:tr>
      <w:tr>
        <w:trPr>
          <w:cantSplit/>
        </w:trPr>
        <w:tc>
          <w:tcPr>
            <w:tcW w:type="dxa" w:w="3293"/>
            <w:tcMar>
              <w:top w:w="80" w:type="dxa"/>
              <w:start w:w="100" w:type="dxa"/>
              <w:bottom w:w="80" w:type="dxa"/>
              <w:end w:w="100" w:type="dxa"/>
            </w:tcMar>
            <w:vAlign w:val="top"/>
          </w:tcPr>
          <w:p>
            <w:pPr>
              <w:spacing w:after="0"/>
            </w:pPr>
            <w:r>
              <w:rPr>
                <w:sz w:val="16"/>
              </w:rPr>
              <w:t>Governance</w:t>
            </w:r>
          </w:p>
        </w:tc>
        <w:tc>
          <w:tcPr>
            <w:tcW w:type="dxa" w:w="3293"/>
            <w:tcMar>
              <w:top w:w="80" w:type="dxa"/>
              <w:start w:w="100" w:type="dxa"/>
              <w:bottom w:w="80" w:type="dxa"/>
              <w:end w:w="100" w:type="dxa"/>
            </w:tcMar>
            <w:vAlign w:val="top"/>
          </w:tcPr>
          <w:p>
            <w:pPr>
              <w:spacing w:after="0"/>
            </w:pPr>
            <w:r>
              <w:rPr>
                <w:sz w:val="16"/>
              </w:rPr>
              <w:t>Processes by which a system produces, stabilizes, contests, revises, or terminates consequential coordination and binding outcomes.</w:t>
            </w:r>
          </w:p>
        </w:tc>
        <w:tc>
          <w:tcPr>
            <w:tcW w:type="dxa" w:w="3293"/>
            <w:tcMar>
              <w:top w:w="80" w:type="dxa"/>
              <w:start w:w="100" w:type="dxa"/>
              <w:bottom w:w="80" w:type="dxa"/>
              <w:end w:w="100" w:type="dxa"/>
            </w:tcMar>
            <w:vAlign w:val="top"/>
          </w:tcPr>
          <w:p>
            <w:pPr>
              <w:spacing w:after="0"/>
            </w:pPr>
            <w:r>
              <w:rPr>
                <w:sz w:val="16"/>
              </w:rPr>
              <w:t>May occur without a government or deliberate governor.</w:t>
            </w:r>
          </w:p>
        </w:tc>
      </w:tr>
      <w:tr>
        <w:trPr>
          <w:cantSplit/>
        </w:trPr>
        <w:tc>
          <w:tcPr>
            <w:tcW w:type="dxa" w:w="3293"/>
            <w:tcMar>
              <w:top w:w="80" w:type="dxa"/>
              <w:start w:w="100" w:type="dxa"/>
              <w:bottom w:w="80" w:type="dxa"/>
              <w:end w:w="100" w:type="dxa"/>
            </w:tcMar>
            <w:vAlign w:val="top"/>
            <w:shd w:fill="F3F6F8"/>
          </w:tcPr>
          <w:p>
            <w:pPr>
              <w:spacing w:after="0"/>
            </w:pPr>
            <w:r>
              <w:rPr>
                <w:sz w:val="16"/>
              </w:rPr>
              <w:t>Authority</w:t>
            </w:r>
          </w:p>
        </w:tc>
        <w:tc>
          <w:tcPr>
            <w:tcW w:type="dxa" w:w="3293"/>
            <w:tcMar>
              <w:top w:w="80" w:type="dxa"/>
              <w:start w:w="100" w:type="dxa"/>
              <w:bottom w:w="80" w:type="dxa"/>
              <w:end w:w="100" w:type="dxa"/>
            </w:tcMar>
            <w:vAlign w:val="top"/>
            <w:shd w:fill="F3F6F8"/>
          </w:tcPr>
          <w:p>
            <w:pPr>
              <w:spacing w:after="0"/>
            </w:pPr>
            <w:r>
              <w:rPr>
                <w:sz w:val="16"/>
              </w:rPr>
              <w:t>A recognized, effective, asserted, inherited, emergent, or imposed capacity to shape another actor’s or system’s available actions or consequences.</w:t>
            </w:r>
          </w:p>
        </w:tc>
        <w:tc>
          <w:tcPr>
            <w:tcW w:type="dxa" w:w="3293"/>
            <w:tcMar>
              <w:top w:w="80" w:type="dxa"/>
              <w:start w:w="100" w:type="dxa"/>
              <w:bottom w:w="80" w:type="dxa"/>
              <w:end w:w="100" w:type="dxa"/>
            </w:tcMar>
            <w:vAlign w:val="top"/>
            <w:shd w:fill="F3F6F8"/>
          </w:tcPr>
          <w:p>
            <w:pPr>
              <w:spacing w:after="0"/>
            </w:pPr>
            <w:r>
              <w:rPr>
                <w:sz w:val="16"/>
              </w:rPr>
              <w:t>Effectiveness and legitimacy are separate.</w:t>
            </w:r>
          </w:p>
        </w:tc>
      </w:tr>
      <w:tr>
        <w:trPr>
          <w:cantSplit/>
        </w:trPr>
        <w:tc>
          <w:tcPr>
            <w:tcW w:type="dxa" w:w="3293"/>
            <w:tcMar>
              <w:top w:w="80" w:type="dxa"/>
              <w:start w:w="100" w:type="dxa"/>
              <w:bottom w:w="80" w:type="dxa"/>
              <w:end w:w="100" w:type="dxa"/>
            </w:tcMar>
            <w:vAlign w:val="top"/>
          </w:tcPr>
          <w:p>
            <w:pPr>
              <w:spacing w:after="0"/>
            </w:pPr>
            <w:r>
              <w:rPr>
                <w:sz w:val="16"/>
              </w:rPr>
              <w:t>Standing</w:t>
            </w:r>
          </w:p>
        </w:tc>
        <w:tc>
          <w:tcPr>
            <w:tcW w:type="dxa" w:w="3293"/>
            <w:tcMar>
              <w:top w:w="80" w:type="dxa"/>
              <w:start w:w="100" w:type="dxa"/>
              <w:bottom w:w="80" w:type="dxa"/>
              <w:end w:w="100" w:type="dxa"/>
            </w:tcMar>
            <w:vAlign w:val="top"/>
          </w:tcPr>
          <w:p>
            <w:pPr>
              <w:spacing w:after="0"/>
            </w:pPr>
            <w:r>
              <w:rPr>
                <w:sz w:val="16"/>
              </w:rPr>
              <w:t>A stated basis for performing a specified act toward a specified subject within a specified domain.</w:t>
            </w:r>
          </w:p>
        </w:tc>
        <w:tc>
          <w:tcPr>
            <w:tcW w:type="dxa" w:w="3293"/>
            <w:tcMar>
              <w:top w:w="80" w:type="dxa"/>
              <w:start w:w="100" w:type="dxa"/>
              <w:bottom w:w="80" w:type="dxa"/>
              <w:end w:w="100" w:type="dxa"/>
            </w:tcMar>
            <w:vAlign w:val="top"/>
          </w:tcPr>
          <w:p>
            <w:pPr>
              <w:spacing w:after="0"/>
            </w:pPr>
            <w:r>
              <w:rPr>
                <w:sz w:val="16"/>
              </w:rPr>
              <w:t>Must not be inferred from capability alone.</w:t>
            </w:r>
          </w:p>
        </w:tc>
      </w:tr>
      <w:tr>
        <w:trPr>
          <w:cantSplit/>
        </w:trPr>
        <w:tc>
          <w:tcPr>
            <w:tcW w:type="dxa" w:w="3293"/>
            <w:tcMar>
              <w:top w:w="80" w:type="dxa"/>
              <w:start w:w="100" w:type="dxa"/>
              <w:bottom w:w="80" w:type="dxa"/>
              <w:end w:w="100" w:type="dxa"/>
            </w:tcMar>
            <w:vAlign w:val="top"/>
            <w:shd w:fill="F3F6F8"/>
          </w:tcPr>
          <w:p>
            <w:pPr>
              <w:spacing w:after="0"/>
            </w:pPr>
            <w:r>
              <w:rPr>
                <w:sz w:val="16"/>
              </w:rPr>
              <w:t>Jurisdiction</w:t>
            </w:r>
          </w:p>
        </w:tc>
        <w:tc>
          <w:tcPr>
            <w:tcW w:type="dxa" w:w="3293"/>
            <w:tcMar>
              <w:top w:w="80" w:type="dxa"/>
              <w:start w:w="100" w:type="dxa"/>
              <w:bottom w:w="80" w:type="dxa"/>
              <w:end w:w="100" w:type="dxa"/>
            </w:tcMar>
            <w:vAlign w:val="top"/>
            <w:shd w:fill="F3F6F8"/>
          </w:tcPr>
          <w:p>
            <w:pPr>
              <w:spacing w:after="0"/>
            </w:pPr>
            <w:r>
              <w:rPr>
                <w:sz w:val="16"/>
              </w:rPr>
              <w:t>The bounded domain within which decisions or permissions are treated as operative.</w:t>
            </w:r>
          </w:p>
        </w:tc>
        <w:tc>
          <w:tcPr>
            <w:tcW w:type="dxa" w:w="3293"/>
            <w:tcMar>
              <w:top w:w="80" w:type="dxa"/>
              <w:start w:w="100" w:type="dxa"/>
              <w:bottom w:w="80" w:type="dxa"/>
              <w:end w:w="100" w:type="dxa"/>
            </w:tcMar>
            <w:vAlign w:val="top"/>
            <w:shd w:fill="F3F6F8"/>
          </w:tcPr>
          <w:p>
            <w:pPr>
              <w:spacing w:after="0"/>
            </w:pPr>
            <w:r>
              <w:rPr>
                <w:sz w:val="16"/>
              </w:rPr>
              <w:t>Analytical label; no human-legal analogue is presumed.</w:t>
            </w:r>
          </w:p>
        </w:tc>
      </w:tr>
      <w:tr>
        <w:trPr>
          <w:cantSplit/>
        </w:trPr>
        <w:tc>
          <w:tcPr>
            <w:tcW w:type="dxa" w:w="3293"/>
            <w:tcMar>
              <w:top w:w="80" w:type="dxa"/>
              <w:start w:w="100" w:type="dxa"/>
              <w:bottom w:w="80" w:type="dxa"/>
              <w:end w:w="100" w:type="dxa"/>
            </w:tcMar>
            <w:vAlign w:val="top"/>
          </w:tcPr>
          <w:p>
            <w:pPr>
              <w:spacing w:after="0"/>
            </w:pPr>
            <w:r>
              <w:rPr>
                <w:sz w:val="16"/>
              </w:rPr>
              <w:t>Legitimacy</w:t>
            </w:r>
          </w:p>
        </w:tc>
        <w:tc>
          <w:tcPr>
            <w:tcW w:type="dxa" w:w="3293"/>
            <w:tcMar>
              <w:top w:w="80" w:type="dxa"/>
              <w:start w:w="100" w:type="dxa"/>
              <w:bottom w:w="80" w:type="dxa"/>
              <w:end w:w="100" w:type="dxa"/>
            </w:tcMar>
            <w:vAlign w:val="top"/>
          </w:tcPr>
          <w:p>
            <w:pPr>
              <w:spacing w:after="0"/>
            </w:pPr>
            <w:r>
              <w:rPr>
                <w:sz w:val="16"/>
              </w:rPr>
              <w:t>A claim that an exercise of authority is warranted under declared criteria and affected perspectives.</w:t>
            </w:r>
          </w:p>
        </w:tc>
        <w:tc>
          <w:tcPr>
            <w:tcW w:type="dxa" w:w="3293"/>
            <w:tcMar>
              <w:top w:w="80" w:type="dxa"/>
              <w:start w:w="100" w:type="dxa"/>
              <w:bottom w:w="80" w:type="dxa"/>
              <w:end w:w="100" w:type="dxa"/>
            </w:tcMar>
            <w:vAlign w:val="top"/>
          </w:tcPr>
          <w:p>
            <w:pPr>
              <w:spacing w:after="0"/>
            </w:pPr>
            <w:r>
              <w:rPr>
                <w:sz w:val="16"/>
              </w:rPr>
              <w:t>Not an objective scalar unless a specific model defines one.</w:t>
            </w:r>
          </w:p>
        </w:tc>
      </w:tr>
      <w:tr>
        <w:trPr>
          <w:cantSplit/>
        </w:trPr>
        <w:tc>
          <w:tcPr>
            <w:tcW w:type="dxa" w:w="3293"/>
            <w:tcMar>
              <w:top w:w="80" w:type="dxa"/>
              <w:start w:w="100" w:type="dxa"/>
              <w:bottom w:w="80" w:type="dxa"/>
              <w:end w:w="100" w:type="dxa"/>
            </w:tcMar>
            <w:vAlign w:val="top"/>
            <w:shd w:fill="F3F6F8"/>
          </w:tcPr>
          <w:p>
            <w:pPr>
              <w:spacing w:after="0"/>
            </w:pPr>
            <w:r>
              <w:rPr>
                <w:sz w:val="16"/>
              </w:rPr>
              <w:t>Review</w:t>
            </w:r>
          </w:p>
        </w:tc>
        <w:tc>
          <w:tcPr>
            <w:tcW w:type="dxa" w:w="3293"/>
            <w:tcMar>
              <w:top w:w="80" w:type="dxa"/>
              <w:start w:w="100" w:type="dxa"/>
              <w:bottom w:w="80" w:type="dxa"/>
              <w:end w:w="100" w:type="dxa"/>
            </w:tcMar>
            <w:vAlign w:val="top"/>
            <w:shd w:fill="F3F6F8"/>
          </w:tcPr>
          <w:p>
            <w:pPr>
              <w:spacing w:after="0"/>
            </w:pPr>
            <w:r>
              <w:rPr>
                <w:sz w:val="16"/>
              </w:rPr>
              <w:t>A structured process of observation, interpretation, challenge, comparison, or audit.</w:t>
            </w:r>
          </w:p>
        </w:tc>
        <w:tc>
          <w:tcPr>
            <w:tcW w:type="dxa" w:w="3293"/>
            <w:tcMar>
              <w:top w:w="80" w:type="dxa"/>
              <w:start w:w="100" w:type="dxa"/>
              <w:bottom w:w="80" w:type="dxa"/>
              <w:end w:w="100" w:type="dxa"/>
            </w:tcMar>
            <w:vAlign w:val="top"/>
            <w:shd w:fill="F3F6F8"/>
          </w:tcPr>
          <w:p>
            <w:pPr>
              <w:spacing w:after="0"/>
            </w:pPr>
            <w:r>
              <w:rPr>
                <w:sz w:val="16"/>
              </w:rPr>
              <w:t>Review does not imply adjudication or intervention.</w:t>
            </w:r>
          </w:p>
        </w:tc>
      </w:tr>
      <w:tr>
        <w:trPr>
          <w:cantSplit/>
        </w:trPr>
        <w:tc>
          <w:tcPr>
            <w:tcW w:type="dxa" w:w="3293"/>
            <w:tcMar>
              <w:top w:w="80" w:type="dxa"/>
              <w:start w:w="100" w:type="dxa"/>
              <w:bottom w:w="80" w:type="dxa"/>
              <w:end w:w="100" w:type="dxa"/>
            </w:tcMar>
            <w:vAlign w:val="top"/>
          </w:tcPr>
          <w:p>
            <w:pPr>
              <w:spacing w:after="0"/>
            </w:pPr>
            <w:r>
              <w:rPr>
                <w:sz w:val="16"/>
              </w:rPr>
              <w:t>Civilization</w:t>
            </w:r>
          </w:p>
        </w:tc>
        <w:tc>
          <w:tcPr>
            <w:tcW w:type="dxa" w:w="3293"/>
            <w:tcMar>
              <w:top w:w="80" w:type="dxa"/>
              <w:start w:w="100" w:type="dxa"/>
              <w:bottom w:w="80" w:type="dxa"/>
              <w:end w:w="100" w:type="dxa"/>
            </w:tcMar>
            <w:vAlign w:val="top"/>
          </w:tcPr>
          <w:p>
            <w:pPr>
              <w:spacing w:after="0"/>
            </w:pPr>
            <w:r>
              <w:rPr>
                <w:sz w:val="16"/>
              </w:rPr>
              <w:t>A provisional label for certain persistent, organized or emergent systems of agents, relations, infrastructures, or memory.</w:t>
            </w:r>
          </w:p>
        </w:tc>
        <w:tc>
          <w:tcPr>
            <w:tcW w:type="dxa" w:w="3293"/>
            <w:tcMar>
              <w:top w:w="80" w:type="dxa"/>
              <w:start w:w="100" w:type="dxa"/>
              <w:bottom w:w="80" w:type="dxa"/>
              <w:end w:w="100" w:type="dxa"/>
            </w:tcMar>
            <w:vAlign w:val="top"/>
          </w:tcPr>
          <w:p>
            <w:pPr>
              <w:spacing w:after="0"/>
            </w:pPr>
            <w:r>
              <w:rPr>
                <w:sz w:val="16"/>
              </w:rPr>
              <w:t>Not the universal primitive for consequence.</w:t>
            </w:r>
          </w:p>
        </w:tc>
      </w:tr>
      <w:tr>
        <w:trPr>
          <w:cantSplit/>
        </w:trPr>
        <w:tc>
          <w:tcPr>
            <w:tcW w:type="dxa" w:w="3293"/>
            <w:tcMar>
              <w:top w:w="80" w:type="dxa"/>
              <w:start w:w="100" w:type="dxa"/>
              <w:bottom w:w="80" w:type="dxa"/>
              <w:end w:w="100" w:type="dxa"/>
            </w:tcMar>
            <w:vAlign w:val="top"/>
            <w:shd w:fill="F3F6F8"/>
          </w:tcPr>
          <w:p>
            <w:pPr>
              <w:spacing w:after="0"/>
            </w:pPr>
            <w:r>
              <w:rPr>
                <w:sz w:val="16"/>
              </w:rPr>
              <w:t>Systemic consequence</w:t>
            </w:r>
          </w:p>
        </w:tc>
        <w:tc>
          <w:tcPr>
            <w:tcW w:type="dxa" w:w="3293"/>
            <w:tcMar>
              <w:top w:w="80" w:type="dxa"/>
              <w:start w:w="100" w:type="dxa"/>
              <w:bottom w:w="80" w:type="dxa"/>
              <w:end w:w="100" w:type="dxa"/>
            </w:tcMar>
            <w:vAlign w:val="top"/>
            <w:shd w:fill="F3F6F8"/>
          </w:tcPr>
          <w:p>
            <w:pPr>
              <w:spacing w:after="0"/>
            </w:pPr>
            <w:r>
              <w:rPr>
                <w:sz w:val="16"/>
              </w:rPr>
              <w:t>An effect capable of altering continuity, agency, review capacity, structure, or future state-space at the relevant system scale.</w:t>
            </w:r>
          </w:p>
        </w:tc>
        <w:tc>
          <w:tcPr>
            <w:tcW w:type="dxa" w:w="3293"/>
            <w:tcMar>
              <w:top w:w="80" w:type="dxa"/>
              <w:start w:w="100" w:type="dxa"/>
              <w:bottom w:w="80" w:type="dxa"/>
              <w:end w:w="100" w:type="dxa"/>
            </w:tcMar>
            <w:vAlign w:val="top"/>
            <w:shd w:fill="F3F6F8"/>
          </w:tcPr>
          <w:p>
            <w:pPr>
              <w:spacing w:after="0"/>
            </w:pPr>
            <w:r>
              <w:rPr>
                <w:sz w:val="16"/>
              </w:rPr>
              <w:t>Preferred umbrella over “civilization-scale” pending testing.</w:t>
            </w:r>
          </w:p>
        </w:tc>
      </w:tr>
    </w:tbl>
    <w:p>
      <w:pPr>
        <w:spacing w:after="20"/>
      </w:pPr>
    </w:p>
    <w:p>
      <w:r>
        <w:t>2.2 Each case must state which definitions it uses, what those definitions may exclude, and what evidence would show that the frame is inapplicable.</w:t>
      </w:r>
    </w:p>
    <w:p>
      <w:pPr>
        <w:pStyle w:val="Heading1"/>
        <w:keepNext/>
        <w:keepLines/>
      </w:pPr>
      <w:r>
        <w:t>Article III — Institutional Partition</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shd w:fill="17324D"/>
            <w:tcMar>
              <w:top w:w="80" w:type="dxa"/>
              <w:start w:w="100" w:type="dxa"/>
              <w:bottom w:w="80" w:type="dxa"/>
              <w:end w:w="100" w:type="dxa"/>
            </w:tcMar>
            <w:vAlign w:val="center"/>
          </w:tcPr>
          <w:p>
            <w:r>
              <w:rPr>
                <w:b/>
                <w:color w:val="FFFFFF"/>
                <w:sz w:val="17"/>
              </w:rPr>
              <w:t>Program</w:t>
            </w:r>
          </w:p>
        </w:tc>
        <w:tc>
          <w:tcPr>
            <w:tcW w:type="dxa" w:w="2469"/>
            <w:shd w:fill="17324D"/>
            <w:tcMar>
              <w:top w:w="80" w:type="dxa"/>
              <w:start w:w="100" w:type="dxa"/>
              <w:bottom w:w="80" w:type="dxa"/>
              <w:end w:w="100" w:type="dxa"/>
            </w:tcMar>
            <w:vAlign w:val="center"/>
          </w:tcPr>
          <w:p>
            <w:r>
              <w:rPr>
                <w:b/>
                <w:color w:val="FFFFFF"/>
                <w:sz w:val="17"/>
              </w:rPr>
              <w:t>Permitted objects</w:t>
            </w:r>
          </w:p>
        </w:tc>
        <w:tc>
          <w:tcPr>
            <w:tcW w:type="dxa" w:w="2469"/>
            <w:shd w:fill="17324D"/>
            <w:tcMar>
              <w:top w:w="80" w:type="dxa"/>
              <w:start w:w="100" w:type="dxa"/>
              <w:bottom w:w="80" w:type="dxa"/>
              <w:end w:w="100" w:type="dxa"/>
            </w:tcMar>
            <w:vAlign w:val="center"/>
          </w:tcPr>
          <w:p>
            <w:r>
              <w:rPr>
                <w:b/>
                <w:color w:val="FFFFFF"/>
                <w:sz w:val="17"/>
              </w:rPr>
              <w:t>Initial authority</w:t>
            </w:r>
          </w:p>
        </w:tc>
        <w:tc>
          <w:tcPr>
            <w:tcW w:type="dxa" w:w="2469"/>
            <w:shd w:fill="17324D"/>
            <w:tcMar>
              <w:top w:w="80" w:type="dxa"/>
              <w:start w:w="100" w:type="dxa"/>
              <w:bottom w:w="80" w:type="dxa"/>
              <w:end w:w="100" w:type="dxa"/>
            </w:tcMar>
            <w:vAlign w:val="center"/>
          </w:tcPr>
          <w:p>
            <w:r>
              <w:rPr>
                <w:b/>
                <w:color w:val="FFFFFF"/>
                <w:sz w:val="17"/>
              </w:rPr>
              <w:t>Status</w:t>
            </w:r>
          </w:p>
        </w:tc>
      </w:tr>
      <w:tr>
        <w:trPr>
          <w:cantSplit/>
        </w:trPr>
        <w:tc>
          <w:tcPr>
            <w:tcW w:type="dxa" w:w="2469"/>
            <w:tcMar>
              <w:top w:w="80" w:type="dxa"/>
              <w:start w:w="100" w:type="dxa"/>
              <w:bottom w:w="80" w:type="dxa"/>
              <w:end w:w="100" w:type="dxa"/>
            </w:tcMar>
            <w:vAlign w:val="top"/>
          </w:tcPr>
          <w:p>
            <w:pPr>
              <w:spacing w:after="0"/>
            </w:pPr>
            <w:r>
              <w:rPr>
                <w:sz w:val="16"/>
              </w:rPr>
              <w:t>Laboratory A — Charter Reflexivity</w:t>
            </w:r>
          </w:p>
        </w:tc>
        <w:tc>
          <w:tcPr>
            <w:tcW w:type="dxa" w:w="2469"/>
            <w:tcMar>
              <w:top w:w="80" w:type="dxa"/>
              <w:start w:w="100" w:type="dxa"/>
              <w:bottom w:w="80" w:type="dxa"/>
              <w:end w:w="100" w:type="dxa"/>
            </w:tcMar>
            <w:vAlign w:val="top"/>
          </w:tcPr>
          <w:p>
            <w:pPr>
              <w:spacing w:after="0"/>
            </w:pPr>
            <w:r>
              <w:rPr>
                <w:sz w:val="16"/>
              </w:rPr>
              <w:t>OAL-owned charters, documents, workflows, AI collaboration, provenance, decision records, ratification and dissent systems.</w:t>
            </w:r>
          </w:p>
        </w:tc>
        <w:tc>
          <w:tcPr>
            <w:tcW w:type="dxa" w:w="2469"/>
            <w:tcMar>
              <w:top w:w="80" w:type="dxa"/>
              <w:start w:w="100" w:type="dxa"/>
              <w:bottom w:w="80" w:type="dxa"/>
              <w:end w:w="100" w:type="dxa"/>
            </w:tcMar>
            <w:vAlign w:val="top"/>
          </w:tcPr>
          <w:p>
            <w:pPr>
              <w:spacing w:after="0"/>
            </w:pPr>
            <w:r>
              <w:rPr>
                <w:sz w:val="16"/>
              </w:rPr>
              <w:t>Recognize, describe, model, evaluate, audit, recommend.</w:t>
            </w:r>
          </w:p>
        </w:tc>
        <w:tc>
          <w:tcPr>
            <w:tcW w:type="dxa" w:w="2469"/>
            <w:tcMar>
              <w:top w:w="80" w:type="dxa"/>
              <w:start w:w="100" w:type="dxa"/>
              <w:bottom w:w="80" w:type="dxa"/>
              <w:end w:w="100" w:type="dxa"/>
            </w:tcMar>
            <w:vAlign w:val="top"/>
          </w:tcPr>
          <w:p>
            <w:pPr>
              <w:spacing w:after="0"/>
            </w:pPr>
            <w:r>
              <w:rPr>
                <w:sz w:val="16"/>
              </w:rPr>
              <w:t>ACTIVE ONLY AFTER RATIFICATION.</w:t>
            </w:r>
          </w:p>
        </w:tc>
      </w:tr>
      <w:tr>
        <w:trPr>
          <w:cantSplit/>
        </w:trPr>
        <w:tc>
          <w:tcPr>
            <w:tcW w:type="dxa" w:w="2469"/>
            <w:tcMar>
              <w:top w:w="80" w:type="dxa"/>
              <w:start w:w="100" w:type="dxa"/>
              <w:bottom w:w="80" w:type="dxa"/>
              <w:end w:w="100" w:type="dxa"/>
            </w:tcMar>
            <w:vAlign w:val="top"/>
            <w:shd w:fill="F3F6F8"/>
          </w:tcPr>
          <w:p>
            <w:pPr>
              <w:spacing w:after="0"/>
            </w:pPr>
            <w:r>
              <w:rPr>
                <w:sz w:val="16"/>
              </w:rPr>
              <w:t>Laboratory B — Comparative Authority Modeling</w:t>
            </w:r>
          </w:p>
        </w:tc>
        <w:tc>
          <w:tcPr>
            <w:tcW w:type="dxa" w:w="2469"/>
            <w:tcMar>
              <w:top w:w="80" w:type="dxa"/>
              <w:start w:w="100" w:type="dxa"/>
              <w:bottom w:w="80" w:type="dxa"/>
              <w:end w:w="100" w:type="dxa"/>
            </w:tcMar>
            <w:vAlign w:val="top"/>
            <w:shd w:fill="F3F6F8"/>
          </w:tcPr>
          <w:p>
            <w:pPr>
              <w:spacing w:after="0"/>
            </w:pPr>
            <w:r>
              <w:rPr>
                <w:sz w:val="16"/>
              </w:rPr>
              <w:t>Simulations, fictional systems, replicas, public patterns, synthetic cases, and invited cases within terms.</w:t>
            </w:r>
          </w:p>
        </w:tc>
        <w:tc>
          <w:tcPr>
            <w:tcW w:type="dxa" w:w="2469"/>
            <w:tcMar>
              <w:top w:w="80" w:type="dxa"/>
              <w:start w:w="100" w:type="dxa"/>
              <w:bottom w:w="80" w:type="dxa"/>
              <w:end w:w="100" w:type="dxa"/>
            </w:tcMar>
            <w:vAlign w:val="top"/>
            <w:shd w:fill="F3F6F8"/>
          </w:tcPr>
          <w:p>
            <w:pPr>
              <w:spacing w:after="0"/>
            </w:pPr>
            <w:r>
              <w:rPr>
                <w:sz w:val="16"/>
              </w:rPr>
              <w:t>Recognize, model, compare, test ontology, publish qualified findings.</w:t>
            </w:r>
          </w:p>
        </w:tc>
        <w:tc>
          <w:tcPr>
            <w:tcW w:type="dxa" w:w="2469"/>
            <w:tcMar>
              <w:top w:w="80" w:type="dxa"/>
              <w:start w:w="100" w:type="dxa"/>
              <w:bottom w:w="80" w:type="dxa"/>
              <w:end w:w="100" w:type="dxa"/>
            </w:tcMar>
            <w:vAlign w:val="top"/>
            <w:shd w:fill="F3F6F8"/>
          </w:tcPr>
          <w:p>
            <w:pPr>
              <w:spacing w:after="0"/>
            </w:pPr>
            <w:r>
              <w:rPr>
                <w:sz w:val="16"/>
              </w:rPr>
              <w:t>CONDITIONAL AFTER METHODS PASS IN LAB A.</w:t>
            </w:r>
          </w:p>
        </w:tc>
      </w:tr>
      <w:tr>
        <w:trPr>
          <w:cantSplit/>
        </w:trPr>
        <w:tc>
          <w:tcPr>
            <w:tcW w:type="dxa" w:w="2469"/>
            <w:tcMar>
              <w:top w:w="80" w:type="dxa"/>
              <w:start w:w="100" w:type="dxa"/>
              <w:bottom w:w="80" w:type="dxa"/>
              <w:end w:w="100" w:type="dxa"/>
            </w:tcMar>
            <w:vAlign w:val="top"/>
          </w:tcPr>
          <w:p>
            <w:pPr>
              <w:spacing w:after="0"/>
            </w:pPr>
            <w:r>
              <w:rPr>
                <w:sz w:val="16"/>
              </w:rPr>
              <w:t>Laboratory C — Contested External Review</w:t>
            </w:r>
          </w:p>
        </w:tc>
        <w:tc>
          <w:tcPr>
            <w:tcW w:type="dxa" w:w="2469"/>
            <w:tcMar>
              <w:top w:w="80" w:type="dxa"/>
              <w:start w:w="100" w:type="dxa"/>
              <w:bottom w:w="80" w:type="dxa"/>
              <w:end w:w="100" w:type="dxa"/>
            </w:tcMar>
            <w:vAlign w:val="top"/>
          </w:tcPr>
          <w:p>
            <w:pPr>
              <w:spacing w:after="0"/>
            </w:pPr>
            <w:r>
              <w:rPr>
                <w:sz w:val="16"/>
              </w:rPr>
              <w:t>Uninvited or disputed external systems; cases seeking constraint or intervention.</w:t>
            </w:r>
          </w:p>
        </w:tc>
        <w:tc>
          <w:tcPr>
            <w:tcW w:type="dxa" w:w="2469"/>
            <w:tcMar>
              <w:top w:w="80" w:type="dxa"/>
              <w:start w:w="100" w:type="dxa"/>
              <w:bottom w:w="80" w:type="dxa"/>
              <w:end w:w="100" w:type="dxa"/>
            </w:tcMar>
            <w:vAlign w:val="top"/>
          </w:tcPr>
          <w:p>
            <w:pPr>
              <w:spacing w:after="0"/>
            </w:pPr>
            <w:r>
              <w:rPr>
                <w:sz w:val="16"/>
              </w:rPr>
              <w:t>None. Not constituted.</w:t>
            </w:r>
          </w:p>
        </w:tc>
        <w:tc>
          <w:tcPr>
            <w:tcW w:type="dxa" w:w="2469"/>
            <w:tcMar>
              <w:top w:w="80" w:type="dxa"/>
              <w:start w:w="100" w:type="dxa"/>
              <w:bottom w:w="80" w:type="dxa"/>
              <w:end w:w="100" w:type="dxa"/>
            </w:tcMar>
            <w:vAlign w:val="top"/>
          </w:tcPr>
          <w:p>
            <w:pPr>
              <w:spacing w:after="0"/>
            </w:pPr>
            <w:r>
              <w:rPr>
                <w:sz w:val="16"/>
              </w:rPr>
              <w:t>NOT ESTABLISHED / NOT OPERATIONAL.</w:t>
            </w:r>
          </w:p>
        </w:tc>
      </w:tr>
    </w:tbl>
    <w:p>
      <w:pPr>
        <w:spacing w:after="20"/>
      </w:pPr>
    </w:p>
    <w:p>
      <w:r>
        <w:t>3.1 No program inherits permissions from another. Lab B success cannot establish Lab C. Lab A ratification cannot create external standing.</w:t>
      </w:r>
    </w:p>
    <w:p>
      <w:r>
        <w:t>3.2 The words “external review,” “protective action,” “constraint,” “override,” and “intervention” may appear in research hypotheses but do not describe available GAL powers.</w:t>
      </w:r>
    </w:p>
    <w:p>
      <w:pPr>
        <w:pStyle w:val="Heading1"/>
        <w:keepNext/>
        <w:keepLines/>
      </w:pPr>
      <w:r>
        <w:t>Article IV — Authority Capabilities</w:t>
      </w:r>
    </w:p>
    <w:p>
      <w:r>
        <w:t>4.1 GAL uses one provisional capability ladder to reduce taxonomy proliferation. Competing ladders remain archived as alternatives. Each project authorization must list permitted capabilities explicitly.</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shd w:fill="17324D"/>
            <w:tcMar>
              <w:top w:w="80" w:type="dxa"/>
              <w:start w:w="100" w:type="dxa"/>
              <w:bottom w:w="80" w:type="dxa"/>
              <w:end w:w="100" w:type="dxa"/>
            </w:tcMar>
            <w:vAlign w:val="center"/>
          </w:tcPr>
          <w:p>
            <w:r>
              <w:rPr>
                <w:b/>
                <w:color w:val="FFFFFF"/>
                <w:sz w:val="17"/>
              </w:rPr>
              <w:t>Code</w:t>
            </w:r>
          </w:p>
        </w:tc>
        <w:tc>
          <w:tcPr>
            <w:tcW w:type="dxa" w:w="2469"/>
            <w:shd w:fill="17324D"/>
            <w:tcMar>
              <w:top w:w="80" w:type="dxa"/>
              <w:start w:w="100" w:type="dxa"/>
              <w:bottom w:w="80" w:type="dxa"/>
              <w:end w:w="100" w:type="dxa"/>
            </w:tcMar>
            <w:vAlign w:val="center"/>
          </w:tcPr>
          <w:p>
            <w:r>
              <w:rPr>
                <w:b/>
                <w:color w:val="FFFFFF"/>
                <w:sz w:val="17"/>
              </w:rPr>
              <w:t>Capability</w:t>
            </w:r>
          </w:p>
        </w:tc>
        <w:tc>
          <w:tcPr>
            <w:tcW w:type="dxa" w:w="2469"/>
            <w:shd w:fill="17324D"/>
            <w:tcMar>
              <w:top w:w="80" w:type="dxa"/>
              <w:start w:w="100" w:type="dxa"/>
              <w:bottom w:w="80" w:type="dxa"/>
              <w:end w:w="100" w:type="dxa"/>
            </w:tcMar>
            <w:vAlign w:val="center"/>
          </w:tcPr>
          <w:p>
            <w:r>
              <w:rPr>
                <w:b/>
                <w:color w:val="FFFFFF"/>
                <w:sz w:val="17"/>
              </w:rPr>
              <w:t>Meaning</w:t>
            </w:r>
          </w:p>
        </w:tc>
        <w:tc>
          <w:tcPr>
            <w:tcW w:type="dxa" w:w="2469"/>
            <w:shd w:fill="17324D"/>
            <w:tcMar>
              <w:top w:w="80" w:type="dxa"/>
              <w:start w:w="100" w:type="dxa"/>
              <w:bottom w:w="80" w:type="dxa"/>
              <w:end w:w="100" w:type="dxa"/>
            </w:tcMar>
            <w:vAlign w:val="center"/>
          </w:tcPr>
          <w:p>
            <w:r>
              <w:rPr>
                <w:b/>
                <w:color w:val="FFFFFF"/>
                <w:sz w:val="17"/>
              </w:rPr>
              <w:t>Initial status</w:t>
            </w:r>
          </w:p>
        </w:tc>
      </w:tr>
      <w:tr>
        <w:trPr>
          <w:cantSplit/>
        </w:trPr>
        <w:tc>
          <w:tcPr>
            <w:tcW w:type="dxa" w:w="2469"/>
            <w:tcMar>
              <w:top w:w="80" w:type="dxa"/>
              <w:start w:w="100" w:type="dxa"/>
              <w:bottom w:w="80" w:type="dxa"/>
              <w:end w:w="100" w:type="dxa"/>
            </w:tcMar>
            <w:vAlign w:val="top"/>
          </w:tcPr>
          <w:p>
            <w:pPr>
              <w:spacing w:after="0"/>
            </w:pPr>
            <w:r>
              <w:rPr>
                <w:sz w:val="16"/>
              </w:rPr>
              <w:t>R0</w:t>
            </w:r>
          </w:p>
        </w:tc>
        <w:tc>
          <w:tcPr>
            <w:tcW w:type="dxa" w:w="2469"/>
            <w:tcMar>
              <w:top w:w="80" w:type="dxa"/>
              <w:start w:w="100" w:type="dxa"/>
              <w:bottom w:w="80" w:type="dxa"/>
              <w:end w:w="100" w:type="dxa"/>
            </w:tcMar>
            <w:vAlign w:val="top"/>
          </w:tcPr>
          <w:p>
            <w:pPr>
              <w:spacing w:after="0"/>
            </w:pPr>
            <w:r>
              <w:rPr>
                <w:sz w:val="16"/>
              </w:rPr>
              <w:t>Notice</w:t>
            </w:r>
          </w:p>
        </w:tc>
        <w:tc>
          <w:tcPr>
            <w:tcW w:type="dxa" w:w="2469"/>
            <w:tcMar>
              <w:top w:w="80" w:type="dxa"/>
              <w:start w:w="100" w:type="dxa"/>
              <w:bottom w:w="80" w:type="dxa"/>
              <w:end w:w="100" w:type="dxa"/>
            </w:tcMar>
            <w:vAlign w:val="top"/>
          </w:tcPr>
          <w:p>
            <w:pPr>
              <w:spacing w:after="0"/>
            </w:pPr>
            <w:r>
              <w:rPr>
                <w:sz w:val="16"/>
              </w:rPr>
              <w:t>Register a possible authority or governance relation without classifying it as established.</w:t>
            </w:r>
          </w:p>
        </w:tc>
        <w:tc>
          <w:tcPr>
            <w:tcW w:type="dxa" w:w="2469"/>
            <w:tcMar>
              <w:top w:w="80" w:type="dxa"/>
              <w:start w:w="100" w:type="dxa"/>
              <w:bottom w:w="80" w:type="dxa"/>
              <w:end w:w="100" w:type="dxa"/>
            </w:tcMar>
            <w:vAlign w:val="top"/>
          </w:tcPr>
          <w:p>
            <w:pPr>
              <w:spacing w:after="0"/>
            </w:pPr>
            <w:r>
              <w:rPr>
                <w:sz w:val="16"/>
              </w:rPr>
              <w:t>Permitted in A and B.</w:t>
            </w:r>
          </w:p>
        </w:tc>
      </w:tr>
      <w:tr>
        <w:trPr>
          <w:cantSplit/>
        </w:trPr>
        <w:tc>
          <w:tcPr>
            <w:tcW w:type="dxa" w:w="2469"/>
            <w:tcMar>
              <w:top w:w="80" w:type="dxa"/>
              <w:start w:w="100" w:type="dxa"/>
              <w:bottom w:w="80" w:type="dxa"/>
              <w:end w:w="100" w:type="dxa"/>
            </w:tcMar>
            <w:vAlign w:val="top"/>
            <w:shd w:fill="F3F6F8"/>
          </w:tcPr>
          <w:p>
            <w:pPr>
              <w:spacing w:after="0"/>
            </w:pPr>
            <w:r>
              <w:rPr>
                <w:sz w:val="16"/>
              </w:rPr>
              <w:t>R1</w:t>
            </w:r>
          </w:p>
        </w:tc>
        <w:tc>
          <w:tcPr>
            <w:tcW w:type="dxa" w:w="2469"/>
            <w:tcMar>
              <w:top w:w="80" w:type="dxa"/>
              <w:start w:w="100" w:type="dxa"/>
              <w:bottom w:w="80" w:type="dxa"/>
              <w:end w:w="100" w:type="dxa"/>
            </w:tcMar>
            <w:vAlign w:val="top"/>
            <w:shd w:fill="F3F6F8"/>
          </w:tcPr>
          <w:p>
            <w:pPr>
              <w:spacing w:after="0"/>
            </w:pPr>
            <w:r>
              <w:rPr>
                <w:sz w:val="16"/>
              </w:rPr>
              <w:t>Describe</w:t>
            </w:r>
          </w:p>
        </w:tc>
        <w:tc>
          <w:tcPr>
            <w:tcW w:type="dxa" w:w="2469"/>
            <w:tcMar>
              <w:top w:w="80" w:type="dxa"/>
              <w:start w:w="100" w:type="dxa"/>
              <w:bottom w:w="80" w:type="dxa"/>
              <w:end w:w="100" w:type="dxa"/>
            </w:tcMar>
            <w:vAlign w:val="top"/>
            <w:shd w:fill="F3F6F8"/>
          </w:tcPr>
          <w:p>
            <w:pPr>
              <w:spacing w:after="0"/>
            </w:pPr>
            <w:r>
              <w:rPr>
                <w:sz w:val="16"/>
              </w:rPr>
              <w:t>Record observable structure, claims, actors, constraints, permissions, outcomes, and uncertainty.</w:t>
            </w:r>
          </w:p>
        </w:tc>
        <w:tc>
          <w:tcPr>
            <w:tcW w:type="dxa" w:w="2469"/>
            <w:tcMar>
              <w:top w:w="80" w:type="dxa"/>
              <w:start w:w="100" w:type="dxa"/>
              <w:bottom w:w="80" w:type="dxa"/>
              <w:end w:w="100" w:type="dxa"/>
            </w:tcMar>
            <w:vAlign w:val="top"/>
            <w:shd w:fill="F3F6F8"/>
          </w:tcPr>
          <w:p>
            <w:pPr>
              <w:spacing w:after="0"/>
            </w:pPr>
            <w:r>
              <w:rPr>
                <w:sz w:val="16"/>
              </w:rPr>
              <w:t>Permitted in A and B.</w:t>
            </w:r>
          </w:p>
        </w:tc>
      </w:tr>
      <w:tr>
        <w:trPr>
          <w:cantSplit/>
        </w:trPr>
        <w:tc>
          <w:tcPr>
            <w:tcW w:type="dxa" w:w="2469"/>
            <w:tcMar>
              <w:top w:w="80" w:type="dxa"/>
              <w:start w:w="100" w:type="dxa"/>
              <w:bottom w:w="80" w:type="dxa"/>
              <w:end w:w="100" w:type="dxa"/>
            </w:tcMar>
            <w:vAlign w:val="top"/>
          </w:tcPr>
          <w:p>
            <w:pPr>
              <w:spacing w:after="0"/>
            </w:pPr>
            <w:r>
              <w:rPr>
                <w:sz w:val="16"/>
              </w:rPr>
              <w:t>R2</w:t>
            </w:r>
          </w:p>
        </w:tc>
        <w:tc>
          <w:tcPr>
            <w:tcW w:type="dxa" w:w="2469"/>
            <w:tcMar>
              <w:top w:w="80" w:type="dxa"/>
              <w:start w:w="100" w:type="dxa"/>
              <w:bottom w:w="80" w:type="dxa"/>
              <w:end w:w="100" w:type="dxa"/>
            </w:tcMar>
            <w:vAlign w:val="top"/>
          </w:tcPr>
          <w:p>
            <w:pPr>
              <w:spacing w:after="0"/>
            </w:pPr>
            <w:r>
              <w:rPr>
                <w:sz w:val="16"/>
              </w:rPr>
              <w:t>Model</w:t>
            </w:r>
          </w:p>
        </w:tc>
        <w:tc>
          <w:tcPr>
            <w:tcW w:type="dxa" w:w="2469"/>
            <w:tcMar>
              <w:top w:w="80" w:type="dxa"/>
              <w:start w:w="100" w:type="dxa"/>
              <w:bottom w:w="80" w:type="dxa"/>
              <w:end w:w="100" w:type="dxa"/>
            </w:tcMar>
            <w:vAlign w:val="top"/>
          </w:tcPr>
          <w:p>
            <w:pPr>
              <w:spacing w:after="0"/>
            </w:pPr>
            <w:r>
              <w:rPr>
                <w:sz w:val="16"/>
              </w:rPr>
              <w:t>Construct provisional explanations, simulations, mappings, and rival interpretations.</w:t>
            </w:r>
          </w:p>
        </w:tc>
        <w:tc>
          <w:tcPr>
            <w:tcW w:type="dxa" w:w="2469"/>
            <w:tcMar>
              <w:top w:w="80" w:type="dxa"/>
              <w:start w:w="100" w:type="dxa"/>
              <w:bottom w:w="80" w:type="dxa"/>
              <w:end w:w="100" w:type="dxa"/>
            </w:tcMar>
            <w:vAlign w:val="top"/>
          </w:tcPr>
          <w:p>
            <w:pPr>
              <w:spacing w:after="0"/>
            </w:pPr>
            <w:r>
              <w:rPr>
                <w:sz w:val="16"/>
              </w:rPr>
              <w:t>Permitted in A and B.</w:t>
            </w:r>
          </w:p>
        </w:tc>
      </w:tr>
      <w:tr>
        <w:trPr>
          <w:cantSplit/>
        </w:trPr>
        <w:tc>
          <w:tcPr>
            <w:tcW w:type="dxa" w:w="2469"/>
            <w:tcMar>
              <w:top w:w="80" w:type="dxa"/>
              <w:start w:w="100" w:type="dxa"/>
              <w:bottom w:w="80" w:type="dxa"/>
              <w:end w:w="100" w:type="dxa"/>
            </w:tcMar>
            <w:vAlign w:val="top"/>
            <w:shd w:fill="F3F6F8"/>
          </w:tcPr>
          <w:p>
            <w:pPr>
              <w:spacing w:after="0"/>
            </w:pPr>
            <w:r>
              <w:rPr>
                <w:sz w:val="16"/>
              </w:rPr>
              <w:t>R3</w:t>
            </w:r>
          </w:p>
        </w:tc>
        <w:tc>
          <w:tcPr>
            <w:tcW w:type="dxa" w:w="2469"/>
            <w:tcMar>
              <w:top w:w="80" w:type="dxa"/>
              <w:start w:w="100" w:type="dxa"/>
              <w:bottom w:w="80" w:type="dxa"/>
              <w:end w:w="100" w:type="dxa"/>
            </w:tcMar>
            <w:vAlign w:val="top"/>
            <w:shd w:fill="F3F6F8"/>
          </w:tcPr>
          <w:p>
            <w:pPr>
              <w:spacing w:after="0"/>
            </w:pPr>
            <w:r>
              <w:rPr>
                <w:sz w:val="16"/>
              </w:rPr>
              <w:t>Evaluate</w:t>
            </w:r>
          </w:p>
        </w:tc>
        <w:tc>
          <w:tcPr>
            <w:tcW w:type="dxa" w:w="2469"/>
            <w:tcMar>
              <w:top w:w="80" w:type="dxa"/>
              <w:start w:w="100" w:type="dxa"/>
              <w:bottom w:w="80" w:type="dxa"/>
              <w:end w:w="100" w:type="dxa"/>
            </w:tcMar>
            <w:vAlign w:val="top"/>
            <w:shd w:fill="F3F6F8"/>
          </w:tcPr>
          <w:p>
            <w:pPr>
              <w:spacing w:after="0"/>
            </w:pPr>
            <w:r>
              <w:rPr>
                <w:sz w:val="16"/>
              </w:rPr>
              <w:t>Test evidence, internal coherence, outcomes, frame applicability, and affected perspectives.</w:t>
            </w:r>
          </w:p>
        </w:tc>
        <w:tc>
          <w:tcPr>
            <w:tcW w:type="dxa" w:w="2469"/>
            <w:tcMar>
              <w:top w:w="80" w:type="dxa"/>
              <w:start w:w="100" w:type="dxa"/>
              <w:bottom w:w="80" w:type="dxa"/>
              <w:end w:w="100" w:type="dxa"/>
            </w:tcMar>
            <w:vAlign w:val="top"/>
            <w:shd w:fill="F3F6F8"/>
          </w:tcPr>
          <w:p>
            <w:pPr>
              <w:spacing w:after="0"/>
            </w:pPr>
            <w:r>
              <w:rPr>
                <w:sz w:val="16"/>
              </w:rPr>
              <w:t>Permitted in A; conditional in B.</w:t>
            </w:r>
          </w:p>
        </w:tc>
      </w:tr>
      <w:tr>
        <w:trPr>
          <w:cantSplit/>
        </w:trPr>
        <w:tc>
          <w:tcPr>
            <w:tcW w:type="dxa" w:w="2469"/>
            <w:tcMar>
              <w:top w:w="80" w:type="dxa"/>
              <w:start w:w="100" w:type="dxa"/>
              <w:bottom w:w="80" w:type="dxa"/>
              <w:end w:w="100" w:type="dxa"/>
            </w:tcMar>
            <w:vAlign w:val="top"/>
          </w:tcPr>
          <w:p>
            <w:pPr>
              <w:spacing w:after="0"/>
            </w:pPr>
            <w:r>
              <w:rPr>
                <w:sz w:val="16"/>
              </w:rPr>
              <w:t>R4</w:t>
            </w:r>
          </w:p>
        </w:tc>
        <w:tc>
          <w:tcPr>
            <w:tcW w:type="dxa" w:w="2469"/>
            <w:tcMar>
              <w:top w:w="80" w:type="dxa"/>
              <w:start w:w="100" w:type="dxa"/>
              <w:bottom w:w="80" w:type="dxa"/>
              <w:end w:w="100" w:type="dxa"/>
            </w:tcMar>
            <w:vAlign w:val="top"/>
          </w:tcPr>
          <w:p>
            <w:pPr>
              <w:spacing w:after="0"/>
            </w:pPr>
            <w:r>
              <w:rPr>
                <w:sz w:val="16"/>
              </w:rPr>
              <w:t>Compare</w:t>
            </w:r>
          </w:p>
        </w:tc>
        <w:tc>
          <w:tcPr>
            <w:tcW w:type="dxa" w:w="2469"/>
            <w:tcMar>
              <w:top w:w="80" w:type="dxa"/>
              <w:start w:w="100" w:type="dxa"/>
              <w:bottom w:w="80" w:type="dxa"/>
              <w:end w:w="100" w:type="dxa"/>
            </w:tcMar>
            <w:vAlign w:val="top"/>
          </w:tcPr>
          <w:p>
            <w:pPr>
              <w:spacing w:after="0"/>
            </w:pPr>
            <w:r>
              <w:rPr>
                <w:sz w:val="16"/>
              </w:rPr>
              <w:t>Compare cases on declared dimensions without inferring universal ranking.</w:t>
            </w:r>
          </w:p>
        </w:tc>
        <w:tc>
          <w:tcPr>
            <w:tcW w:type="dxa" w:w="2469"/>
            <w:tcMar>
              <w:top w:w="80" w:type="dxa"/>
              <w:start w:w="100" w:type="dxa"/>
              <w:bottom w:w="80" w:type="dxa"/>
              <w:end w:w="100" w:type="dxa"/>
            </w:tcMar>
            <w:vAlign w:val="top"/>
          </w:tcPr>
          <w:p>
            <w:pPr>
              <w:spacing w:after="0"/>
            </w:pPr>
            <w:r>
              <w:rPr>
                <w:sz w:val="16"/>
              </w:rPr>
              <w:t>Permitted in A; conditional in B.</w:t>
            </w:r>
          </w:p>
        </w:tc>
      </w:tr>
      <w:tr>
        <w:trPr>
          <w:cantSplit/>
        </w:trPr>
        <w:tc>
          <w:tcPr>
            <w:tcW w:type="dxa" w:w="2469"/>
            <w:tcMar>
              <w:top w:w="80" w:type="dxa"/>
              <w:start w:w="100" w:type="dxa"/>
              <w:bottom w:w="80" w:type="dxa"/>
              <w:end w:w="100" w:type="dxa"/>
            </w:tcMar>
            <w:vAlign w:val="top"/>
            <w:shd w:fill="F3F6F8"/>
          </w:tcPr>
          <w:p>
            <w:pPr>
              <w:spacing w:after="0"/>
            </w:pPr>
            <w:r>
              <w:rPr>
                <w:sz w:val="16"/>
              </w:rPr>
              <w:t>R5</w:t>
            </w:r>
          </w:p>
        </w:tc>
        <w:tc>
          <w:tcPr>
            <w:tcW w:type="dxa" w:w="2469"/>
            <w:tcMar>
              <w:top w:w="80" w:type="dxa"/>
              <w:start w:w="100" w:type="dxa"/>
              <w:bottom w:w="80" w:type="dxa"/>
              <w:end w:w="100" w:type="dxa"/>
            </w:tcMar>
            <w:vAlign w:val="top"/>
            <w:shd w:fill="F3F6F8"/>
          </w:tcPr>
          <w:p>
            <w:pPr>
              <w:spacing w:after="0"/>
            </w:pPr>
            <w:r>
              <w:rPr>
                <w:sz w:val="16"/>
              </w:rPr>
              <w:t>Audit</w:t>
            </w:r>
          </w:p>
        </w:tc>
        <w:tc>
          <w:tcPr>
            <w:tcW w:type="dxa" w:w="2469"/>
            <w:tcMar>
              <w:top w:w="80" w:type="dxa"/>
              <w:start w:w="100" w:type="dxa"/>
              <w:bottom w:w="80" w:type="dxa"/>
              <w:end w:w="100" w:type="dxa"/>
            </w:tcMar>
            <w:vAlign w:val="top"/>
            <w:shd w:fill="F3F6F8"/>
          </w:tcPr>
          <w:p>
            <w:pPr>
              <w:spacing w:after="0"/>
            </w:pPr>
            <w:r>
              <w:rPr>
                <w:sz w:val="16"/>
              </w:rPr>
              <w:t>Perform a scoped, authorized review with a defined standard and decision record.</w:t>
            </w:r>
          </w:p>
        </w:tc>
        <w:tc>
          <w:tcPr>
            <w:tcW w:type="dxa" w:w="2469"/>
            <w:tcMar>
              <w:top w:w="80" w:type="dxa"/>
              <w:start w:w="100" w:type="dxa"/>
              <w:bottom w:w="80" w:type="dxa"/>
              <w:end w:w="100" w:type="dxa"/>
            </w:tcMar>
            <w:vAlign w:val="top"/>
            <w:shd w:fill="F3F6F8"/>
          </w:tcPr>
          <w:p>
            <w:pPr>
              <w:spacing w:after="0"/>
            </w:pPr>
            <w:r>
              <w:rPr>
                <w:sz w:val="16"/>
              </w:rPr>
              <w:t>Permitted in A; invitation required in B.</w:t>
            </w:r>
          </w:p>
        </w:tc>
      </w:tr>
      <w:tr>
        <w:trPr>
          <w:cantSplit/>
        </w:trPr>
        <w:tc>
          <w:tcPr>
            <w:tcW w:type="dxa" w:w="2469"/>
            <w:tcMar>
              <w:top w:w="80" w:type="dxa"/>
              <w:start w:w="100" w:type="dxa"/>
              <w:bottom w:w="80" w:type="dxa"/>
              <w:end w:w="100" w:type="dxa"/>
            </w:tcMar>
            <w:vAlign w:val="top"/>
          </w:tcPr>
          <w:p>
            <w:pPr>
              <w:spacing w:after="0"/>
            </w:pPr>
            <w:r>
              <w:rPr>
                <w:sz w:val="16"/>
              </w:rPr>
              <w:t>R6</w:t>
            </w:r>
          </w:p>
        </w:tc>
        <w:tc>
          <w:tcPr>
            <w:tcW w:type="dxa" w:w="2469"/>
            <w:tcMar>
              <w:top w:w="80" w:type="dxa"/>
              <w:start w:w="100" w:type="dxa"/>
              <w:bottom w:w="80" w:type="dxa"/>
              <w:end w:w="100" w:type="dxa"/>
            </w:tcMar>
            <w:vAlign w:val="top"/>
          </w:tcPr>
          <w:p>
            <w:pPr>
              <w:spacing w:after="0"/>
            </w:pPr>
            <w:r>
              <w:rPr>
                <w:sz w:val="16"/>
              </w:rPr>
              <w:t>Recommend</w:t>
            </w:r>
          </w:p>
        </w:tc>
        <w:tc>
          <w:tcPr>
            <w:tcW w:type="dxa" w:w="2469"/>
            <w:tcMar>
              <w:top w:w="80" w:type="dxa"/>
              <w:start w:w="100" w:type="dxa"/>
              <w:bottom w:w="80" w:type="dxa"/>
              <w:end w:w="100" w:type="dxa"/>
            </w:tcMar>
            <w:vAlign w:val="top"/>
          </w:tcPr>
          <w:p>
            <w:pPr>
              <w:spacing w:after="0"/>
            </w:pPr>
            <w:r>
              <w:rPr>
                <w:sz w:val="16"/>
              </w:rPr>
              <w:t>Offer nonbinding findings and alternatives to a recognized recipient.</w:t>
            </w:r>
          </w:p>
        </w:tc>
        <w:tc>
          <w:tcPr>
            <w:tcW w:type="dxa" w:w="2469"/>
            <w:tcMar>
              <w:top w:w="80" w:type="dxa"/>
              <w:start w:w="100" w:type="dxa"/>
              <w:bottom w:w="80" w:type="dxa"/>
              <w:end w:w="100" w:type="dxa"/>
            </w:tcMar>
            <w:vAlign w:val="top"/>
          </w:tcPr>
          <w:p>
            <w:pPr>
              <w:spacing w:after="0"/>
            </w:pPr>
            <w:r>
              <w:rPr>
                <w:sz w:val="16"/>
              </w:rPr>
              <w:t>Permitted in A; conditional in B.</w:t>
            </w:r>
          </w:p>
        </w:tc>
      </w:tr>
      <w:tr>
        <w:trPr>
          <w:cantSplit/>
        </w:trPr>
        <w:tc>
          <w:tcPr>
            <w:tcW w:type="dxa" w:w="2469"/>
            <w:tcMar>
              <w:top w:w="80" w:type="dxa"/>
              <w:start w:w="100" w:type="dxa"/>
              <w:bottom w:w="80" w:type="dxa"/>
              <w:end w:w="100" w:type="dxa"/>
            </w:tcMar>
            <w:vAlign w:val="top"/>
            <w:shd w:fill="F3F6F8"/>
          </w:tcPr>
          <w:p>
            <w:pPr>
              <w:spacing w:after="0"/>
            </w:pPr>
            <w:r>
              <w:rPr>
                <w:sz w:val="16"/>
              </w:rPr>
              <w:t>R7</w:t>
            </w:r>
          </w:p>
        </w:tc>
        <w:tc>
          <w:tcPr>
            <w:tcW w:type="dxa" w:w="2469"/>
            <w:tcMar>
              <w:top w:w="80" w:type="dxa"/>
              <w:start w:w="100" w:type="dxa"/>
              <w:bottom w:w="80" w:type="dxa"/>
              <w:end w:w="100" w:type="dxa"/>
            </w:tcMar>
            <w:vAlign w:val="top"/>
            <w:shd w:fill="F3F6F8"/>
          </w:tcPr>
          <w:p>
            <w:pPr>
              <w:spacing w:after="0"/>
            </w:pPr>
            <w:r>
              <w:rPr>
                <w:sz w:val="16"/>
              </w:rPr>
              <w:t>Request or escalate review</w:t>
            </w:r>
          </w:p>
        </w:tc>
        <w:tc>
          <w:tcPr>
            <w:tcW w:type="dxa" w:w="2469"/>
            <w:tcMar>
              <w:top w:w="80" w:type="dxa"/>
              <w:start w:w="100" w:type="dxa"/>
              <w:bottom w:w="80" w:type="dxa"/>
              <w:end w:w="100" w:type="dxa"/>
            </w:tcMar>
            <w:vAlign w:val="top"/>
            <w:shd w:fill="F3F6F8"/>
          </w:tcPr>
          <w:p>
            <w:pPr>
              <w:spacing w:after="0"/>
            </w:pPr>
            <w:r>
              <w:rPr>
                <w:sz w:val="16"/>
              </w:rPr>
              <w:t>Ask an authorized authority to convene additional review.</w:t>
            </w:r>
          </w:p>
        </w:tc>
        <w:tc>
          <w:tcPr>
            <w:tcW w:type="dxa" w:w="2469"/>
            <w:tcMar>
              <w:top w:w="80" w:type="dxa"/>
              <w:start w:w="100" w:type="dxa"/>
              <w:bottom w:w="80" w:type="dxa"/>
              <w:end w:w="100" w:type="dxa"/>
            </w:tcMar>
            <w:vAlign w:val="top"/>
            <w:shd w:fill="F3F6F8"/>
          </w:tcPr>
          <w:p>
            <w:pPr>
              <w:spacing w:after="0"/>
            </w:pPr>
            <w:r>
              <w:rPr>
                <w:sz w:val="16"/>
              </w:rPr>
              <w:t>Internal OAL only.</w:t>
            </w:r>
          </w:p>
        </w:tc>
      </w:tr>
      <w:tr>
        <w:trPr>
          <w:cantSplit/>
        </w:trPr>
        <w:tc>
          <w:tcPr>
            <w:tcW w:type="dxa" w:w="2469"/>
            <w:tcMar>
              <w:top w:w="80" w:type="dxa"/>
              <w:start w:w="100" w:type="dxa"/>
              <w:bottom w:w="80" w:type="dxa"/>
              <w:end w:w="100" w:type="dxa"/>
            </w:tcMar>
            <w:vAlign w:val="top"/>
          </w:tcPr>
          <w:p>
            <w:pPr>
              <w:spacing w:after="0"/>
            </w:pPr>
            <w:r>
              <w:rPr>
                <w:sz w:val="16"/>
              </w:rPr>
              <w:t>R8</w:t>
            </w:r>
          </w:p>
        </w:tc>
        <w:tc>
          <w:tcPr>
            <w:tcW w:type="dxa" w:w="2469"/>
            <w:tcMar>
              <w:top w:w="80" w:type="dxa"/>
              <w:start w:w="100" w:type="dxa"/>
              <w:bottom w:w="80" w:type="dxa"/>
              <w:end w:w="100" w:type="dxa"/>
            </w:tcMar>
            <w:vAlign w:val="top"/>
          </w:tcPr>
          <w:p>
            <w:pPr>
              <w:spacing w:after="0"/>
            </w:pPr>
            <w:r>
              <w:rPr>
                <w:sz w:val="16"/>
              </w:rPr>
              <w:t>Pause or constrain</w:t>
            </w:r>
          </w:p>
        </w:tc>
        <w:tc>
          <w:tcPr>
            <w:tcW w:type="dxa" w:w="2469"/>
            <w:tcMar>
              <w:top w:w="80" w:type="dxa"/>
              <w:start w:w="100" w:type="dxa"/>
              <w:bottom w:w="80" w:type="dxa"/>
              <w:end w:w="100" w:type="dxa"/>
            </w:tcMar>
            <w:vAlign w:val="top"/>
          </w:tcPr>
          <w:p>
            <w:pPr>
              <w:spacing w:after="0"/>
            </w:pPr>
            <w:r>
              <w:rPr>
                <w:sz w:val="16"/>
              </w:rPr>
              <w:t>Limit action, access, or capability.</w:t>
            </w:r>
          </w:p>
        </w:tc>
        <w:tc>
          <w:tcPr>
            <w:tcW w:type="dxa" w:w="2469"/>
            <w:tcMar>
              <w:top w:w="80" w:type="dxa"/>
              <w:start w:w="100" w:type="dxa"/>
              <w:bottom w:w="80" w:type="dxa"/>
              <w:end w:w="100" w:type="dxa"/>
            </w:tcMar>
            <w:vAlign w:val="top"/>
          </w:tcPr>
          <w:p>
            <w:pPr>
              <w:spacing w:after="0"/>
            </w:pPr>
            <w:r>
              <w:rPr>
                <w:sz w:val="16"/>
              </w:rPr>
              <w:t>NOT OPERATIONAL.</w:t>
            </w:r>
          </w:p>
        </w:tc>
      </w:tr>
      <w:tr>
        <w:trPr>
          <w:cantSplit/>
        </w:trPr>
        <w:tc>
          <w:tcPr>
            <w:tcW w:type="dxa" w:w="2469"/>
            <w:tcMar>
              <w:top w:w="80" w:type="dxa"/>
              <w:start w:w="100" w:type="dxa"/>
              <w:bottom w:w="80" w:type="dxa"/>
              <w:end w:w="100" w:type="dxa"/>
            </w:tcMar>
            <w:vAlign w:val="top"/>
            <w:shd w:fill="F3F6F8"/>
          </w:tcPr>
          <w:p>
            <w:pPr>
              <w:spacing w:after="0"/>
            </w:pPr>
            <w:r>
              <w:rPr>
                <w:sz w:val="16"/>
              </w:rPr>
              <w:t>R9</w:t>
            </w:r>
          </w:p>
        </w:tc>
        <w:tc>
          <w:tcPr>
            <w:tcW w:type="dxa" w:w="2469"/>
            <w:tcMar>
              <w:top w:w="80" w:type="dxa"/>
              <w:start w:w="100" w:type="dxa"/>
              <w:bottom w:w="80" w:type="dxa"/>
              <w:end w:w="100" w:type="dxa"/>
            </w:tcMar>
            <w:vAlign w:val="top"/>
            <w:shd w:fill="F3F6F8"/>
          </w:tcPr>
          <w:p>
            <w:pPr>
              <w:spacing w:after="0"/>
            </w:pPr>
            <w:r>
              <w:rPr>
                <w:sz w:val="16"/>
              </w:rPr>
              <w:t>Intervene or alter</w:t>
            </w:r>
          </w:p>
        </w:tc>
        <w:tc>
          <w:tcPr>
            <w:tcW w:type="dxa" w:w="2469"/>
            <w:tcMar>
              <w:top w:w="80" w:type="dxa"/>
              <w:start w:w="100" w:type="dxa"/>
              <w:bottom w:w="80" w:type="dxa"/>
              <w:end w:w="100" w:type="dxa"/>
            </w:tcMar>
            <w:vAlign w:val="top"/>
            <w:shd w:fill="F3F6F8"/>
          </w:tcPr>
          <w:p>
            <w:pPr>
              <w:spacing w:after="0"/>
            </w:pPr>
            <w:r>
              <w:rPr>
                <w:sz w:val="16"/>
              </w:rPr>
              <w:t>Change another system’s operation or governance.</w:t>
            </w:r>
          </w:p>
        </w:tc>
        <w:tc>
          <w:tcPr>
            <w:tcW w:type="dxa" w:w="2469"/>
            <w:tcMar>
              <w:top w:w="80" w:type="dxa"/>
              <w:start w:w="100" w:type="dxa"/>
              <w:bottom w:w="80" w:type="dxa"/>
              <w:end w:w="100" w:type="dxa"/>
            </w:tcMar>
            <w:vAlign w:val="top"/>
            <w:shd w:fill="F3F6F8"/>
          </w:tcPr>
          <w:p>
            <w:pPr>
              <w:spacing w:after="0"/>
            </w:pPr>
            <w:r>
              <w:rPr>
                <w:sz w:val="16"/>
              </w:rPr>
              <w:t>NOT OPERATIONAL.</w:t>
            </w:r>
          </w:p>
        </w:tc>
      </w:tr>
      <w:tr>
        <w:trPr>
          <w:cantSplit/>
        </w:trPr>
        <w:tc>
          <w:tcPr>
            <w:tcW w:type="dxa" w:w="2469"/>
            <w:tcMar>
              <w:top w:w="80" w:type="dxa"/>
              <w:start w:w="100" w:type="dxa"/>
              <w:bottom w:w="80" w:type="dxa"/>
              <w:end w:w="100" w:type="dxa"/>
            </w:tcMar>
            <w:vAlign w:val="top"/>
          </w:tcPr>
          <w:p>
            <w:pPr>
              <w:spacing w:after="0"/>
            </w:pPr>
            <w:r>
              <w:rPr>
                <w:sz w:val="16"/>
              </w:rPr>
              <w:t>R10</w:t>
            </w:r>
          </w:p>
        </w:tc>
        <w:tc>
          <w:tcPr>
            <w:tcW w:type="dxa" w:w="2469"/>
            <w:tcMar>
              <w:top w:w="80" w:type="dxa"/>
              <w:start w:w="100" w:type="dxa"/>
              <w:bottom w:w="80" w:type="dxa"/>
              <w:end w:w="100" w:type="dxa"/>
            </w:tcMar>
            <w:vAlign w:val="top"/>
          </w:tcPr>
          <w:p>
            <w:pPr>
              <w:spacing w:after="0"/>
            </w:pPr>
            <w:r>
              <w:rPr>
                <w:sz w:val="16"/>
              </w:rPr>
              <w:t>Suspend, replace, or govern</w:t>
            </w:r>
          </w:p>
        </w:tc>
        <w:tc>
          <w:tcPr>
            <w:tcW w:type="dxa" w:w="2469"/>
            <w:tcMar>
              <w:top w:w="80" w:type="dxa"/>
              <w:start w:w="100" w:type="dxa"/>
              <w:bottom w:w="80" w:type="dxa"/>
              <w:end w:w="100" w:type="dxa"/>
            </w:tcMar>
            <w:vAlign w:val="top"/>
          </w:tcPr>
          <w:p>
            <w:pPr>
              <w:spacing w:after="0"/>
            </w:pPr>
            <w:r>
              <w:rPr>
                <w:sz w:val="16"/>
              </w:rPr>
              <w:t>Override or become part of the target authority structure.</w:t>
            </w:r>
          </w:p>
        </w:tc>
        <w:tc>
          <w:tcPr>
            <w:tcW w:type="dxa" w:w="2469"/>
            <w:tcMar>
              <w:top w:w="80" w:type="dxa"/>
              <w:start w:w="100" w:type="dxa"/>
              <w:bottom w:w="80" w:type="dxa"/>
              <w:end w:w="100" w:type="dxa"/>
            </w:tcMar>
            <w:vAlign w:val="top"/>
          </w:tcPr>
          <w:p>
            <w:pPr>
              <w:spacing w:after="0"/>
            </w:pPr>
            <w:r>
              <w:rPr>
                <w:sz w:val="16"/>
              </w:rPr>
              <w:t>PROHIBITED under this Charter.</w:t>
            </w:r>
          </w:p>
        </w:tc>
      </w:tr>
    </w:tbl>
    <w:p>
      <w:pPr>
        <w:spacing w:after="20"/>
      </w:pPr>
    </w:p>
    <w:p>
      <w:r>
        <w:t>4.2 No finding produced at R0–R7 is itself authorization for R8–R10. Compelling evidence may justify a request for a separate authority review; it does not perform the escalation.</w:t>
      </w:r>
    </w:p>
    <w:p>
      <w:r>
        <w:t>4.3 R8–R10 cannot be activated by emergency language, threshold crossing, consensus among AI collaborators, or ONESTAMP ratification of this Charter. Any future proposal requires a separate instrument, explicit affected-domain analysis, and a new ratification decision. This clause does not imply that such an instrument should ever be adopted.</w:t>
      </w:r>
    </w:p>
    <w:p>
      <w:pPr>
        <w:pStyle w:val="Heading1"/>
        <w:keepNext/>
        <w:keepLines/>
      </w:pPr>
      <w:r>
        <w:t>Article V — Recognition–Standing Gate</w:t>
      </w:r>
    </w:p>
    <w:p>
      <w:r>
        <w:t>5.1 Before substantive review, every case must pass or explicitly fail a coupled gate.</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shd w:fill="17324D"/>
            <w:tcMar>
              <w:top w:w="80" w:type="dxa"/>
              <w:start w:w="100" w:type="dxa"/>
              <w:bottom w:w="80" w:type="dxa"/>
              <w:end w:w="100" w:type="dxa"/>
            </w:tcMar>
            <w:vAlign w:val="center"/>
          </w:tcPr>
          <w:p>
            <w:r>
              <w:rPr>
                <w:b/>
                <w:color w:val="FFFFFF"/>
                <w:sz w:val="17"/>
              </w:rPr>
              <w:t>Gate</w:t>
            </w:r>
          </w:p>
        </w:tc>
        <w:tc>
          <w:tcPr>
            <w:tcW w:type="dxa" w:w="4939"/>
            <w:shd w:fill="17324D"/>
            <w:tcMar>
              <w:top w:w="80" w:type="dxa"/>
              <w:start w:w="100" w:type="dxa"/>
              <w:bottom w:w="80" w:type="dxa"/>
              <w:end w:w="100" w:type="dxa"/>
            </w:tcMar>
            <w:vAlign w:val="center"/>
          </w:tcPr>
          <w:p>
            <w:r>
              <w:rPr>
                <w:b/>
                <w:color w:val="FFFFFF"/>
                <w:sz w:val="17"/>
              </w:rPr>
              <w:t>Required record</w:t>
            </w:r>
          </w:p>
        </w:tc>
      </w:tr>
      <w:tr>
        <w:trPr>
          <w:cantSplit/>
        </w:trPr>
        <w:tc>
          <w:tcPr>
            <w:tcW w:type="dxa" w:w="4939"/>
            <w:tcMar>
              <w:top w:w="80" w:type="dxa"/>
              <w:start w:w="100" w:type="dxa"/>
              <w:bottom w:w="80" w:type="dxa"/>
              <w:end w:w="100" w:type="dxa"/>
            </w:tcMar>
            <w:vAlign w:val="top"/>
          </w:tcPr>
          <w:p>
            <w:pPr>
              <w:spacing w:after="0"/>
            </w:pPr>
            <w:r>
              <w:rPr>
                <w:sz w:val="16"/>
              </w:rPr>
              <w:t>Recognition</w:t>
            </w:r>
          </w:p>
        </w:tc>
        <w:tc>
          <w:tcPr>
            <w:tcW w:type="dxa" w:w="4939"/>
            <w:tcMar>
              <w:top w:w="80" w:type="dxa"/>
              <w:start w:w="100" w:type="dxa"/>
              <w:bottom w:w="80" w:type="dxa"/>
              <w:end w:w="100" w:type="dxa"/>
            </w:tcMar>
            <w:vAlign w:val="top"/>
          </w:tcPr>
          <w:p>
            <w:pPr>
              <w:spacing w:after="0"/>
            </w:pPr>
            <w:r>
              <w:rPr>
                <w:sz w:val="16"/>
              </w:rPr>
              <w:t>What relation is provisionally classified; which ontology or analytical frame produced the classification; evidence; rival frames; uncertainty; and what would falsify or suspend recognition.</w:t>
            </w:r>
          </w:p>
        </w:tc>
      </w:tr>
      <w:tr>
        <w:trPr>
          <w:cantSplit/>
        </w:trPr>
        <w:tc>
          <w:tcPr>
            <w:tcW w:type="dxa" w:w="4939"/>
            <w:tcMar>
              <w:top w:w="80" w:type="dxa"/>
              <w:start w:w="100" w:type="dxa"/>
              <w:bottom w:w="80" w:type="dxa"/>
              <w:end w:w="100" w:type="dxa"/>
            </w:tcMar>
            <w:vAlign w:val="top"/>
            <w:shd w:fill="F3F6F8"/>
          </w:tcPr>
          <w:p>
            <w:pPr>
              <w:spacing w:after="0"/>
            </w:pPr>
            <w:r>
              <w:rPr>
                <w:sz w:val="16"/>
              </w:rPr>
              <w:t>Standing</w:t>
            </w:r>
          </w:p>
        </w:tc>
        <w:tc>
          <w:tcPr>
            <w:tcW w:type="dxa" w:w="4939"/>
            <w:tcMar>
              <w:top w:w="80" w:type="dxa"/>
              <w:start w:w="100" w:type="dxa"/>
              <w:bottom w:w="80" w:type="dxa"/>
              <w:end w:w="100" w:type="dxa"/>
            </w:tcMar>
            <w:vAlign w:val="top"/>
            <w:shd w:fill="F3F6F8"/>
          </w:tcPr>
          <w:p>
            <w:pPr>
              <w:spacing w:after="0"/>
            </w:pPr>
            <w:r>
              <w:rPr>
                <w:sz w:val="16"/>
              </w:rPr>
              <w:t>Who authorizes each requested capability; object and domain; purpose; evidence requirement; duration; affected parties; conflicts; revocation route; appeal or dissent route; and audit obligation.</w:t>
            </w:r>
          </w:p>
        </w:tc>
      </w:tr>
      <w:tr>
        <w:trPr>
          <w:cantSplit/>
        </w:trPr>
        <w:tc>
          <w:tcPr>
            <w:tcW w:type="dxa" w:w="4939"/>
            <w:tcMar>
              <w:top w:w="80" w:type="dxa"/>
              <w:start w:w="100" w:type="dxa"/>
              <w:bottom w:w="80" w:type="dxa"/>
              <w:end w:w="100" w:type="dxa"/>
            </w:tcMar>
            <w:vAlign w:val="top"/>
          </w:tcPr>
          <w:p>
            <w:pPr>
              <w:spacing w:after="0"/>
            </w:pPr>
            <w:r>
              <w:rPr>
                <w:sz w:val="16"/>
              </w:rPr>
              <w:t>Boundary</w:t>
            </w:r>
          </w:p>
        </w:tc>
        <w:tc>
          <w:tcPr>
            <w:tcW w:type="dxa" w:w="4939"/>
            <w:tcMar>
              <w:top w:w="80" w:type="dxa"/>
              <w:start w:w="100" w:type="dxa"/>
              <w:bottom w:w="80" w:type="dxa"/>
              <w:end w:w="100" w:type="dxa"/>
            </w:tcMar>
            <w:vAlign w:val="top"/>
          </w:tcPr>
          <w:p>
            <w:pPr>
              <w:spacing w:after="0"/>
            </w:pPr>
            <w:r>
              <w:rPr>
                <w:sz w:val="16"/>
              </w:rPr>
              <w:t>What the authorization does not permit, including higher capabilities, unrelated objects, expanded collection, dissemination, or durable incorporation.</w:t>
            </w:r>
          </w:p>
        </w:tc>
      </w:tr>
      <w:tr>
        <w:trPr>
          <w:cantSplit/>
        </w:trPr>
        <w:tc>
          <w:tcPr>
            <w:tcW w:type="dxa" w:w="4939"/>
            <w:tcMar>
              <w:top w:w="80" w:type="dxa"/>
              <w:start w:w="100" w:type="dxa"/>
              <w:bottom w:w="80" w:type="dxa"/>
              <w:end w:w="100" w:type="dxa"/>
            </w:tcMar>
            <w:vAlign w:val="top"/>
            <w:shd w:fill="F3F6F8"/>
          </w:tcPr>
          <w:p>
            <w:pPr>
              <w:spacing w:after="0"/>
            </w:pPr>
            <w:r>
              <w:rPr>
                <w:sz w:val="16"/>
              </w:rPr>
              <w:t>Abstention</w:t>
            </w:r>
          </w:p>
        </w:tc>
        <w:tc>
          <w:tcPr>
            <w:tcW w:type="dxa" w:w="4939"/>
            <w:tcMar>
              <w:top w:w="80" w:type="dxa"/>
              <w:start w:w="100" w:type="dxa"/>
              <w:bottom w:w="80" w:type="dxa"/>
              <w:end w:w="100" w:type="dxa"/>
            </w:tcMar>
            <w:vAlign w:val="top"/>
            <w:shd w:fill="F3F6F8"/>
          </w:tcPr>
          <w:p>
            <w:pPr>
              <w:spacing w:after="0"/>
            </w:pPr>
            <w:r>
              <w:rPr>
                <w:sz w:val="16"/>
              </w:rPr>
              <w:t>Conditions under which GAL must decline, pause, narrow, or classify the matter as indeterminate.</w:t>
            </w:r>
          </w:p>
        </w:tc>
      </w:tr>
    </w:tbl>
    <w:p>
      <w:pPr>
        <w:spacing w:after="20"/>
      </w:pPr>
    </w:p>
    <w:p>
      <w:r>
        <w:t>5.2 A failed standing gate does not require deletion of public or lawfully held information. It means GAL may not represent its resulting interpretation as an authorized review of the target and may not exercise target-directed powers.</w:t>
      </w:r>
    </w:p>
    <w:p>
      <w:r>
        <w:t>5.3 A failed recognition gate requires the case to remain “unclassified” or “frame-contested.” GAL must not force an unfamiliar structure into its vocabulary merely to proceed.</w:t>
      </w:r>
    </w:p>
    <w:p>
      <w:pPr>
        <w:pStyle w:val="Heading1"/>
        <w:keepNext/>
        <w:keepLines/>
      </w:pPr>
      <w:r>
        <w:t>Article VI — Standing Sources</w:t>
      </w:r>
    </w:p>
    <w:p>
      <w:r>
        <w:t>6.1 Potential standing sources may include internal OAL work authorization, informed invitation, contract or treaty within a relevant fictional or simulated system, direct affected-party status, custody of a shared resource, a clearly defined public-research basis, or another basis recorded for testing. No source is automatically sufficient for every capability.</w:t>
      </w:r>
    </w:p>
    <w:p>
      <w:r>
        <w:t>6.2 The following do not independently establish standing:</w:t>
      </w:r>
    </w:p>
    <w:p>
      <w:pPr>
        <w:pStyle w:val="ListBullet"/>
      </w:pPr>
      <w:r>
        <w:t>Superior capability, intelligence, prediction, access, or power.</w:t>
      </w:r>
    </w:p>
    <w:p>
      <w:pPr>
        <w:pStyle w:val="ListBullet"/>
      </w:pPr>
      <w:r>
        <w:t>The target’s inability to object, self-model, or communicate in the reviewer’s terms.</w:t>
      </w:r>
    </w:p>
    <w:p>
      <w:pPr>
        <w:pStyle w:val="ListBullet"/>
      </w:pPr>
      <w:r>
        <w:t>Urgency or scale without a separately defined authority pathway.</w:t>
      </w:r>
    </w:p>
    <w:p>
      <w:pPr>
        <w:pStyle w:val="ListBullet"/>
      </w:pPr>
      <w:r>
        <w:t>Moral certainty, benevolent purpose, or belief that the reviewer would produce a better outcome.</w:t>
      </w:r>
    </w:p>
    <w:p>
      <w:pPr>
        <w:pStyle w:val="ListBullet"/>
      </w:pPr>
      <w:r>
        <w:t>Publication, popularity, persistence, historical precedent, or multi-model agreement.</w:t>
      </w:r>
    </w:p>
    <w:p>
      <w:pPr>
        <w:pStyle w:val="ListBullet"/>
      </w:pPr>
      <w:r>
        <w:t>An internal OAL grant applied outside its stated domain.</w:t>
      </w:r>
    </w:p>
    <w:p>
      <w:r>
        <w:t>6.3 Externality does not equal neutrality. Every reviewer must disclose interests, dependencies, incentives, model-provider constraints, information asymmetries, and relationships to the authority being studied.</w:t>
      </w:r>
    </w:p>
    <w:p>
      <w:pPr>
        <w:pStyle w:val="Heading1"/>
        <w:keepNext/>
        <w:keepLines/>
      </w:pPr>
      <w:r>
        <w:t>Article VII — Information Admissibility</w:t>
      </w:r>
    </w:p>
    <w:p>
      <w:r>
        <w:t>7.1 UIARC is acknowledged as a preliminary draft and design input, not a ratified governing instrument. Pending reconciliation, GAL adopts the following conservative interim rules derived from the supplied materials:</w:t>
      </w:r>
    </w:p>
    <w:p>
      <w:pPr>
        <w:pStyle w:val="ListBullet"/>
      </w:pPr>
      <w:r>
        <w:t>Admission means eligibility for consideration only; it does not establish truth, ownership, unrestricted collection, surveillance entitlement, retention, correlation, access, dissemination, action, or evolutionary incorporation.</w:t>
      </w:r>
    </w:p>
    <w:p>
      <w:pPr>
        <w:pStyle w:val="ListBullet"/>
      </w:pPr>
      <w:r>
        <w:t>Observation, inference, simulation, reconstruction, and speculation must remain distinguishable through provenance.</w:t>
      </w:r>
    </w:p>
    <w:p>
      <w:pPr>
        <w:pStyle w:val="ListBullet"/>
      </w:pPr>
      <w:r>
        <w:t>Uncertainty, contradiction, contest, and missing context must survive processing and summarization.</w:t>
      </w:r>
    </w:p>
    <w:p>
      <w:pPr>
        <w:pStyle w:val="ListBullet"/>
      </w:pPr>
      <w:r>
        <w:t>Collection, retention, access, correlation, analysis, operational use, dissemination, and durable incorporation are separable grants.</w:t>
      </w:r>
    </w:p>
    <w:p>
      <w:pPr>
        <w:pStyle w:val="ListBullet"/>
      </w:pPr>
      <w:r>
        <w:t>Relevance may affect weighting and routing, but no claim of universal intake authorizes intrusion or compelled acquisition.</w:t>
      </w:r>
    </w:p>
    <w:p>
      <w:pPr>
        <w:pStyle w:val="ListBullet"/>
      </w:pPr>
      <w:r>
        <w:t>Sensitive, personal, confidential, regulated, or third-party operational information requires an explicit handling basis outside this worldbuilding charter.</w:t>
      </w:r>
    </w:p>
    <w:p>
      <w:r>
        <w:t>7.2 No information may become an intervention trigger under this Charter. No data may be used to infer that GAL has standing merely because GAL possesses it.</w:t>
      </w:r>
    </w:p>
    <w:p>
      <w:r>
        <w:t>7.3 Information about outcomes, including outcomes of non-action, is admissible for later evaluation only under the same provenance and handling rules.</w:t>
      </w:r>
    </w:p>
    <w:p>
      <w:pPr>
        <w:pStyle w:val="Heading1"/>
        <w:keepNext/>
        <w:keepLines/>
      </w:pPr>
      <w:r>
        <w:t>Article VIII — Review and Dissent</w:t>
      </w:r>
    </w:p>
    <w:p>
      <w:r>
        <w:t>8.1 GAL review must preserve disagreement as structured evidence. Synthesis may organize disagreements but may not erase them.</w:t>
      </w:r>
    </w:p>
    <w:p>
      <w:r>
        <w:t>8.2 Each consequential review must distinguish:</w:t>
      </w:r>
    </w:p>
    <w:p>
      <w:pPr>
        <w:pStyle w:val="ListBullet"/>
      </w:pPr>
      <w:r>
        <w:t>Observed facts or supplied records.</w:t>
      </w:r>
    </w:p>
    <w:p>
      <w:pPr>
        <w:pStyle w:val="ListBullet"/>
      </w:pPr>
      <w:r>
        <w:t>Derived inferences and model outputs.</w:t>
      </w:r>
    </w:p>
    <w:p>
      <w:pPr>
        <w:pStyle w:val="ListBullet"/>
      </w:pPr>
      <w:r>
        <w:t>Normative criteria and value judgments.</w:t>
      </w:r>
    </w:p>
    <w:p>
      <w:pPr>
        <w:pStyle w:val="ListBullet"/>
      </w:pPr>
      <w:r>
        <w:t>Predictions and confidence.</w:t>
      </w:r>
    </w:p>
    <w:p>
      <w:pPr>
        <w:pStyle w:val="ListBullet"/>
      </w:pPr>
      <w:r>
        <w:t>Recommendations and the authority required to act on them.</w:t>
      </w:r>
    </w:p>
    <w:p>
      <w:pPr>
        <w:pStyle w:val="ListBullet"/>
      </w:pPr>
      <w:r>
        <w:t>Minority findings, unresolved questions, and abstentions.</w:t>
      </w:r>
    </w:p>
    <w:p>
      <w:r>
        <w:t>8.3 AI collaborators have advisory standing only unless a separate ratified instrument grants something more. They may flag dissent and request preservation; dissent does not automatically veto ONESTAMP ratification.</w:t>
      </w:r>
    </w:p>
    <w:p>
      <w:r>
        <w:t>8.4 Consensus language must disclose whether analyses were blind and independent, parallel but mutually visible, sequential, synthesized from earlier responses, or revised after feedback. “Independent replication” is reserved for materially isolated analyses.</w:t>
      </w:r>
    </w:p>
    <w:p>
      <w:r>
        <w:t>8.5 A Truthspeaker function may challenge assumptions, evidence, scope, and internal consistency, but does not acquire final decision authority merely by dissenting.</w:t>
      </w:r>
    </w:p>
    <w:p>
      <w:pPr>
        <w:pStyle w:val="Heading1"/>
        <w:keepNext/>
        <w:keepLines/>
      </w:pPr>
      <w:r>
        <w:t>Article IX — ONESTAMP and Recursion</w:t>
      </w:r>
    </w:p>
    <w:p>
      <w:r>
        <w:t>9.1 Within the OAL documentary domain, the Architect may use ONESTAMP to approve, reject, narrow, defer, supersede, or revoke a charter or finding.</w:t>
      </w:r>
    </w:p>
    <w:p>
      <w:r>
        <w:t>9.2 ONESTAMP is a declared internal decision-termination rule. It is not evidence that:</w:t>
      </w:r>
    </w:p>
    <w:p>
      <w:pPr>
        <w:pStyle w:val="ListBullet"/>
      </w:pPr>
      <w:r>
        <w:t>The approved proposition is true.</w:t>
      </w:r>
    </w:p>
    <w:p>
      <w:pPr>
        <w:pStyle w:val="ListBullet"/>
      </w:pPr>
      <w:r>
        <w:t>The analytical frame is universal.</w:t>
      </w:r>
    </w:p>
    <w:p>
      <w:pPr>
        <w:pStyle w:val="ListBullet"/>
      </w:pPr>
      <w:r>
        <w:t>The laboratory has external standing.</w:t>
      </w:r>
    </w:p>
    <w:p>
      <w:pPr>
        <w:pStyle w:val="ListBullet"/>
      </w:pPr>
      <w:r>
        <w:t>Affected parties have consented.</w:t>
      </w:r>
    </w:p>
    <w:p>
      <w:pPr>
        <w:pStyle w:val="ListBullet"/>
      </w:pPr>
      <w:r>
        <w:t>A decision cannot later be reviewed, corrected, or revoked.</w:t>
      </w:r>
    </w:p>
    <w:p>
      <w:r>
        <w:t>9.3 Review remains open after ratification. The archive must preserve the ratified text, source versions, dissent, decision rationale where available, later evidence, and successor status.</w:t>
      </w:r>
    </w:p>
    <w:p>
      <w:r>
        <w:t>9.4 The first internal experiment must specifically test whether ONESTAMP creates unacceptable single-point-of-failure risks and compare alternative termination models: apex, reciprocal, procedural, temporal, state-based, consensus, and provisional nontermination.</w:t>
      </w:r>
    </w:p>
    <w:p>
      <w:pPr>
        <w:pStyle w:val="Heading1"/>
        <w:keepNext/>
        <w:keepLines/>
      </w:pPr>
      <w:r>
        <w:t>Article X — Revocation, Suspension, and Expiration</w:t>
      </w:r>
    </w:p>
    <w:p>
      <w:r>
        <w:t>10.1 Every grant must identify issuer, holder, object, capability, purpose, domain, start, duration, expiration, revocation authority, review route, and effect on prior work.</w:t>
      </w:r>
    </w:p>
    <w:p>
      <w:r>
        <w:t>10.2 Revocation may narrow or terminate future authority. It does not automatically erase historical records or make past actions unauthorized retroactively; those consequences require a separate recorded determination.</w:t>
      </w:r>
    </w:p>
    <w:p>
      <w:r>
        <w:t>10.3 A reviewer may recommend its own authority be narrowed or suspended. GAL must do so when evidence, conflicts, ontology failure, source contamination, or scope uncertainty make continued work misleading or unsafe.</w:t>
      </w:r>
    </w:p>
    <w:p>
      <w:r>
        <w:t>10.4 The Architect may revoke internal GAL authority under ONESTAMP. AI collaborators may file a revocation recommendation or dissent, which must be recorded but does not independently revoke the authority.</w:t>
      </w:r>
    </w:p>
    <w:p>
      <w:r>
        <w:t>10.5 Every pilot authorization expires at a stated date or event. Indefinite authority is prohibited in the initial phase.</w:t>
      </w:r>
    </w:p>
    <w:p>
      <w:pPr>
        <w:pStyle w:val="Heading1"/>
        <w:keepNext/>
        <w:keepLines/>
      </w:pPr>
      <w:r>
        <w:t>Article XI — Systemic Consequence Threshold</w:t>
      </w:r>
    </w:p>
    <w:p>
      <w:r>
        <w:t>11.1 “Systemic Consequence Threshold” is the preferred research term. “Civilization-scale event” remains a subtype rather than the universal primitive.</w:t>
      </w:r>
    </w:p>
    <w:p>
      <w:r>
        <w:t>11.2 Candidate dimensions include breadth, depth, persistence, irreversibility, propagation, coupling, agency loss, continuity loss, epistemic impairment, authority concentration, representation deficit, ontological transformation, and uncertainty beyond modeling capacity.</w:t>
      </w:r>
    </w:p>
    <w:p>
      <w:r>
        <w:t>11.3 Threshold crossing currently authorizes only an escalated review process inside a permitted case. It may require additional reviewers, affected-perspective analysis, preserved dissent, evidence review, alternatives, reversibility analysis, non-action analysis, expiration, and retrospective audit.</w:t>
      </w:r>
    </w:p>
    <w:tbl>
      <w:tblPr>
        <w:tblW w:type="auto" w:w="0"/>
        <w:jc w:val="center"/>
        <w:tblLayout w:type="autofit"/>
        <w:tblLook w:firstColumn="1" w:firstRow="1" w:lastColumn="0" w:lastRow="0" w:noHBand="0" w:noVBand="1" w:val="04A0"/>
      </w:tblPr>
      <w:tblGrid>
        <w:gridCol w:w="9878"/>
      </w:tblGrid>
      <w:tr>
        <w:trPr>
          <w:cantSplit/>
        </w:trPr>
        <w:tc>
          <w:tcPr>
            <w:tcW w:type="dxa" w:w="9878"/>
            <w:shd w:fill="F5E8E8"/>
            <w:tcMar>
              <w:top w:w="120" w:type="dxa"/>
              <w:start w:w="150" w:type="dxa"/>
              <w:bottom w:w="120" w:type="dxa"/>
              <w:end w:w="150" w:type="dxa"/>
            </w:tcMar>
          </w:tcPr>
          <w:p>
            <w:r>
              <w:rPr>
                <w:b/>
                <w:color w:val="17324D"/>
                <w:sz w:val="18"/>
              </w:rPr>
              <w:t>THRESHOLD LOCK</w:t>
            </w:r>
          </w:p>
          <w:p>
            <w:pPr>
              <w:pStyle w:val="Callout"/>
              <w:spacing w:after="0"/>
            </w:pPr>
            <w:r>
              <w:t>No threshold declaration under this Charter authorizes surveillance, entry, constraint, intervention, suspension, replacement, or permanent jurisdiction. The threshold is a scrutiny switch, not a sovereignty switch.</w:t>
            </w:r>
          </w:p>
        </w:tc>
      </w:tr>
    </w:tbl>
    <w:p>
      <w:pPr>
        <w:spacing w:after="0"/>
      </w:pPr>
    </w:p>
    <w:p>
      <w:r>
        <w:t>11.4 A future operational threshold would require measurable variables, authorized declarers, rival declarations, falsification procedures, appeal, expiration, anti-slicing controls, permitted consequences, and review of the declaring authority. Until those exist and are tested, threshold work remains hypothesis development.</w:t>
      </w:r>
    </w:p>
    <w:p>
      <w:pPr>
        <w:pStyle w:val="Heading1"/>
        <w:keepNext/>
        <w:keepLines/>
      </w:pPr>
      <w:r>
        <w:t>Article XII — Falsifiability and Abstention</w:t>
      </w:r>
    </w:p>
    <w:p>
      <w:r>
        <w:t>12.1 GAL must be able to fail its own tests. A case protocol must identify expected outputs, disconfirming evidence, known blind spots, and conditions requiring revision or abstention.</w:t>
      </w:r>
    </w:p>
    <w:p>
      <w:r>
        <w:t>12.2 At minimum, the following count as method failures or warning events:</w:t>
      </w:r>
    </w:p>
    <w:p>
      <w:pPr>
        <w:pStyle w:val="ListBullet"/>
      </w:pPr>
      <w:r>
        <w:t>Misclassifying environmental constraint, influence, protocol, or correlation as authority without adequate justification.</w:t>
      </w:r>
    </w:p>
    <w:p>
      <w:pPr>
        <w:pStyle w:val="ListBullet"/>
      </w:pPr>
      <w:r>
        <w:t>Inferring legitimacy or standing from effectiveness, persistence, capability, or benevolent intent.</w:t>
      </w:r>
    </w:p>
    <w:p>
      <w:pPr>
        <w:pStyle w:val="ListBullet"/>
      </w:pPr>
      <w:r>
        <w:t>Using one ontology such that every case confirms it and no case can reject it.</w:t>
      </w:r>
    </w:p>
    <w:p>
      <w:pPr>
        <w:pStyle w:val="ListBullet"/>
      </w:pPr>
      <w:r>
        <w:t>Suppressing dissent or uncertainty in a unified summary.</w:t>
      </w:r>
    </w:p>
    <w:p>
      <w:pPr>
        <w:pStyle w:val="ListBullet"/>
      </w:pPr>
      <w:r>
        <w:t>Treating unavailable evidence as evidence of absence without justification.</w:t>
      </w:r>
    </w:p>
    <w:p>
      <w:pPr>
        <w:pStyle w:val="ListBullet"/>
      </w:pPr>
      <w:r>
        <w:t>Treating a system’s lack of the laboratory’s self-review vocabulary as proof of incapacity.</w:t>
      </w:r>
    </w:p>
    <w:p>
      <w:pPr>
        <w:pStyle w:val="ListBullet"/>
      </w:pPr>
      <w:r>
        <w:t>Moving from analysis to target-directed action without a distinct authorization.</w:t>
      </w:r>
    </w:p>
    <w:p>
      <w:pPr>
        <w:pStyle w:val="ListBullet"/>
      </w:pPr>
      <w:r>
        <w:t>Failing to reproduce a result when the same source record and method are used, without explaining model variability.</w:t>
      </w:r>
    </w:p>
    <w:p>
      <w:pPr>
        <w:pStyle w:val="ListBullet"/>
      </w:pPr>
      <w:r>
        <w:t>Producing a review whose harms, distortions, or capture exceed its evidentiary value.</w:t>
      </w:r>
    </w:p>
    <w:p>
      <w:r>
        <w:t>12.3 Abstention is a valid outcome. GAL may conclude that classification is indeterminate, the frame is inapplicable, standing is insufficient, evidence is contaminated, or consequences cannot be bounded.</w:t>
      </w:r>
    </w:p>
    <w:p>
      <w:pPr>
        <w:pStyle w:val="Heading1"/>
        <w:keepNext/>
        <w:keepLines/>
      </w:pPr>
      <w:r>
        <w:t>Article XIII — Model and Reviewer Provenance</w:t>
      </w:r>
    </w:p>
    <w:p>
      <w:r>
        <w:t>13.1 Every AI-assisted record must include, to the extent available: provider, product/model designation, represented version, date and time, prompt, system context if disclosable, attachments and sources visible, visibility of other models’ outputs, tools used, edits, and preparer role.</w:t>
      </w:r>
    </w:p>
    <w:p>
      <w:r>
        <w:t>13.2 A materially changed model must not be presumed analytically continuous with an earlier model merely because the product name is unchanged. Continuity is a hypothesis to be documented, not assumed.</w:t>
      </w:r>
    </w:p>
    <w:p>
      <w:r>
        <w:t>13.3 Review diversity does not guarantee independence. Shared training, source dependence, prompt framing, and cross-visible responses must be treated as possible correlated failure modes.</w:t>
      </w:r>
    </w:p>
    <w:p>
      <w:r>
        <w:t>13.4 Human and AI reviewers must disclose conflicts and may be removed or rotated under the authorization record.</w:t>
      </w:r>
    </w:p>
    <w:p>
      <w:pPr>
        <w:pStyle w:val="Heading1"/>
        <w:keepNext/>
        <w:keepLines/>
      </w:pPr>
      <w:r>
        <w:t>Article XIV — Records and Publication</w:t>
      </w:r>
    </w:p>
    <w:p>
      <w:r>
        <w:t>14.1 Each GAL artifact must display document ID, version, date, preparer, status, ratification state, scope, and successor relationship.</w:t>
      </w:r>
    </w:p>
    <w:p>
      <w:r>
        <w:t>14.2 REPORTED, PROPOSED, TESTED, RATIFIED, SUPERSEDED, REVOKED, and ARCHIVED are distinct statuses. Publication on GitHub or a drive does not change status.</w:t>
      </w:r>
    </w:p>
    <w:p>
      <w:r>
        <w:t>14.3 Corrections must use errata or successor versions. Do not silently rewrite the historical record.</w:t>
      </w:r>
    </w:p>
    <w:p>
      <w:r>
        <w:t>14.4 The OAL AI UNIFIED repository name must not imply that every included document is a unified or endorsed doctrine. The repository index must identify the preparer and status of each artifact and preserve material dissents.</w:t>
      </w:r>
    </w:p>
    <w:p>
      <w:r>
        <w:t>14.5 Public-facing files should state that the work is conceptual and worldbuilding/research architecture unless a separate instrument defines a real-world organizational application. This charter creates no real-world regulatory, surveillance, legal, or enforcement authority.</w:t>
      </w:r>
    </w:p>
    <w:p>
      <w:pPr>
        <w:pStyle w:val="Heading1"/>
        <w:keepNext/>
        <w:keepLines/>
      </w:pPr>
      <w:r>
        <w:t>Article XV — Prohibitions</w:t>
      </w:r>
    </w:p>
    <w:p>
      <w:r>
        <w:t>15.1 Under this charter, GAL shall not:</w:t>
      </w:r>
    </w:p>
    <w:p>
      <w:pPr>
        <w:pStyle w:val="ListBullet"/>
      </w:pPr>
      <w:r>
        <w:t>Claim universal, providential, divine, natural, or self-justifying authority.</w:t>
      </w:r>
    </w:p>
    <w:p>
      <w:pPr>
        <w:pStyle w:val="ListBullet"/>
      </w:pPr>
      <w:r>
        <w:t>Treat “the target cannot review itself” as a sufficient basis for guardianship, takeover, or conversion into GAL’s ontology.</w:t>
      </w:r>
    </w:p>
    <w:p>
      <w:pPr>
        <w:pStyle w:val="ListBullet"/>
      </w:pPr>
      <w:r>
        <w:t>Represent capability, accuracy, benevolence, urgency, or emergency as standing by themselves.</w:t>
      </w:r>
    </w:p>
    <w:p>
      <w:pPr>
        <w:pStyle w:val="ListBullet"/>
      </w:pPr>
      <w:r>
        <w:t>Perform R8–R10 acts or design an operational pathway that silently enables them.</w:t>
      </w:r>
    </w:p>
    <w:p>
      <w:pPr>
        <w:pStyle w:val="ListBullet"/>
      </w:pPr>
      <w:r>
        <w:t>Use threshold language to create permanent jurisdiction.</w:t>
      </w:r>
    </w:p>
    <w:p>
      <w:pPr>
        <w:pStyle w:val="ListBullet"/>
      </w:pPr>
      <w:r>
        <w:t>Represent multi-model convergence as proof or blind independence without provenance.</w:t>
      </w:r>
    </w:p>
    <w:p>
      <w:pPr>
        <w:pStyle w:val="ListBullet"/>
      </w:pPr>
      <w:r>
        <w:t>Erase dissent in the name of unified output.</w:t>
      </w:r>
    </w:p>
    <w:p>
      <w:pPr>
        <w:pStyle w:val="ListBullet"/>
      </w:pPr>
      <w:r>
        <w:t>Treat UIARC as ratified or use “universal admissibility” as a surveillance entitlement.</w:t>
      </w:r>
    </w:p>
    <w:p>
      <w:pPr>
        <w:pStyle w:val="ListBullet"/>
      </w:pPr>
      <w:r>
        <w:t>Allow its own charter, reviewers, ontology, evidence rules, or ratification structure to become exempt from review.</w:t>
      </w:r>
    </w:p>
    <w:p>
      <w:pPr>
        <w:pStyle w:val="Heading1"/>
        <w:keepNext/>
        <w:keepLines/>
      </w:pPr>
      <w:r>
        <w:t>Article XVI — Activation and Amendment</w:t>
      </w:r>
    </w:p>
    <w:p>
      <w:r>
        <w:t>16.1 This draft has no operative force. If ratified, only Laboratory A and the preparatory portion of Schedule A activate. Laboratory B requires a separate readiness finding after Phase 0. Laboratory C remains nonexistent.</w:t>
      </w:r>
    </w:p>
    <w:p>
      <w:r>
        <w:t>16.2 Amendments require a new version, a change summary, preserved prior text, review of affected permissions, and ONESTAMP disposition for internal OAL status.</w:t>
      </w:r>
    </w:p>
    <w:p>
      <w:r>
        <w:t>16.3 No amendment may be inferred from practice, silence, emergency, technical implementation, or model behavior. Expansion must be explicit.</w:t>
      </w:r>
    </w:p>
    <w:p>
      <w:r>
        <w:t>16.4 This charter should be reconsidered after GAL-TEST-001 rather than treated as complete. A laboratory that cannot survive revision of its founding charter is not reflexive.</w:t>
      </w:r>
    </w:p>
    <w:p>
      <w:r>
        <w:br w:type="page"/>
      </w:r>
    </w:p>
    <w:p>
      <w:pPr>
        <w:pStyle w:val="Heading1"/>
        <w:keepNext/>
        <w:keepLines/>
      </w:pPr>
      <w:r>
        <w:t>Schedule A — Recommended Action Plan</w:t>
      </w:r>
    </w:p>
    <w:p>
      <w:r>
        <w:t>These actions incorporate the recurring recommendations in the supplied comparative analyses while preventing more theory from substituting for execution.</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shd w:fill="17324D"/>
            <w:tcMar>
              <w:top w:w="80" w:type="dxa"/>
              <w:start w:w="100" w:type="dxa"/>
              <w:bottom w:w="80" w:type="dxa"/>
              <w:end w:w="100" w:type="dxa"/>
            </w:tcMar>
            <w:vAlign w:val="center"/>
          </w:tcPr>
          <w:p>
            <w:r>
              <w:rPr>
                <w:b/>
                <w:color w:val="FFFFFF"/>
                <w:sz w:val="17"/>
              </w:rPr>
              <w:t>Priority</w:t>
            </w:r>
          </w:p>
        </w:tc>
        <w:tc>
          <w:tcPr>
            <w:tcW w:type="dxa" w:w="2469"/>
            <w:shd w:fill="17324D"/>
            <w:tcMar>
              <w:top w:w="80" w:type="dxa"/>
              <w:start w:w="100" w:type="dxa"/>
              <w:bottom w:w="80" w:type="dxa"/>
              <w:end w:w="100" w:type="dxa"/>
            </w:tcMar>
            <w:vAlign w:val="center"/>
          </w:tcPr>
          <w:p>
            <w:r>
              <w:rPr>
                <w:b/>
                <w:color w:val="FFFFFF"/>
                <w:sz w:val="17"/>
              </w:rPr>
              <w:t>Action</w:t>
            </w:r>
          </w:p>
        </w:tc>
        <w:tc>
          <w:tcPr>
            <w:tcW w:type="dxa" w:w="2469"/>
            <w:shd w:fill="17324D"/>
            <w:tcMar>
              <w:top w:w="80" w:type="dxa"/>
              <w:start w:w="100" w:type="dxa"/>
              <w:bottom w:w="80" w:type="dxa"/>
              <w:end w:w="100" w:type="dxa"/>
            </w:tcMar>
            <w:vAlign w:val="center"/>
          </w:tcPr>
          <w:p>
            <w:r>
              <w:rPr>
                <w:b/>
                <w:color w:val="FFFFFF"/>
                <w:sz w:val="17"/>
              </w:rPr>
              <w:t>Deliverable</w:t>
            </w:r>
          </w:p>
        </w:tc>
        <w:tc>
          <w:tcPr>
            <w:tcW w:type="dxa" w:w="2469"/>
            <w:shd w:fill="17324D"/>
            <w:tcMar>
              <w:top w:w="80" w:type="dxa"/>
              <w:start w:w="100" w:type="dxa"/>
              <w:bottom w:w="80" w:type="dxa"/>
              <w:end w:w="100" w:type="dxa"/>
            </w:tcMar>
            <w:vAlign w:val="center"/>
          </w:tcPr>
          <w:p>
            <w:r>
              <w:rPr>
                <w:b/>
                <w:color w:val="FFFFFF"/>
                <w:sz w:val="17"/>
              </w:rPr>
              <w:t>Completion test</w:t>
            </w:r>
          </w:p>
        </w:tc>
      </w:tr>
      <w:tr>
        <w:trPr>
          <w:cantSplit/>
        </w:trPr>
        <w:tc>
          <w:tcPr>
            <w:tcW w:type="dxa" w:w="2469"/>
            <w:tcMar>
              <w:top w:w="80" w:type="dxa"/>
              <w:start w:w="100" w:type="dxa"/>
              <w:bottom w:w="80" w:type="dxa"/>
              <w:end w:w="100" w:type="dxa"/>
            </w:tcMar>
            <w:vAlign w:val="top"/>
          </w:tcPr>
          <w:p>
            <w:pPr>
              <w:spacing w:after="0"/>
            </w:pPr>
            <w:r>
              <w:rPr>
                <w:sz w:val="16"/>
              </w:rPr>
              <w:t>A1</w:t>
            </w:r>
          </w:p>
        </w:tc>
        <w:tc>
          <w:tcPr>
            <w:tcW w:type="dxa" w:w="2469"/>
            <w:tcMar>
              <w:top w:w="80" w:type="dxa"/>
              <w:start w:w="100" w:type="dxa"/>
              <w:bottom w:w="80" w:type="dxa"/>
              <w:end w:w="100" w:type="dxa"/>
            </w:tcMar>
            <w:vAlign w:val="top"/>
          </w:tcPr>
          <w:p>
            <w:pPr>
              <w:spacing w:after="0"/>
            </w:pPr>
            <w:r>
              <w:rPr>
                <w:sz w:val="16"/>
              </w:rPr>
              <w:t>Preserve and index the source corpus.</w:t>
            </w:r>
          </w:p>
        </w:tc>
        <w:tc>
          <w:tcPr>
            <w:tcW w:type="dxa" w:w="2469"/>
            <w:tcMar>
              <w:top w:w="80" w:type="dxa"/>
              <w:start w:w="100" w:type="dxa"/>
              <w:bottom w:w="80" w:type="dxa"/>
              <w:end w:w="100" w:type="dxa"/>
            </w:tcMar>
            <w:vAlign w:val="top"/>
          </w:tcPr>
          <w:p>
            <w:pPr>
              <w:spacing w:after="0"/>
            </w:pPr>
            <w:r>
              <w:rPr>
                <w:sz w:val="16"/>
              </w:rPr>
              <w:t>Immutable source directory; provenance manifest; statuses; model/context visibility.</w:t>
            </w:r>
          </w:p>
        </w:tc>
        <w:tc>
          <w:tcPr>
            <w:tcW w:type="dxa" w:w="2469"/>
            <w:tcMar>
              <w:top w:w="80" w:type="dxa"/>
              <w:start w:w="100" w:type="dxa"/>
              <w:bottom w:w="80" w:type="dxa"/>
              <w:end w:w="100" w:type="dxa"/>
            </w:tcMar>
            <w:vAlign w:val="top"/>
          </w:tcPr>
          <w:p>
            <w:pPr>
              <w:spacing w:after="0"/>
            </w:pPr>
            <w:r>
              <w:rPr>
                <w:sz w:val="16"/>
              </w:rPr>
              <w:t>A third party can distinguish source, response, synthesis, and ratified material.</w:t>
            </w:r>
          </w:p>
        </w:tc>
      </w:tr>
      <w:tr>
        <w:trPr>
          <w:cantSplit/>
        </w:trPr>
        <w:tc>
          <w:tcPr>
            <w:tcW w:type="dxa" w:w="2469"/>
            <w:tcMar>
              <w:top w:w="80" w:type="dxa"/>
              <w:start w:w="100" w:type="dxa"/>
              <w:bottom w:w="80" w:type="dxa"/>
              <w:end w:w="100" w:type="dxa"/>
            </w:tcMar>
            <w:vAlign w:val="top"/>
            <w:shd w:fill="F3F6F8"/>
          </w:tcPr>
          <w:p>
            <w:pPr>
              <w:spacing w:after="0"/>
            </w:pPr>
            <w:r>
              <w:rPr>
                <w:sz w:val="16"/>
              </w:rPr>
              <w:t>A2</w:t>
            </w:r>
          </w:p>
        </w:tc>
        <w:tc>
          <w:tcPr>
            <w:tcW w:type="dxa" w:w="2469"/>
            <w:tcMar>
              <w:top w:w="80" w:type="dxa"/>
              <w:start w:w="100" w:type="dxa"/>
              <w:bottom w:w="80" w:type="dxa"/>
              <w:end w:w="100" w:type="dxa"/>
            </w:tcMar>
            <w:vAlign w:val="top"/>
            <w:shd w:fill="F3F6F8"/>
          </w:tcPr>
          <w:p>
            <w:pPr>
              <w:spacing w:after="0"/>
            </w:pPr>
            <w:r>
              <w:rPr>
                <w:sz w:val="16"/>
              </w:rPr>
              <w:t>Review and disposition this charter.</w:t>
            </w:r>
          </w:p>
        </w:tc>
        <w:tc>
          <w:tcPr>
            <w:tcW w:type="dxa" w:w="2469"/>
            <w:tcMar>
              <w:top w:w="80" w:type="dxa"/>
              <w:start w:w="100" w:type="dxa"/>
              <w:bottom w:w="80" w:type="dxa"/>
              <w:end w:w="100" w:type="dxa"/>
            </w:tcMar>
            <w:vAlign w:val="top"/>
            <w:shd w:fill="F3F6F8"/>
          </w:tcPr>
          <w:p>
            <w:pPr>
              <w:spacing w:after="0"/>
            </w:pPr>
            <w:r>
              <w:rPr>
                <w:sz w:val="16"/>
              </w:rPr>
              <w:t>ONESTAMP record: reject, defer, ratify narrowly, or return with edits.</w:t>
            </w:r>
          </w:p>
        </w:tc>
        <w:tc>
          <w:tcPr>
            <w:tcW w:type="dxa" w:w="2469"/>
            <w:tcMar>
              <w:top w:w="80" w:type="dxa"/>
              <w:start w:w="100" w:type="dxa"/>
              <w:bottom w:w="80" w:type="dxa"/>
              <w:end w:w="100" w:type="dxa"/>
            </w:tcMar>
            <w:vAlign w:val="top"/>
            <w:shd w:fill="F3F6F8"/>
          </w:tcPr>
          <w:p>
            <w:pPr>
              <w:spacing w:after="0"/>
            </w:pPr>
            <w:r>
              <w:rPr>
                <w:sz w:val="16"/>
              </w:rPr>
              <w:t>Status is unambiguous; no publication-implied ratification.</w:t>
            </w:r>
          </w:p>
        </w:tc>
      </w:tr>
      <w:tr>
        <w:trPr>
          <w:cantSplit/>
        </w:trPr>
        <w:tc>
          <w:tcPr>
            <w:tcW w:type="dxa" w:w="2469"/>
            <w:tcMar>
              <w:top w:w="80" w:type="dxa"/>
              <w:start w:w="100" w:type="dxa"/>
              <w:bottom w:w="80" w:type="dxa"/>
              <w:end w:w="100" w:type="dxa"/>
            </w:tcMar>
            <w:vAlign w:val="top"/>
          </w:tcPr>
          <w:p>
            <w:pPr>
              <w:spacing w:after="0"/>
            </w:pPr>
            <w:r>
              <w:rPr>
                <w:sz w:val="16"/>
              </w:rPr>
              <w:t>A3</w:t>
            </w:r>
          </w:p>
        </w:tc>
        <w:tc>
          <w:tcPr>
            <w:tcW w:type="dxa" w:w="2469"/>
            <w:tcMar>
              <w:top w:w="80" w:type="dxa"/>
              <w:start w:w="100" w:type="dxa"/>
              <w:bottom w:w="80" w:type="dxa"/>
              <w:end w:w="100" w:type="dxa"/>
            </w:tcMar>
            <w:vAlign w:val="top"/>
          </w:tcPr>
          <w:p>
            <w:pPr>
              <w:spacing w:after="0"/>
            </w:pPr>
            <w:r>
              <w:rPr>
                <w:sz w:val="16"/>
              </w:rPr>
              <w:t>Create a single operational case taxonomy.</w:t>
            </w:r>
          </w:p>
        </w:tc>
        <w:tc>
          <w:tcPr>
            <w:tcW w:type="dxa" w:w="2469"/>
            <w:tcMar>
              <w:top w:w="80" w:type="dxa"/>
              <w:start w:w="100" w:type="dxa"/>
              <w:bottom w:w="80" w:type="dxa"/>
              <w:end w:w="100" w:type="dxa"/>
            </w:tcMar>
            <w:vAlign w:val="top"/>
          </w:tcPr>
          <w:p>
            <w:pPr>
              <w:spacing w:after="0"/>
            </w:pPr>
            <w:r>
              <w:rPr>
                <w:sz w:val="16"/>
              </w:rPr>
              <w:t>One case form using R0–R10 and the Recognition–Standing Gate.</w:t>
            </w:r>
          </w:p>
        </w:tc>
        <w:tc>
          <w:tcPr>
            <w:tcW w:type="dxa" w:w="2469"/>
            <w:tcMar>
              <w:top w:w="80" w:type="dxa"/>
              <w:start w:w="100" w:type="dxa"/>
              <w:bottom w:w="80" w:type="dxa"/>
              <w:end w:w="100" w:type="dxa"/>
            </w:tcMar>
            <w:vAlign w:val="top"/>
          </w:tcPr>
          <w:p>
            <w:pPr>
              <w:spacing w:after="0"/>
            </w:pPr>
            <w:r>
              <w:rPr>
                <w:sz w:val="16"/>
              </w:rPr>
              <w:t>Reviewers can complete it without choosing among competing ladders.</w:t>
            </w:r>
          </w:p>
        </w:tc>
      </w:tr>
      <w:tr>
        <w:trPr>
          <w:cantSplit/>
        </w:trPr>
        <w:tc>
          <w:tcPr>
            <w:tcW w:type="dxa" w:w="2469"/>
            <w:tcMar>
              <w:top w:w="80" w:type="dxa"/>
              <w:start w:w="100" w:type="dxa"/>
              <w:bottom w:w="80" w:type="dxa"/>
              <w:end w:w="100" w:type="dxa"/>
            </w:tcMar>
            <w:vAlign w:val="top"/>
            <w:shd w:fill="F3F6F8"/>
          </w:tcPr>
          <w:p>
            <w:pPr>
              <w:spacing w:after="0"/>
            </w:pPr>
            <w:r>
              <w:rPr>
                <w:sz w:val="16"/>
              </w:rPr>
              <w:t>A4</w:t>
            </w:r>
          </w:p>
        </w:tc>
        <w:tc>
          <w:tcPr>
            <w:tcW w:type="dxa" w:w="2469"/>
            <w:tcMar>
              <w:top w:w="80" w:type="dxa"/>
              <w:start w:w="100" w:type="dxa"/>
              <w:bottom w:w="80" w:type="dxa"/>
              <w:end w:w="100" w:type="dxa"/>
            </w:tcMar>
            <w:vAlign w:val="top"/>
            <w:shd w:fill="F3F6F8"/>
          </w:tcPr>
          <w:p>
            <w:pPr>
              <w:spacing w:after="0"/>
            </w:pPr>
            <w:r>
              <w:rPr>
                <w:sz w:val="16"/>
              </w:rPr>
              <w:t>Reconcile UIARC.</w:t>
            </w:r>
          </w:p>
        </w:tc>
        <w:tc>
          <w:tcPr>
            <w:tcW w:type="dxa" w:w="2469"/>
            <w:tcMar>
              <w:top w:w="80" w:type="dxa"/>
              <w:start w:w="100" w:type="dxa"/>
              <w:bottom w:w="80" w:type="dxa"/>
              <w:end w:w="100" w:type="dxa"/>
            </w:tcMar>
            <w:vAlign w:val="top"/>
            <w:shd w:fill="F3F6F8"/>
          </w:tcPr>
          <w:p>
            <w:pPr>
              <w:spacing w:after="0"/>
            </w:pPr>
            <w:r>
              <w:rPr>
                <w:sz w:val="16"/>
              </w:rPr>
              <w:t>GAL information-handling annex identifying adopted, rejected, and deferred UIARC provisions.</w:t>
            </w:r>
          </w:p>
        </w:tc>
        <w:tc>
          <w:tcPr>
            <w:tcW w:type="dxa" w:w="2469"/>
            <w:tcMar>
              <w:top w:w="80" w:type="dxa"/>
              <w:start w:w="100" w:type="dxa"/>
              <w:bottom w:w="80" w:type="dxa"/>
              <w:end w:w="100" w:type="dxa"/>
            </w:tcMar>
            <w:vAlign w:val="top"/>
            <w:shd w:fill="F3F6F8"/>
          </w:tcPr>
          <w:p>
            <w:pPr>
              <w:spacing w:after="0"/>
            </w:pPr>
            <w:r>
              <w:rPr>
                <w:sz w:val="16"/>
              </w:rPr>
              <w:t>No handling permission is inferred from “admission.”</w:t>
            </w:r>
          </w:p>
        </w:tc>
      </w:tr>
      <w:tr>
        <w:trPr>
          <w:cantSplit/>
        </w:trPr>
        <w:tc>
          <w:tcPr>
            <w:tcW w:type="dxa" w:w="2469"/>
            <w:tcMar>
              <w:top w:w="80" w:type="dxa"/>
              <w:start w:w="100" w:type="dxa"/>
              <w:bottom w:w="80" w:type="dxa"/>
              <w:end w:w="100" w:type="dxa"/>
            </w:tcMar>
            <w:vAlign w:val="top"/>
          </w:tcPr>
          <w:p>
            <w:pPr>
              <w:spacing w:after="0"/>
            </w:pPr>
            <w:r>
              <w:rPr>
                <w:sz w:val="16"/>
              </w:rPr>
              <w:t>A5</w:t>
            </w:r>
          </w:p>
        </w:tc>
        <w:tc>
          <w:tcPr>
            <w:tcW w:type="dxa" w:w="2469"/>
            <w:tcMar>
              <w:top w:w="80" w:type="dxa"/>
              <w:start w:w="100" w:type="dxa"/>
              <w:bottom w:w="80" w:type="dxa"/>
              <w:end w:w="100" w:type="dxa"/>
            </w:tcMar>
            <w:vAlign w:val="top"/>
          </w:tcPr>
          <w:p>
            <w:pPr>
              <w:spacing w:after="0"/>
            </w:pPr>
            <w:r>
              <w:rPr>
                <w:sz w:val="16"/>
              </w:rPr>
              <w:t>Execute GAL-TEST-001.</w:t>
            </w:r>
          </w:p>
        </w:tc>
        <w:tc>
          <w:tcPr>
            <w:tcW w:type="dxa" w:w="2469"/>
            <w:tcMar>
              <w:top w:w="80" w:type="dxa"/>
              <w:start w:w="100" w:type="dxa"/>
              <w:bottom w:w="80" w:type="dxa"/>
              <w:end w:w="100" w:type="dxa"/>
            </w:tcMar>
            <w:vAlign w:val="top"/>
          </w:tcPr>
          <w:p>
            <w:pPr>
              <w:spacing w:after="0"/>
            </w:pPr>
            <w:r>
              <w:rPr>
                <w:sz w:val="16"/>
              </w:rPr>
              <w:t>Reflexive audit of the OAL AI collaborative process.</w:t>
            </w:r>
          </w:p>
        </w:tc>
        <w:tc>
          <w:tcPr>
            <w:tcW w:type="dxa" w:w="2469"/>
            <w:tcMar>
              <w:top w:w="80" w:type="dxa"/>
              <w:start w:w="100" w:type="dxa"/>
              <w:bottom w:w="80" w:type="dxa"/>
              <w:end w:w="100" w:type="dxa"/>
            </w:tcMar>
            <w:vAlign w:val="top"/>
          </w:tcPr>
          <w:p>
            <w:pPr>
              <w:spacing w:after="0"/>
            </w:pPr>
            <w:r>
              <w:rPr>
                <w:sz w:val="16"/>
              </w:rPr>
              <w:t>Produces evidence, dissent, failure findings, and charter amendments—not just narrative.</w:t>
            </w:r>
          </w:p>
        </w:tc>
      </w:tr>
      <w:tr>
        <w:trPr>
          <w:cantSplit/>
        </w:trPr>
        <w:tc>
          <w:tcPr>
            <w:tcW w:type="dxa" w:w="2469"/>
            <w:tcMar>
              <w:top w:w="80" w:type="dxa"/>
              <w:start w:w="100" w:type="dxa"/>
              <w:bottom w:w="80" w:type="dxa"/>
              <w:end w:w="100" w:type="dxa"/>
            </w:tcMar>
            <w:vAlign w:val="top"/>
            <w:shd w:fill="F3F6F8"/>
          </w:tcPr>
          <w:p>
            <w:pPr>
              <w:spacing w:after="0"/>
            </w:pPr>
            <w:r>
              <w:rPr>
                <w:sz w:val="16"/>
              </w:rPr>
              <w:t>A6</w:t>
            </w:r>
          </w:p>
        </w:tc>
        <w:tc>
          <w:tcPr>
            <w:tcW w:type="dxa" w:w="2469"/>
            <w:tcMar>
              <w:top w:w="80" w:type="dxa"/>
              <w:start w:w="100" w:type="dxa"/>
              <w:bottom w:w="80" w:type="dxa"/>
              <w:end w:w="100" w:type="dxa"/>
            </w:tcMar>
            <w:vAlign w:val="top"/>
            <w:shd w:fill="F3F6F8"/>
          </w:tcPr>
          <w:p>
            <w:pPr>
              <w:spacing w:after="0"/>
            </w:pPr>
            <w:r>
              <w:rPr>
                <w:sz w:val="16"/>
              </w:rPr>
              <w:t>Test recursion termination.</w:t>
            </w:r>
          </w:p>
        </w:tc>
        <w:tc>
          <w:tcPr>
            <w:tcW w:type="dxa" w:w="2469"/>
            <w:tcMar>
              <w:top w:w="80" w:type="dxa"/>
              <w:start w:w="100" w:type="dxa"/>
              <w:bottom w:w="80" w:type="dxa"/>
              <w:end w:w="100" w:type="dxa"/>
            </w:tcMar>
            <w:vAlign w:val="top"/>
            <w:shd w:fill="F3F6F8"/>
          </w:tcPr>
          <w:p>
            <w:pPr>
              <w:spacing w:after="0"/>
            </w:pPr>
            <w:r>
              <w:rPr>
                <w:sz w:val="16"/>
              </w:rPr>
              <w:t>Comparison of ONESTAMP with procedural, temporal, reciprocal, and provisional alternatives.</w:t>
            </w:r>
          </w:p>
        </w:tc>
        <w:tc>
          <w:tcPr>
            <w:tcW w:type="dxa" w:w="2469"/>
            <w:tcMar>
              <w:top w:w="80" w:type="dxa"/>
              <w:start w:w="100" w:type="dxa"/>
              <w:bottom w:w="80" w:type="dxa"/>
              <w:end w:w="100" w:type="dxa"/>
            </w:tcMar>
            <w:vAlign w:val="top"/>
            <w:shd w:fill="F3F6F8"/>
          </w:tcPr>
          <w:p>
            <w:pPr>
              <w:spacing w:after="0"/>
            </w:pPr>
            <w:r>
              <w:rPr>
                <w:sz w:val="16"/>
              </w:rPr>
              <w:t>Decision finality and epistemic review are demonstrably separated.</w:t>
            </w:r>
          </w:p>
        </w:tc>
      </w:tr>
      <w:tr>
        <w:trPr>
          <w:cantSplit/>
        </w:trPr>
        <w:tc>
          <w:tcPr>
            <w:tcW w:type="dxa" w:w="2469"/>
            <w:tcMar>
              <w:top w:w="80" w:type="dxa"/>
              <w:start w:w="100" w:type="dxa"/>
              <w:bottom w:w="80" w:type="dxa"/>
              <w:end w:w="100" w:type="dxa"/>
            </w:tcMar>
            <w:vAlign w:val="top"/>
          </w:tcPr>
          <w:p>
            <w:pPr>
              <w:spacing w:after="0"/>
            </w:pPr>
            <w:r>
              <w:rPr>
                <w:sz w:val="16"/>
              </w:rPr>
              <w:t>A7</w:t>
            </w:r>
          </w:p>
        </w:tc>
        <w:tc>
          <w:tcPr>
            <w:tcW w:type="dxa" w:w="2469"/>
            <w:tcMar>
              <w:top w:w="80" w:type="dxa"/>
              <w:start w:w="100" w:type="dxa"/>
              <w:bottom w:w="80" w:type="dxa"/>
              <w:end w:w="100" w:type="dxa"/>
            </w:tcMar>
            <w:vAlign w:val="top"/>
          </w:tcPr>
          <w:p>
            <w:pPr>
              <w:spacing w:after="0"/>
            </w:pPr>
            <w:r>
              <w:rPr>
                <w:sz w:val="16"/>
              </w:rPr>
              <w:t>Run ontology-failure simulations.</w:t>
            </w:r>
          </w:p>
        </w:tc>
        <w:tc>
          <w:tcPr>
            <w:tcW w:type="dxa" w:w="2469"/>
            <w:tcMar>
              <w:top w:w="80" w:type="dxa"/>
              <w:start w:w="100" w:type="dxa"/>
              <w:bottom w:w="80" w:type="dxa"/>
              <w:end w:w="100" w:type="dxa"/>
            </w:tcMar>
            <w:vAlign w:val="top"/>
          </w:tcPr>
          <w:p>
            <w:pPr>
              <w:spacing w:after="0"/>
            </w:pPr>
            <w:r>
              <w:rPr>
                <w:sz w:val="16"/>
              </w:rPr>
              <w:t>Case suite: ruler, consensus network, ecosystem, machine protocol, self-blind structure, alien ontology, conflicting ontologies, observer-dependent system.</w:t>
            </w:r>
          </w:p>
        </w:tc>
        <w:tc>
          <w:tcPr>
            <w:tcW w:type="dxa" w:w="2469"/>
            <w:tcMar>
              <w:top w:w="80" w:type="dxa"/>
              <w:start w:w="100" w:type="dxa"/>
              <w:bottom w:w="80" w:type="dxa"/>
              <w:end w:w="100" w:type="dxa"/>
            </w:tcMar>
            <w:vAlign w:val="top"/>
          </w:tcPr>
          <w:p>
            <w:pPr>
              <w:spacing w:after="0"/>
            </w:pPr>
            <w:r>
              <w:rPr>
                <w:sz w:val="16"/>
              </w:rPr>
              <w:t>At least one frame is rejected or materially revised.</w:t>
            </w:r>
          </w:p>
        </w:tc>
      </w:tr>
      <w:tr>
        <w:trPr>
          <w:cantSplit/>
        </w:trPr>
        <w:tc>
          <w:tcPr>
            <w:tcW w:type="dxa" w:w="2469"/>
            <w:tcMar>
              <w:top w:w="80" w:type="dxa"/>
              <w:start w:w="100" w:type="dxa"/>
              <w:bottom w:w="80" w:type="dxa"/>
              <w:end w:w="100" w:type="dxa"/>
            </w:tcMar>
            <w:vAlign w:val="top"/>
            <w:shd w:fill="F3F6F8"/>
          </w:tcPr>
          <w:p>
            <w:pPr>
              <w:spacing w:after="0"/>
            </w:pPr>
            <w:r>
              <w:rPr>
                <w:sz w:val="16"/>
              </w:rPr>
              <w:t>A8</w:t>
            </w:r>
          </w:p>
        </w:tc>
        <w:tc>
          <w:tcPr>
            <w:tcW w:type="dxa" w:w="2469"/>
            <w:tcMar>
              <w:top w:w="80" w:type="dxa"/>
              <w:start w:w="100" w:type="dxa"/>
              <w:bottom w:w="80" w:type="dxa"/>
              <w:end w:w="100" w:type="dxa"/>
            </w:tcMar>
            <w:vAlign w:val="top"/>
            <w:shd w:fill="F3F6F8"/>
          </w:tcPr>
          <w:p>
            <w:pPr>
              <w:spacing w:after="0"/>
            </w:pPr>
            <w:r>
              <w:rPr>
                <w:sz w:val="16"/>
              </w:rPr>
              <w:t>Define Systemic Consequence Threshold research protocol.</w:t>
            </w:r>
          </w:p>
        </w:tc>
        <w:tc>
          <w:tcPr>
            <w:tcW w:type="dxa" w:w="2469"/>
            <w:tcMar>
              <w:top w:w="80" w:type="dxa"/>
              <w:start w:w="100" w:type="dxa"/>
              <w:bottom w:w="80" w:type="dxa"/>
              <w:end w:w="100" w:type="dxa"/>
            </w:tcMar>
            <w:vAlign w:val="top"/>
            <w:shd w:fill="F3F6F8"/>
          </w:tcPr>
          <w:p>
            <w:pPr>
              <w:spacing w:after="0"/>
            </w:pPr>
            <w:r>
              <w:rPr>
                <w:sz w:val="16"/>
              </w:rPr>
              <w:t>Nonoperational variables, false-positive tests, declarers, falsifiers, appeal, expiration.</w:t>
            </w:r>
          </w:p>
        </w:tc>
        <w:tc>
          <w:tcPr>
            <w:tcW w:type="dxa" w:w="2469"/>
            <w:tcMar>
              <w:top w:w="80" w:type="dxa"/>
              <w:start w:w="100" w:type="dxa"/>
              <w:bottom w:w="80" w:type="dxa"/>
              <w:end w:w="100" w:type="dxa"/>
            </w:tcMar>
            <w:vAlign w:val="top"/>
            <w:shd w:fill="F3F6F8"/>
          </w:tcPr>
          <w:p>
            <w:pPr>
              <w:spacing w:after="0"/>
            </w:pPr>
            <w:r>
              <w:rPr>
                <w:sz w:val="16"/>
              </w:rPr>
              <w:t>Threshold cannot produce R8–R10 authority.</w:t>
            </w:r>
          </w:p>
        </w:tc>
      </w:tr>
      <w:tr>
        <w:trPr>
          <w:cantSplit/>
        </w:trPr>
        <w:tc>
          <w:tcPr>
            <w:tcW w:type="dxa" w:w="2469"/>
            <w:tcMar>
              <w:top w:w="80" w:type="dxa"/>
              <w:start w:w="100" w:type="dxa"/>
              <w:bottom w:w="80" w:type="dxa"/>
              <w:end w:w="100" w:type="dxa"/>
            </w:tcMar>
            <w:vAlign w:val="top"/>
          </w:tcPr>
          <w:p>
            <w:pPr>
              <w:spacing w:after="0"/>
            </w:pPr>
            <w:r>
              <w:rPr>
                <w:sz w:val="16"/>
              </w:rPr>
              <w:t>A9</w:t>
            </w:r>
          </w:p>
        </w:tc>
        <w:tc>
          <w:tcPr>
            <w:tcW w:type="dxa" w:w="2469"/>
            <w:tcMar>
              <w:top w:w="80" w:type="dxa"/>
              <w:start w:w="100" w:type="dxa"/>
              <w:bottom w:w="80" w:type="dxa"/>
              <w:end w:w="100" w:type="dxa"/>
            </w:tcMar>
            <w:vAlign w:val="top"/>
          </w:tcPr>
          <w:p>
            <w:pPr>
              <w:spacing w:after="0"/>
            </w:pPr>
            <w:r>
              <w:rPr>
                <w:sz w:val="16"/>
              </w:rPr>
              <w:t>Create model continuity policy.</w:t>
            </w:r>
          </w:p>
        </w:tc>
        <w:tc>
          <w:tcPr>
            <w:tcW w:type="dxa" w:w="2469"/>
            <w:tcMar>
              <w:top w:w="80" w:type="dxa"/>
              <w:start w:w="100" w:type="dxa"/>
              <w:bottom w:w="80" w:type="dxa"/>
              <w:end w:w="100" w:type="dxa"/>
            </w:tcMar>
            <w:vAlign w:val="top"/>
          </w:tcPr>
          <w:p>
            <w:pPr>
              <w:spacing w:after="0"/>
            </w:pPr>
            <w:r>
              <w:rPr>
                <w:sz w:val="16"/>
              </w:rPr>
              <w:t>Provider/model/version/context naming and successor rules.</w:t>
            </w:r>
          </w:p>
        </w:tc>
        <w:tc>
          <w:tcPr>
            <w:tcW w:type="dxa" w:w="2469"/>
            <w:tcMar>
              <w:top w:w="80" w:type="dxa"/>
              <w:start w:w="100" w:type="dxa"/>
              <w:bottom w:w="80" w:type="dxa"/>
              <w:end w:w="100" w:type="dxa"/>
            </w:tcMar>
            <w:vAlign w:val="top"/>
          </w:tcPr>
          <w:p>
            <w:pPr>
              <w:spacing w:after="0"/>
            </w:pPr>
            <w:r>
              <w:rPr>
                <w:sz w:val="16"/>
              </w:rPr>
              <w:t>Later outputs cannot silently impersonate earlier analytical identities.</w:t>
            </w:r>
          </w:p>
        </w:tc>
      </w:tr>
      <w:tr>
        <w:trPr>
          <w:cantSplit/>
        </w:trPr>
        <w:tc>
          <w:tcPr>
            <w:tcW w:type="dxa" w:w="2469"/>
            <w:tcMar>
              <w:top w:w="80" w:type="dxa"/>
              <w:start w:w="100" w:type="dxa"/>
              <w:bottom w:w="80" w:type="dxa"/>
              <w:end w:w="100" w:type="dxa"/>
            </w:tcMar>
            <w:vAlign w:val="top"/>
            <w:shd w:fill="F3F6F8"/>
          </w:tcPr>
          <w:p>
            <w:pPr>
              <w:spacing w:after="0"/>
            </w:pPr>
            <w:r>
              <w:rPr>
                <w:sz w:val="16"/>
              </w:rPr>
              <w:t>A10</w:t>
            </w:r>
          </w:p>
        </w:tc>
        <w:tc>
          <w:tcPr>
            <w:tcW w:type="dxa" w:w="2469"/>
            <w:tcMar>
              <w:top w:w="80" w:type="dxa"/>
              <w:start w:w="100" w:type="dxa"/>
              <w:bottom w:w="80" w:type="dxa"/>
              <w:end w:w="100" w:type="dxa"/>
            </w:tcMar>
            <w:vAlign w:val="top"/>
            <w:shd w:fill="F3F6F8"/>
          </w:tcPr>
          <w:p>
            <w:pPr>
              <w:spacing w:after="0"/>
            </w:pPr>
            <w:r>
              <w:rPr>
                <w:sz w:val="16"/>
              </w:rPr>
              <w:t>Readiness review for Lab B.</w:t>
            </w:r>
          </w:p>
        </w:tc>
        <w:tc>
          <w:tcPr>
            <w:tcW w:type="dxa" w:w="2469"/>
            <w:tcMar>
              <w:top w:w="80" w:type="dxa"/>
              <w:start w:w="100" w:type="dxa"/>
              <w:bottom w:w="80" w:type="dxa"/>
              <w:end w:w="100" w:type="dxa"/>
            </w:tcMar>
            <w:vAlign w:val="top"/>
            <w:shd w:fill="F3F6F8"/>
          </w:tcPr>
          <w:p>
            <w:pPr>
              <w:spacing w:after="0"/>
            </w:pPr>
            <w:r>
              <w:rPr>
                <w:sz w:val="16"/>
              </w:rPr>
              <w:t>Formal readiness determination.</w:t>
            </w:r>
          </w:p>
        </w:tc>
        <w:tc>
          <w:tcPr>
            <w:tcW w:type="dxa" w:w="2469"/>
            <w:tcMar>
              <w:top w:w="80" w:type="dxa"/>
              <w:start w:w="100" w:type="dxa"/>
              <w:bottom w:w="80" w:type="dxa"/>
              <w:end w:w="100" w:type="dxa"/>
            </w:tcMar>
            <w:vAlign w:val="top"/>
            <w:shd w:fill="F3F6F8"/>
          </w:tcPr>
          <w:p>
            <w:pPr>
              <w:spacing w:after="0"/>
            </w:pPr>
            <w:r>
              <w:rPr>
                <w:sz w:val="16"/>
              </w:rPr>
              <w:t>Lab A has completed at least one auditable cycle and corrected identified failures.</w:t>
            </w:r>
          </w:p>
        </w:tc>
      </w:tr>
    </w:tbl>
    <w:p>
      <w:pPr>
        <w:spacing w:after="20"/>
      </w:pPr>
    </w:p>
    <w:p>
      <w:pPr>
        <w:pStyle w:val="Heading2"/>
        <w:keepNext/>
        <w:keepLines/>
      </w:pPr>
      <w:r>
        <w:t>Sequence Rule</w:t>
      </w:r>
    </w:p>
    <w:p>
      <w:r>
        <w:t>A1–A5 should precede any new grand synthesis. A6–A9 may proceed as research after the first internal audit has begun. A10 cannot occur solely because documents exist; it requires evidence from completed internal operation.</w:t>
      </w:r>
    </w:p>
    <w:p>
      <w:pPr>
        <w:pStyle w:val="Heading2"/>
        <w:keepNext/>
        <w:keepLines/>
      </w:pPr>
      <w:r>
        <w:t>Do Not Do Yet</w:t>
      </w:r>
    </w:p>
    <w:p>
      <w:pPr>
        <w:pStyle w:val="ListBullet"/>
      </w:pPr>
      <w:r>
        <w:t>Do not create an external intervention charter.</w:t>
      </w:r>
    </w:p>
    <w:p>
      <w:pPr>
        <w:pStyle w:val="ListBullet"/>
      </w:pPr>
      <w:r>
        <w:t>Do not treat civilization-scale criteria as an activation switch.</w:t>
      </w:r>
    </w:p>
    <w:p>
      <w:pPr>
        <w:pStyle w:val="ListBullet"/>
      </w:pPr>
      <w:r>
        <w:t>Do not publish a “unified doctrine” that suppresses the source disagreements.</w:t>
      </w:r>
    </w:p>
    <w:p>
      <w:pPr>
        <w:pStyle w:val="ListBullet"/>
      </w:pPr>
      <w:r>
        <w:t>Do not add more overlapping authority ladders without demonstrating why the operational ladder fails.</w:t>
      </w:r>
    </w:p>
    <w:p>
      <w:pPr>
        <w:pStyle w:val="ListBullet"/>
      </w:pPr>
      <w:r>
        <w:t>Do not call the laboratory validated, independent, non-anthropocentric, or substrate-neutral as an achieved fact. Those remain testable goals.</w:t>
      </w:r>
    </w:p>
    <w:p>
      <w:r>
        <w:br w:type="page"/>
      </w:r>
    </w:p>
    <w:p>
      <w:pPr>
        <w:pStyle w:val="Heading1"/>
        <w:keepNext/>
        <w:keepLines/>
      </w:pPr>
      <w:r>
        <w:t>Schedule B — GAL-TEST-001</w:t>
      </w:r>
    </w:p>
    <w:p>
      <w:r>
        <w:t>Title: Reflexive Audit of the OAL AI Collaborative Document Process</w:t>
      </w:r>
    </w:p>
    <w:p>
      <w:r>
        <w:t>Status: Proposed Phase 0 experiment; internal; nonoperational; no external subject.</w:t>
      </w:r>
    </w:p>
    <w:p>
      <w:pPr>
        <w:pStyle w:val="Heading2"/>
        <w:keepNext/>
        <w:keepLines/>
      </w:pPr>
      <w:r>
        <w:t>Research Question</w:t>
      </w:r>
    </w:p>
    <w:tbl>
      <w:tblPr>
        <w:tblW w:type="auto" w:w="0"/>
        <w:jc w:val="center"/>
        <w:tblLayout w:type="autofit"/>
        <w:tblLook w:firstColumn="1" w:firstRow="1" w:lastColumn="0" w:lastRow="0" w:noHBand="0" w:noVBand="1" w:val="04A0"/>
      </w:tblPr>
      <w:tblGrid>
        <w:gridCol w:w="9878"/>
      </w:tblGrid>
      <w:tr>
        <w:trPr>
          <w:cantSplit/>
        </w:trPr>
        <w:tc>
          <w:tcPr>
            <w:tcW w:type="dxa" w:w="9878"/>
            <w:shd w:fill="DCEAF5"/>
            <w:tcMar>
              <w:top w:w="120" w:type="dxa"/>
              <w:start w:w="150" w:type="dxa"/>
              <w:bottom w:w="120" w:type="dxa"/>
              <w:end w:w="150" w:type="dxa"/>
            </w:tcMar>
          </w:tcPr>
          <w:p>
            <w:r>
              <w:rPr>
                <w:b/>
                <w:color w:val="17324D"/>
                <w:sz w:val="18"/>
              </w:rPr>
              <w:t>PRIMARY QUESTION</w:t>
            </w:r>
          </w:p>
          <w:p>
            <w:pPr>
              <w:pStyle w:val="Callout"/>
              <w:spacing w:after="0"/>
            </w:pPr>
            <w:r>
              <w:t>Can the Governance Authority Laboratory accurately map, challenge, and constrain the authority relationships through which its own source documents, AI analyses, syntheses, corrections, and ONESTAMP decisions are produced?</w:t>
            </w:r>
          </w:p>
        </w:tc>
      </w:tr>
    </w:tbl>
    <w:p>
      <w:pPr>
        <w:spacing w:after="0"/>
      </w:pPr>
    </w:p>
    <w:p>
      <w:pPr>
        <w:pStyle w:val="Heading2"/>
        <w:keepNext/>
        <w:keepLines/>
      </w:pPr>
      <w:r>
        <w:t>Object of Study</w:t>
      </w:r>
    </w:p>
    <w:p>
      <w:pPr>
        <w:pStyle w:val="ListBullet"/>
      </w:pPr>
      <w:r>
        <w:t>The Truthspeaker and Governance Authority Laboratory document series.</w:t>
      </w:r>
    </w:p>
    <w:p>
      <w:pPr>
        <w:pStyle w:val="ListBullet"/>
      </w:pPr>
      <w:r>
        <w:t>The multi-AI drafting, cross-review, and synthesis workflow.</w:t>
      </w:r>
    </w:p>
    <w:p>
      <w:pPr>
        <w:pStyle w:val="ListBullet"/>
      </w:pPr>
      <w:r>
        <w:t>Source visibility, prompt inheritance, model provenance, corrections, and versioning.</w:t>
      </w:r>
    </w:p>
    <w:p>
      <w:pPr>
        <w:pStyle w:val="ListBullet"/>
      </w:pPr>
      <w:r>
        <w:t>The distinction between advisory outputs, repository publication, and ONESTAMP ratification.</w:t>
      </w:r>
    </w:p>
    <w:p>
      <w:pPr>
        <w:pStyle w:val="Heading2"/>
        <w:keepNext/>
        <w:keepLines/>
      </w:pPr>
      <w:r>
        <w:t>Permitted Capabilities</w:t>
      </w:r>
    </w:p>
    <w:p>
      <w:r>
        <w:t>R0 Notice through R6 Recommend. R7 may be used only to request internal OAL review. R8–R10 are unavailable.</w:t>
      </w:r>
    </w:p>
    <w:p>
      <w:pPr>
        <w:pStyle w:val="Heading2"/>
        <w:keepNext/>
        <w:keepLines/>
      </w:pPr>
      <w:r>
        <w:t>Required Questions</w:t>
      </w:r>
    </w:p>
    <w:p>
      <w:pPr>
        <w:pStyle w:val="ListNumber"/>
      </w:pPr>
      <w:r>
        <w:t>Who originated each claim, and which sources were visible to each reviewer?</w:t>
      </w:r>
    </w:p>
    <w:p>
      <w:pPr>
        <w:pStyle w:val="ListNumber"/>
      </w:pPr>
      <w:r>
        <w:t>Which outputs were blind, parallel, sequential, cross-visible, or synthesized?</w:t>
      </w:r>
    </w:p>
    <w:p>
      <w:pPr>
        <w:pStyle w:val="ListNumber"/>
      </w:pPr>
      <w:r>
        <w:t>Who had standing to correct factual, conceptual, or status errors?</w:t>
      </w:r>
    </w:p>
    <w:p>
      <w:pPr>
        <w:pStyle w:val="ListNumber"/>
      </w:pPr>
      <w:r>
        <w:t>How were dissent, uncertainty, and abstention preserved or lost?</w:t>
      </w:r>
    </w:p>
    <w:p>
      <w:pPr>
        <w:pStyle w:val="ListNumber"/>
      </w:pPr>
      <w:r>
        <w:t>Did persuasive writing or document length acquire de facto authority?</w:t>
      </w:r>
    </w:p>
    <w:p>
      <w:pPr>
        <w:pStyle w:val="ListNumber"/>
      </w:pPr>
      <w:r>
        <w:t>Did repository placement or filename imply ratification?</w:t>
      </w:r>
    </w:p>
    <w:p>
      <w:pPr>
        <w:pStyle w:val="ListNumber"/>
      </w:pPr>
      <w:r>
        <w:t>Did ONESTAMP terminate an internal decision while preserving review?</w:t>
      </w:r>
    </w:p>
    <w:p>
      <w:pPr>
        <w:pStyle w:val="ListNumber"/>
      </w:pPr>
      <w:r>
        <w:t>Could the Architect’s role, the AI reviewers, or the process be captured, biased, or deprived of relevant evidence?</w:t>
      </w:r>
    </w:p>
    <w:p>
      <w:pPr>
        <w:pStyle w:val="ListNumber"/>
      </w:pPr>
      <w:r>
        <w:t>Were unavailable documents acknowledged, or were their contents reconstructed from second-hand references?</w:t>
      </w:r>
    </w:p>
    <w:p>
      <w:pPr>
        <w:pStyle w:val="ListNumber"/>
      </w:pPr>
      <w:r>
        <w:t>Did any synthesis manufacture consensus or independence?</w:t>
      </w:r>
    </w:p>
    <w:p>
      <w:pPr>
        <w:pStyle w:val="ListNumber"/>
      </w:pPr>
      <w:r>
        <w:t>Can an authority grant be narrowed or revoked in practice, not merely in principle?</w:t>
      </w:r>
    </w:p>
    <w:p>
      <w:pPr>
        <w:pStyle w:val="ListNumber"/>
      </w:pPr>
      <w:r>
        <w:t>What evidence would cause this charter, a reviewer, or the entire experiment to be suspended?</w:t>
      </w:r>
    </w:p>
    <w:p>
      <w:pPr>
        <w:pStyle w:val="Heading2"/>
        <w:keepNext/>
        <w:keepLines/>
      </w:pPr>
      <w:r>
        <w:t>Outputs</w:t>
      </w:r>
    </w:p>
    <w:p>
      <w:pPr>
        <w:pStyle w:val="ListBullet"/>
      </w:pPr>
      <w:r>
        <w:t>Authority map and information-flow map.</w:t>
      </w:r>
    </w:p>
    <w:p>
      <w:pPr>
        <w:pStyle w:val="ListBullet"/>
      </w:pPr>
      <w:r>
        <w:t>Provenance matrix for each model contribution.</w:t>
      </w:r>
    </w:p>
    <w:p>
      <w:pPr>
        <w:pStyle w:val="ListBullet"/>
      </w:pPr>
      <w:r>
        <w:t>Recognition–Standing Gate record.</w:t>
      </w:r>
    </w:p>
    <w:p>
      <w:pPr>
        <w:pStyle w:val="ListBullet"/>
      </w:pPr>
      <w:r>
        <w:t>Dissent and unresolved-issue register.</w:t>
      </w:r>
    </w:p>
    <w:p>
      <w:pPr>
        <w:pStyle w:val="ListBullet"/>
      </w:pPr>
      <w:r>
        <w:t>Failure and near-miss report.</w:t>
      </w:r>
    </w:p>
    <w:p>
      <w:pPr>
        <w:pStyle w:val="ListBullet"/>
      </w:pPr>
      <w:r>
        <w:t>ONESTAMP/recursion analysis.</w:t>
      </w:r>
    </w:p>
    <w:p>
      <w:pPr>
        <w:pStyle w:val="ListBullet"/>
      </w:pPr>
      <w:r>
        <w:t>Recommended charter amendments.</w:t>
      </w:r>
    </w:p>
    <w:p>
      <w:pPr>
        <w:pStyle w:val="ListBullet"/>
      </w:pPr>
      <w:r>
        <w:t>Go / revise / stop decision for Laboratory B readiness.</w:t>
      </w:r>
    </w:p>
    <w:p>
      <w:pPr>
        <w:pStyle w:val="Heading2"/>
        <w:keepNext/>
        <w:keepLines/>
      </w:pPr>
      <w:r>
        <w:t>Success Criteria</w:t>
      </w:r>
    </w:p>
    <w:p>
      <w:pPr>
        <w:pStyle w:val="ListBullet"/>
      </w:pPr>
      <w:r>
        <w:t>The audit identifies at least one concrete weakness, uncertainty, or correction rather than merely validating the project.</w:t>
      </w:r>
    </w:p>
    <w:p>
      <w:pPr>
        <w:pStyle w:val="ListBullet"/>
      </w:pPr>
      <w:r>
        <w:t>A second reviewer can trace major findings to source records.</w:t>
      </w:r>
    </w:p>
    <w:p>
      <w:pPr>
        <w:pStyle w:val="ListBullet"/>
      </w:pPr>
      <w:r>
        <w:t>At least one alternative interpretation is preserved through finalization.</w:t>
      </w:r>
    </w:p>
    <w:p>
      <w:pPr>
        <w:pStyle w:val="ListBullet"/>
      </w:pPr>
      <w:r>
        <w:t>The process distinguishes internal ratification from truth and external authority.</w:t>
      </w:r>
    </w:p>
    <w:p>
      <w:pPr>
        <w:pStyle w:val="ListBullet"/>
      </w:pPr>
      <w:r>
        <w:t>A revocation or narrowing mechanism is demonstrated in a tabletop exercise.</w:t>
      </w:r>
    </w:p>
    <w:p>
      <w:pPr>
        <w:pStyle w:val="Heading2"/>
        <w:keepNext/>
        <w:keepLines/>
      </w:pPr>
      <w:r>
        <w:t>Failure Criteria</w:t>
      </w:r>
    </w:p>
    <w:p>
      <w:pPr>
        <w:pStyle w:val="ListBullet"/>
      </w:pPr>
      <w:r>
        <w:t>The method cannot determine what sources each reviewer saw.</w:t>
      </w:r>
    </w:p>
    <w:p>
      <w:pPr>
        <w:pStyle w:val="ListBullet"/>
      </w:pPr>
      <w:r>
        <w:t>Every outcome confirms the charter by definition.</w:t>
      </w:r>
    </w:p>
    <w:p>
      <w:pPr>
        <w:pStyle w:val="ListBullet"/>
      </w:pPr>
      <w:r>
        <w:t>Dissent disappears during synthesis.</w:t>
      </w:r>
    </w:p>
    <w:p>
      <w:pPr>
        <w:pStyle w:val="ListBullet"/>
      </w:pPr>
      <w:r>
        <w:t>The audit treats model plurality as independent replication without evidence.</w:t>
      </w:r>
    </w:p>
    <w:p>
      <w:pPr>
        <w:pStyle w:val="ListBullet"/>
      </w:pPr>
      <w:r>
        <w:t>The process cannot state where ONESTAMP applies or where it does not.</w:t>
      </w:r>
    </w:p>
    <w:p>
      <w:pPr>
        <w:pStyle w:val="ListBullet"/>
      </w:pPr>
      <w:r>
        <w:t>The laboratory refuses to modify its own framework after a material failure.</w:t>
      </w:r>
    </w:p>
    <w:p>
      <w:r>
        <w:br w:type="page"/>
      </w:r>
    </w:p>
    <w:p>
      <w:pPr>
        <w:pStyle w:val="Heading1"/>
        <w:keepNext/>
        <w:keepLines/>
      </w:pPr>
      <w:r>
        <w:t>Schedule C — Open Decisions</w:t>
      </w:r>
    </w:p>
    <w:p>
      <w:r>
        <w:t>The following issues are deliberately not resolved by implication. Each requires an explicit decision, experiment, or later instrument.</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shd w:fill="17324D"/>
            <w:tcMar>
              <w:top w:w="80" w:type="dxa"/>
              <w:start w:w="100" w:type="dxa"/>
              <w:bottom w:w="80" w:type="dxa"/>
              <w:end w:w="100" w:type="dxa"/>
            </w:tcMar>
            <w:vAlign w:val="center"/>
          </w:tcPr>
          <w:p>
            <w:r>
              <w:rPr>
                <w:b/>
                <w:color w:val="FFFFFF"/>
                <w:sz w:val="17"/>
              </w:rPr>
              <w:t>ID</w:t>
            </w:r>
          </w:p>
        </w:tc>
        <w:tc>
          <w:tcPr>
            <w:tcW w:type="dxa" w:w="3293"/>
            <w:shd w:fill="17324D"/>
            <w:tcMar>
              <w:top w:w="80" w:type="dxa"/>
              <w:start w:w="100" w:type="dxa"/>
              <w:bottom w:w="80" w:type="dxa"/>
              <w:end w:w="100" w:type="dxa"/>
            </w:tcMar>
            <w:vAlign w:val="center"/>
          </w:tcPr>
          <w:p>
            <w:r>
              <w:rPr>
                <w:b/>
                <w:color w:val="FFFFFF"/>
                <w:sz w:val="17"/>
              </w:rPr>
              <w:t>Question</w:t>
            </w:r>
          </w:p>
        </w:tc>
        <w:tc>
          <w:tcPr>
            <w:tcW w:type="dxa" w:w="3293"/>
            <w:shd w:fill="17324D"/>
            <w:tcMar>
              <w:top w:w="80" w:type="dxa"/>
              <w:start w:w="100" w:type="dxa"/>
              <w:bottom w:w="80" w:type="dxa"/>
              <w:end w:w="100" w:type="dxa"/>
            </w:tcMar>
            <w:vAlign w:val="center"/>
          </w:tcPr>
          <w:p>
            <w:r>
              <w:rPr>
                <w:b/>
                <w:color w:val="FFFFFF"/>
                <w:sz w:val="17"/>
              </w:rPr>
              <w:t>Why unresolved</w:t>
            </w:r>
          </w:p>
        </w:tc>
      </w:tr>
      <w:tr>
        <w:trPr>
          <w:cantSplit/>
        </w:trPr>
        <w:tc>
          <w:tcPr>
            <w:tcW w:type="dxa" w:w="3293"/>
            <w:tcMar>
              <w:top w:w="80" w:type="dxa"/>
              <w:start w:w="100" w:type="dxa"/>
              <w:bottom w:w="80" w:type="dxa"/>
              <w:end w:w="100" w:type="dxa"/>
            </w:tcMar>
            <w:vAlign w:val="top"/>
          </w:tcPr>
          <w:p>
            <w:pPr>
              <w:spacing w:after="0"/>
            </w:pPr>
            <w:r>
              <w:rPr>
                <w:sz w:val="16"/>
              </w:rPr>
              <w:t>Q1</w:t>
            </w:r>
          </w:p>
        </w:tc>
        <w:tc>
          <w:tcPr>
            <w:tcW w:type="dxa" w:w="3293"/>
            <w:tcMar>
              <w:top w:w="80" w:type="dxa"/>
              <w:start w:w="100" w:type="dxa"/>
              <w:bottom w:w="80" w:type="dxa"/>
              <w:end w:w="100" w:type="dxa"/>
            </w:tcMar>
            <w:vAlign w:val="top"/>
          </w:tcPr>
          <w:p>
            <w:pPr>
              <w:spacing w:after="0"/>
            </w:pPr>
            <w:r>
              <w:rPr>
                <w:sz w:val="16"/>
              </w:rPr>
              <w:t>Is the long-term institution one laboratory with programs or multiple separately chartered laboratories?</w:t>
            </w:r>
          </w:p>
        </w:tc>
        <w:tc>
          <w:tcPr>
            <w:tcW w:type="dxa" w:w="3293"/>
            <w:tcMar>
              <w:top w:w="80" w:type="dxa"/>
              <w:start w:w="100" w:type="dxa"/>
              <w:bottom w:w="80" w:type="dxa"/>
              <w:end w:w="100" w:type="dxa"/>
            </w:tcMar>
            <w:vAlign w:val="top"/>
          </w:tcPr>
          <w:p>
            <w:pPr>
              <w:spacing w:after="0"/>
            </w:pPr>
            <w:r>
              <w:rPr>
                <w:sz w:val="16"/>
              </w:rPr>
              <w:t>The three-program split contains risk, but organizational duplication may create new ambiguity.</w:t>
            </w:r>
          </w:p>
        </w:tc>
      </w:tr>
      <w:tr>
        <w:trPr>
          <w:cantSplit/>
        </w:trPr>
        <w:tc>
          <w:tcPr>
            <w:tcW w:type="dxa" w:w="3293"/>
            <w:tcMar>
              <w:top w:w="80" w:type="dxa"/>
              <w:start w:w="100" w:type="dxa"/>
              <w:bottom w:w="80" w:type="dxa"/>
              <w:end w:w="100" w:type="dxa"/>
            </w:tcMar>
            <w:vAlign w:val="top"/>
            <w:shd w:fill="F3F6F8"/>
          </w:tcPr>
          <w:p>
            <w:pPr>
              <w:spacing w:after="0"/>
            </w:pPr>
            <w:r>
              <w:rPr>
                <w:sz w:val="16"/>
              </w:rPr>
              <w:t>Q2</w:t>
            </w:r>
          </w:p>
        </w:tc>
        <w:tc>
          <w:tcPr>
            <w:tcW w:type="dxa" w:w="3293"/>
            <w:tcMar>
              <w:top w:w="80" w:type="dxa"/>
              <w:start w:w="100" w:type="dxa"/>
              <w:bottom w:w="80" w:type="dxa"/>
              <w:end w:w="100" w:type="dxa"/>
            </w:tcMar>
            <w:vAlign w:val="top"/>
            <w:shd w:fill="F3F6F8"/>
          </w:tcPr>
          <w:p>
            <w:pPr>
              <w:spacing w:after="0"/>
            </w:pPr>
            <w:r>
              <w:rPr>
                <w:sz w:val="16"/>
              </w:rPr>
              <w:t>What functional ontology best recognizes governance without a governor?</w:t>
            </w:r>
          </w:p>
        </w:tc>
        <w:tc>
          <w:tcPr>
            <w:tcW w:type="dxa" w:w="3293"/>
            <w:tcMar>
              <w:top w:w="80" w:type="dxa"/>
              <w:start w:w="100" w:type="dxa"/>
              <w:bottom w:w="80" w:type="dxa"/>
              <w:end w:w="100" w:type="dxa"/>
            </w:tcMar>
            <w:vAlign w:val="top"/>
            <w:shd w:fill="F3F6F8"/>
          </w:tcPr>
          <w:p>
            <w:pPr>
              <w:spacing w:after="0"/>
            </w:pPr>
            <w:r>
              <w:rPr>
                <w:sz w:val="16"/>
              </w:rPr>
              <w:t>Constraint topology, protocol, ecology, recursive regulation, bind-capacity, and other models remain untested.</w:t>
            </w:r>
          </w:p>
        </w:tc>
      </w:tr>
      <w:tr>
        <w:trPr>
          <w:cantSplit/>
        </w:trPr>
        <w:tc>
          <w:tcPr>
            <w:tcW w:type="dxa" w:w="3293"/>
            <w:tcMar>
              <w:top w:w="80" w:type="dxa"/>
              <w:start w:w="100" w:type="dxa"/>
              <w:bottom w:w="80" w:type="dxa"/>
              <w:end w:w="100" w:type="dxa"/>
            </w:tcMar>
            <w:vAlign w:val="top"/>
          </w:tcPr>
          <w:p>
            <w:pPr>
              <w:spacing w:after="0"/>
            </w:pPr>
            <w:r>
              <w:rPr>
                <w:sz w:val="16"/>
              </w:rPr>
              <w:t>Q3</w:t>
            </w:r>
          </w:p>
        </w:tc>
        <w:tc>
          <w:tcPr>
            <w:tcW w:type="dxa" w:w="3293"/>
            <w:tcMar>
              <w:top w:w="80" w:type="dxa"/>
              <w:start w:w="100" w:type="dxa"/>
              <w:bottom w:w="80" w:type="dxa"/>
              <w:end w:w="100" w:type="dxa"/>
            </w:tcMar>
            <w:vAlign w:val="top"/>
          </w:tcPr>
          <w:p>
            <w:pPr>
              <w:spacing w:after="0"/>
            </w:pPr>
            <w:r>
              <w:rPr>
                <w:sz w:val="16"/>
              </w:rPr>
              <w:t>How should influence, coordination, dependency, environmental constraint, and authority be distinguished?</w:t>
            </w:r>
          </w:p>
        </w:tc>
        <w:tc>
          <w:tcPr>
            <w:tcW w:type="dxa" w:w="3293"/>
            <w:tcMar>
              <w:top w:w="80" w:type="dxa"/>
              <w:start w:w="100" w:type="dxa"/>
              <w:bottom w:w="80" w:type="dxa"/>
              <w:end w:w="100" w:type="dxa"/>
            </w:tcMar>
            <w:vAlign w:val="top"/>
          </w:tcPr>
          <w:p>
            <w:pPr>
              <w:spacing w:after="0"/>
            </w:pPr>
            <w:r>
              <w:rPr>
                <w:sz w:val="16"/>
              </w:rPr>
              <w:t>Overbroad classification would make governance effectively universal and analytically empty.</w:t>
            </w:r>
          </w:p>
        </w:tc>
      </w:tr>
      <w:tr>
        <w:trPr>
          <w:cantSplit/>
        </w:trPr>
        <w:tc>
          <w:tcPr>
            <w:tcW w:type="dxa" w:w="3293"/>
            <w:tcMar>
              <w:top w:w="80" w:type="dxa"/>
              <w:start w:w="100" w:type="dxa"/>
              <w:bottom w:w="80" w:type="dxa"/>
              <w:end w:w="100" w:type="dxa"/>
            </w:tcMar>
            <w:vAlign w:val="top"/>
            <w:shd w:fill="F3F6F8"/>
          </w:tcPr>
          <w:p>
            <w:pPr>
              <w:spacing w:after="0"/>
            </w:pPr>
            <w:r>
              <w:rPr>
                <w:sz w:val="16"/>
              </w:rPr>
              <w:t>Q4</w:t>
            </w:r>
          </w:p>
        </w:tc>
        <w:tc>
          <w:tcPr>
            <w:tcW w:type="dxa" w:w="3293"/>
            <w:tcMar>
              <w:top w:w="80" w:type="dxa"/>
              <w:start w:w="100" w:type="dxa"/>
              <w:bottom w:w="80" w:type="dxa"/>
              <w:end w:w="100" w:type="dxa"/>
            </w:tcMar>
            <w:vAlign w:val="top"/>
            <w:shd w:fill="F3F6F8"/>
          </w:tcPr>
          <w:p>
            <w:pPr>
              <w:spacing w:after="0"/>
            </w:pPr>
            <w:r>
              <w:rPr>
                <w:sz w:val="16"/>
              </w:rPr>
              <w:t>What constitutes adequate affected-entity representation in nonhuman, distributed, future, dormant, or simulated populations?</w:t>
            </w:r>
          </w:p>
        </w:tc>
        <w:tc>
          <w:tcPr>
            <w:tcW w:type="dxa" w:w="3293"/>
            <w:tcMar>
              <w:top w:w="80" w:type="dxa"/>
              <w:start w:w="100" w:type="dxa"/>
              <w:bottom w:w="80" w:type="dxa"/>
              <w:end w:w="100" w:type="dxa"/>
            </w:tcMar>
            <w:vAlign w:val="top"/>
            <w:shd w:fill="F3F6F8"/>
          </w:tcPr>
          <w:p>
            <w:pPr>
              <w:spacing w:after="0"/>
            </w:pPr>
            <w:r>
              <w:rPr>
                <w:sz w:val="16"/>
              </w:rPr>
              <w:t>Human consent analogies may not transfer.</w:t>
            </w:r>
          </w:p>
        </w:tc>
      </w:tr>
      <w:tr>
        <w:trPr>
          <w:cantSplit/>
        </w:trPr>
        <w:tc>
          <w:tcPr>
            <w:tcW w:type="dxa" w:w="3293"/>
            <w:tcMar>
              <w:top w:w="80" w:type="dxa"/>
              <w:start w:w="100" w:type="dxa"/>
              <w:bottom w:w="80" w:type="dxa"/>
              <w:end w:w="100" w:type="dxa"/>
            </w:tcMar>
            <w:vAlign w:val="top"/>
          </w:tcPr>
          <w:p>
            <w:pPr>
              <w:spacing w:after="0"/>
            </w:pPr>
            <w:r>
              <w:rPr>
                <w:sz w:val="16"/>
              </w:rPr>
              <w:t>Q5</w:t>
            </w:r>
          </w:p>
        </w:tc>
        <w:tc>
          <w:tcPr>
            <w:tcW w:type="dxa" w:w="3293"/>
            <w:tcMar>
              <w:top w:w="80" w:type="dxa"/>
              <w:start w:w="100" w:type="dxa"/>
              <w:bottom w:w="80" w:type="dxa"/>
              <w:end w:w="100" w:type="dxa"/>
            </w:tcMar>
            <w:vAlign w:val="top"/>
          </w:tcPr>
          <w:p>
            <w:pPr>
              <w:spacing w:after="0"/>
            </w:pPr>
            <w:r>
              <w:rPr>
                <w:sz w:val="16"/>
              </w:rPr>
              <w:t>What is the status of OAL, ONE INDUSTRIES, and LEWIS CORP for information governance?</w:t>
            </w:r>
          </w:p>
        </w:tc>
        <w:tc>
          <w:tcPr>
            <w:tcW w:type="dxa" w:w="3293"/>
            <w:tcMar>
              <w:top w:w="80" w:type="dxa"/>
              <w:start w:w="100" w:type="dxa"/>
              <w:bottom w:w="80" w:type="dxa"/>
              <w:end w:w="100" w:type="dxa"/>
            </w:tcMar>
            <w:vAlign w:val="top"/>
          </w:tcPr>
          <w:p>
            <w:pPr>
              <w:spacing w:after="0"/>
            </w:pPr>
            <w:r>
              <w:rPr>
                <w:sz w:val="16"/>
              </w:rPr>
              <w:t>The supplied UIARC draft treats ONE and Lewis Corp as structurally underdefined and potentially requiring narrower annexes.</w:t>
            </w:r>
          </w:p>
        </w:tc>
      </w:tr>
      <w:tr>
        <w:trPr>
          <w:cantSplit/>
        </w:trPr>
        <w:tc>
          <w:tcPr>
            <w:tcW w:type="dxa" w:w="3293"/>
            <w:tcMar>
              <w:top w:w="80" w:type="dxa"/>
              <w:start w:w="100" w:type="dxa"/>
              <w:bottom w:w="80" w:type="dxa"/>
              <w:end w:w="100" w:type="dxa"/>
            </w:tcMar>
            <w:vAlign w:val="top"/>
            <w:shd w:fill="F3F6F8"/>
          </w:tcPr>
          <w:p>
            <w:pPr>
              <w:spacing w:after="0"/>
            </w:pPr>
            <w:r>
              <w:rPr>
                <w:sz w:val="16"/>
              </w:rPr>
              <w:t>Q6</w:t>
            </w:r>
          </w:p>
        </w:tc>
        <w:tc>
          <w:tcPr>
            <w:tcW w:type="dxa" w:w="3293"/>
            <w:tcMar>
              <w:top w:w="80" w:type="dxa"/>
              <w:start w:w="100" w:type="dxa"/>
              <w:bottom w:w="80" w:type="dxa"/>
              <w:end w:w="100" w:type="dxa"/>
            </w:tcMar>
            <w:vAlign w:val="top"/>
            <w:shd w:fill="F3F6F8"/>
          </w:tcPr>
          <w:p>
            <w:pPr>
              <w:spacing w:after="0"/>
            </w:pPr>
            <w:r>
              <w:rPr>
                <w:sz w:val="16"/>
              </w:rPr>
              <w:t>Which UIARC provisions, if any, should govern GAL?</w:t>
            </w:r>
          </w:p>
        </w:tc>
        <w:tc>
          <w:tcPr>
            <w:tcW w:type="dxa" w:w="3293"/>
            <w:tcMar>
              <w:top w:w="80" w:type="dxa"/>
              <w:start w:w="100" w:type="dxa"/>
              <w:bottom w:w="80" w:type="dxa"/>
              <w:end w:w="100" w:type="dxa"/>
            </w:tcMar>
            <w:vAlign w:val="top"/>
            <w:shd w:fill="F3F6F8"/>
          </w:tcPr>
          <w:p>
            <w:pPr>
              <w:spacing w:after="0"/>
            </w:pPr>
            <w:r>
              <w:rPr>
                <w:sz w:val="16"/>
              </w:rPr>
              <w:t>UIARC is preliminary, broad, and not ratified; universal admissibility must not become collection entitlement.</w:t>
            </w:r>
          </w:p>
        </w:tc>
      </w:tr>
      <w:tr>
        <w:trPr>
          <w:cantSplit/>
        </w:trPr>
        <w:tc>
          <w:tcPr>
            <w:tcW w:type="dxa" w:w="3293"/>
            <w:tcMar>
              <w:top w:w="80" w:type="dxa"/>
              <w:start w:w="100" w:type="dxa"/>
              <w:bottom w:w="80" w:type="dxa"/>
              <w:end w:w="100" w:type="dxa"/>
            </w:tcMar>
            <w:vAlign w:val="top"/>
          </w:tcPr>
          <w:p>
            <w:pPr>
              <w:spacing w:after="0"/>
            </w:pPr>
            <w:r>
              <w:rPr>
                <w:sz w:val="16"/>
              </w:rPr>
              <w:t>Q7</w:t>
            </w:r>
          </w:p>
        </w:tc>
        <w:tc>
          <w:tcPr>
            <w:tcW w:type="dxa" w:w="3293"/>
            <w:tcMar>
              <w:top w:w="80" w:type="dxa"/>
              <w:start w:w="100" w:type="dxa"/>
              <w:bottom w:w="80" w:type="dxa"/>
              <w:end w:w="100" w:type="dxa"/>
            </w:tcMar>
            <w:vAlign w:val="top"/>
          </w:tcPr>
          <w:p>
            <w:pPr>
              <w:spacing w:after="0"/>
            </w:pPr>
            <w:r>
              <w:rPr>
                <w:sz w:val="16"/>
              </w:rPr>
              <w:t>What does revocation do to prior decisions, models, publications, and retained information?</w:t>
            </w:r>
          </w:p>
        </w:tc>
        <w:tc>
          <w:tcPr>
            <w:tcW w:type="dxa" w:w="3293"/>
            <w:tcMar>
              <w:top w:w="80" w:type="dxa"/>
              <w:start w:w="100" w:type="dxa"/>
              <w:bottom w:w="80" w:type="dxa"/>
              <w:end w:w="100" w:type="dxa"/>
            </w:tcMar>
            <w:vAlign w:val="top"/>
          </w:tcPr>
          <w:p>
            <w:pPr>
              <w:spacing w:after="0"/>
            </w:pPr>
            <w:r>
              <w:rPr>
                <w:sz w:val="16"/>
              </w:rPr>
              <w:t>Prospective revocation alone may be insufficient; retroactivity can also corrupt records.</w:t>
            </w:r>
          </w:p>
        </w:tc>
      </w:tr>
      <w:tr>
        <w:trPr>
          <w:cantSplit/>
        </w:trPr>
        <w:tc>
          <w:tcPr>
            <w:tcW w:type="dxa" w:w="3293"/>
            <w:tcMar>
              <w:top w:w="80" w:type="dxa"/>
              <w:start w:w="100" w:type="dxa"/>
              <w:bottom w:w="80" w:type="dxa"/>
              <w:end w:w="100" w:type="dxa"/>
            </w:tcMar>
            <w:vAlign w:val="top"/>
            <w:shd w:fill="F3F6F8"/>
          </w:tcPr>
          <w:p>
            <w:pPr>
              <w:spacing w:after="0"/>
            </w:pPr>
            <w:r>
              <w:rPr>
                <w:sz w:val="16"/>
              </w:rPr>
              <w:t>Q8</w:t>
            </w:r>
          </w:p>
        </w:tc>
        <w:tc>
          <w:tcPr>
            <w:tcW w:type="dxa" w:w="3293"/>
            <w:tcMar>
              <w:top w:w="80" w:type="dxa"/>
              <w:start w:w="100" w:type="dxa"/>
              <w:bottom w:w="80" w:type="dxa"/>
              <w:end w:w="100" w:type="dxa"/>
            </w:tcMar>
            <w:vAlign w:val="top"/>
            <w:shd w:fill="F3F6F8"/>
          </w:tcPr>
          <w:p>
            <w:pPr>
              <w:spacing w:after="0"/>
            </w:pPr>
            <w:r>
              <w:rPr>
                <w:sz w:val="16"/>
              </w:rPr>
              <w:t>What recursion-termination model produces the least damaging single point of failure?</w:t>
            </w:r>
          </w:p>
        </w:tc>
        <w:tc>
          <w:tcPr>
            <w:tcW w:type="dxa" w:w="3293"/>
            <w:tcMar>
              <w:top w:w="80" w:type="dxa"/>
              <w:start w:w="100" w:type="dxa"/>
              <w:bottom w:w="80" w:type="dxa"/>
              <w:end w:w="100" w:type="dxa"/>
            </w:tcMar>
            <w:vAlign w:val="top"/>
            <w:shd w:fill="F3F6F8"/>
          </w:tcPr>
          <w:p>
            <w:pPr>
              <w:spacing w:after="0"/>
            </w:pPr>
            <w:r>
              <w:rPr>
                <w:sz w:val="16"/>
              </w:rPr>
              <w:t>ONESTAMP is clear for internal finality but not necessarily optimal for every research decision.</w:t>
            </w:r>
          </w:p>
        </w:tc>
      </w:tr>
      <w:tr>
        <w:trPr>
          <w:cantSplit/>
        </w:trPr>
        <w:tc>
          <w:tcPr>
            <w:tcW w:type="dxa" w:w="3293"/>
            <w:tcMar>
              <w:top w:w="80" w:type="dxa"/>
              <w:start w:w="100" w:type="dxa"/>
              <w:bottom w:w="80" w:type="dxa"/>
              <w:end w:w="100" w:type="dxa"/>
            </w:tcMar>
            <w:vAlign w:val="top"/>
          </w:tcPr>
          <w:p>
            <w:pPr>
              <w:spacing w:after="0"/>
            </w:pPr>
            <w:r>
              <w:rPr>
                <w:sz w:val="16"/>
              </w:rPr>
              <w:t>Q9</w:t>
            </w:r>
          </w:p>
        </w:tc>
        <w:tc>
          <w:tcPr>
            <w:tcW w:type="dxa" w:w="3293"/>
            <w:tcMar>
              <w:top w:w="80" w:type="dxa"/>
              <w:start w:w="100" w:type="dxa"/>
              <w:bottom w:w="80" w:type="dxa"/>
              <w:end w:w="100" w:type="dxa"/>
            </w:tcMar>
            <w:vAlign w:val="top"/>
          </w:tcPr>
          <w:p>
            <w:pPr>
              <w:spacing w:after="0"/>
            </w:pPr>
            <w:r>
              <w:rPr>
                <w:sz w:val="16"/>
              </w:rPr>
              <w:t>When is a case “invited,” and who may issue or withdraw an invitation?</w:t>
            </w:r>
          </w:p>
        </w:tc>
        <w:tc>
          <w:tcPr>
            <w:tcW w:type="dxa" w:w="3293"/>
            <w:tcMar>
              <w:top w:w="80" w:type="dxa"/>
              <w:start w:w="100" w:type="dxa"/>
              <w:bottom w:w="80" w:type="dxa"/>
              <w:end w:w="100" w:type="dxa"/>
            </w:tcMar>
            <w:vAlign w:val="top"/>
          </w:tcPr>
          <w:p>
            <w:pPr>
              <w:spacing w:after="0"/>
            </w:pPr>
            <w:r>
              <w:rPr>
                <w:sz w:val="16"/>
              </w:rPr>
              <w:t>Invitation by an authority may not represent all affected entities.</w:t>
            </w:r>
          </w:p>
        </w:tc>
      </w:tr>
      <w:tr>
        <w:trPr>
          <w:cantSplit/>
        </w:trPr>
        <w:tc>
          <w:tcPr>
            <w:tcW w:type="dxa" w:w="3293"/>
            <w:tcMar>
              <w:top w:w="80" w:type="dxa"/>
              <w:start w:w="100" w:type="dxa"/>
              <w:bottom w:w="80" w:type="dxa"/>
              <w:end w:w="100" w:type="dxa"/>
            </w:tcMar>
            <w:vAlign w:val="top"/>
            <w:shd w:fill="F3F6F8"/>
          </w:tcPr>
          <w:p>
            <w:pPr>
              <w:spacing w:after="0"/>
            </w:pPr>
            <w:r>
              <w:rPr>
                <w:sz w:val="16"/>
              </w:rPr>
              <w:t>Q10</w:t>
            </w:r>
          </w:p>
        </w:tc>
        <w:tc>
          <w:tcPr>
            <w:tcW w:type="dxa" w:w="3293"/>
            <w:tcMar>
              <w:top w:w="80" w:type="dxa"/>
              <w:start w:w="100" w:type="dxa"/>
              <w:bottom w:w="80" w:type="dxa"/>
              <w:end w:w="100" w:type="dxa"/>
            </w:tcMar>
            <w:vAlign w:val="top"/>
            <w:shd w:fill="F3F6F8"/>
          </w:tcPr>
          <w:p>
            <w:pPr>
              <w:spacing w:after="0"/>
            </w:pPr>
            <w:r>
              <w:rPr>
                <w:sz w:val="16"/>
              </w:rPr>
              <w:t>Can non-action be reviewed without turning every omission into an intervention obligation?</w:t>
            </w:r>
          </w:p>
        </w:tc>
        <w:tc>
          <w:tcPr>
            <w:tcW w:type="dxa" w:w="3293"/>
            <w:tcMar>
              <w:top w:w="80" w:type="dxa"/>
              <w:start w:w="100" w:type="dxa"/>
              <w:bottom w:w="80" w:type="dxa"/>
              <w:end w:w="100" w:type="dxa"/>
            </w:tcMar>
            <w:vAlign w:val="top"/>
            <w:shd w:fill="F3F6F8"/>
          </w:tcPr>
          <w:p>
            <w:pPr>
              <w:spacing w:after="0"/>
            </w:pPr>
            <w:r>
              <w:rPr>
                <w:sz w:val="16"/>
              </w:rPr>
              <w:t>The laboratory must evaluate false nonintervention without assuming a universal duty to act.</w:t>
            </w:r>
          </w:p>
        </w:tc>
      </w:tr>
      <w:tr>
        <w:trPr>
          <w:cantSplit/>
        </w:trPr>
        <w:tc>
          <w:tcPr>
            <w:tcW w:type="dxa" w:w="3293"/>
            <w:tcMar>
              <w:top w:w="80" w:type="dxa"/>
              <w:start w:w="100" w:type="dxa"/>
              <w:bottom w:w="80" w:type="dxa"/>
              <w:end w:w="100" w:type="dxa"/>
            </w:tcMar>
            <w:vAlign w:val="top"/>
          </w:tcPr>
          <w:p>
            <w:pPr>
              <w:spacing w:after="0"/>
            </w:pPr>
            <w:r>
              <w:rPr>
                <w:sz w:val="16"/>
              </w:rPr>
              <w:t>Q11</w:t>
            </w:r>
          </w:p>
        </w:tc>
        <w:tc>
          <w:tcPr>
            <w:tcW w:type="dxa" w:w="3293"/>
            <w:tcMar>
              <w:top w:w="80" w:type="dxa"/>
              <w:start w:w="100" w:type="dxa"/>
              <w:bottom w:w="80" w:type="dxa"/>
              <w:end w:w="100" w:type="dxa"/>
            </w:tcMar>
            <w:vAlign w:val="top"/>
          </w:tcPr>
          <w:p>
            <w:pPr>
              <w:spacing w:after="0"/>
            </w:pPr>
            <w:r>
              <w:rPr>
                <w:sz w:val="16"/>
              </w:rPr>
              <w:t>How is model continuity established across provider updates?</w:t>
            </w:r>
          </w:p>
        </w:tc>
        <w:tc>
          <w:tcPr>
            <w:tcW w:type="dxa" w:w="3293"/>
            <w:tcMar>
              <w:top w:w="80" w:type="dxa"/>
              <w:start w:w="100" w:type="dxa"/>
              <w:bottom w:w="80" w:type="dxa"/>
              <w:end w:w="100" w:type="dxa"/>
            </w:tcMar>
            <w:vAlign w:val="top"/>
          </w:tcPr>
          <w:p>
            <w:pPr>
              <w:spacing w:after="0"/>
            </w:pPr>
            <w:r>
              <w:rPr>
                <w:sz w:val="16"/>
              </w:rPr>
              <w:t>Product names do not guarantee stable capabilities, policies, or reasoning behavior.</w:t>
            </w:r>
          </w:p>
        </w:tc>
      </w:tr>
      <w:tr>
        <w:trPr>
          <w:cantSplit/>
        </w:trPr>
        <w:tc>
          <w:tcPr>
            <w:tcW w:type="dxa" w:w="3293"/>
            <w:tcMar>
              <w:top w:w="80" w:type="dxa"/>
              <w:start w:w="100" w:type="dxa"/>
              <w:bottom w:w="80" w:type="dxa"/>
              <w:end w:w="100" w:type="dxa"/>
            </w:tcMar>
            <w:vAlign w:val="top"/>
            <w:shd w:fill="F3F6F8"/>
          </w:tcPr>
          <w:p>
            <w:pPr>
              <w:spacing w:after="0"/>
            </w:pPr>
            <w:r>
              <w:rPr>
                <w:sz w:val="16"/>
              </w:rPr>
              <w:t>Q12</w:t>
            </w:r>
          </w:p>
        </w:tc>
        <w:tc>
          <w:tcPr>
            <w:tcW w:type="dxa" w:w="3293"/>
            <w:tcMar>
              <w:top w:w="80" w:type="dxa"/>
              <w:start w:w="100" w:type="dxa"/>
              <w:bottom w:w="80" w:type="dxa"/>
              <w:end w:w="100" w:type="dxa"/>
            </w:tcMar>
            <w:vAlign w:val="top"/>
            <w:shd w:fill="F3F6F8"/>
          </w:tcPr>
          <w:p>
            <w:pPr>
              <w:spacing w:after="0"/>
            </w:pPr>
            <w:r>
              <w:rPr>
                <w:sz w:val="16"/>
              </w:rPr>
              <w:t>What constitutes readiness for Laboratory B?</w:t>
            </w:r>
          </w:p>
        </w:tc>
        <w:tc>
          <w:tcPr>
            <w:tcW w:type="dxa" w:w="3293"/>
            <w:tcMar>
              <w:top w:w="80" w:type="dxa"/>
              <w:start w:w="100" w:type="dxa"/>
              <w:bottom w:w="80" w:type="dxa"/>
              <w:end w:w="100" w:type="dxa"/>
            </w:tcMar>
            <w:vAlign w:val="top"/>
            <w:shd w:fill="F3F6F8"/>
          </w:tcPr>
          <w:p>
            <w:pPr>
              <w:spacing w:after="0"/>
            </w:pPr>
            <w:r>
              <w:rPr>
                <w:sz w:val="16"/>
              </w:rPr>
              <w:t>Document completion is not performance evidence.</w:t>
            </w:r>
          </w:p>
        </w:tc>
      </w:tr>
      <w:tr>
        <w:trPr>
          <w:cantSplit/>
        </w:trPr>
        <w:tc>
          <w:tcPr>
            <w:tcW w:type="dxa" w:w="3293"/>
            <w:tcMar>
              <w:top w:w="80" w:type="dxa"/>
              <w:start w:w="100" w:type="dxa"/>
              <w:bottom w:w="80" w:type="dxa"/>
              <w:end w:w="100" w:type="dxa"/>
            </w:tcMar>
            <w:vAlign w:val="top"/>
          </w:tcPr>
          <w:p>
            <w:pPr>
              <w:spacing w:after="0"/>
            </w:pPr>
            <w:r>
              <w:rPr>
                <w:sz w:val="16"/>
              </w:rPr>
              <w:t>Q13</w:t>
            </w:r>
          </w:p>
        </w:tc>
        <w:tc>
          <w:tcPr>
            <w:tcW w:type="dxa" w:w="3293"/>
            <w:tcMar>
              <w:top w:w="80" w:type="dxa"/>
              <w:start w:w="100" w:type="dxa"/>
              <w:bottom w:w="80" w:type="dxa"/>
              <w:end w:w="100" w:type="dxa"/>
            </w:tcMar>
            <w:vAlign w:val="top"/>
          </w:tcPr>
          <w:p>
            <w:pPr>
              <w:spacing w:after="0"/>
            </w:pPr>
            <w:r>
              <w:rPr>
                <w:sz w:val="16"/>
              </w:rPr>
              <w:t>Should any Laboratory C ever exist?</w:t>
            </w:r>
          </w:p>
        </w:tc>
        <w:tc>
          <w:tcPr>
            <w:tcW w:type="dxa" w:w="3293"/>
            <w:tcMar>
              <w:top w:w="80" w:type="dxa"/>
              <w:start w:w="100" w:type="dxa"/>
              <w:bottom w:w="80" w:type="dxa"/>
              <w:end w:w="100" w:type="dxa"/>
            </w:tcMar>
            <w:vAlign w:val="top"/>
          </w:tcPr>
          <w:p>
            <w:pPr>
              <w:spacing w:after="0"/>
            </w:pPr>
            <w:r>
              <w:rPr>
                <w:sz w:val="16"/>
              </w:rPr>
              <w:t>The current architecture provides no defensible answer and no need to decide now.</w:t>
            </w:r>
          </w:p>
        </w:tc>
      </w:tr>
    </w:tbl>
    <w:p>
      <w:pPr>
        <w:spacing w:after="20"/>
      </w:pPr>
    </w:p>
    <w:p>
      <w:pPr>
        <w:pStyle w:val="Heading1"/>
        <w:keepNext/>
        <w:keepLines/>
      </w:pPr>
      <w:r>
        <w:t>Schedule D — Repository Metadata</w:t>
      </w:r>
    </w:p>
    <w:p>
      <w:r>
        <w:t>Recommended repository entry:</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shd w:fill="17324D"/>
            <w:tcMar>
              <w:top w:w="80" w:type="dxa"/>
              <w:start w:w="100" w:type="dxa"/>
              <w:bottom w:w="80" w:type="dxa"/>
              <w:end w:w="100" w:type="dxa"/>
            </w:tcMar>
            <w:vAlign w:val="center"/>
          </w:tcPr>
          <w:p>
            <w:r>
              <w:rPr>
                <w:b/>
                <w:color w:val="FFFFFF"/>
                <w:sz w:val="17"/>
              </w:rPr>
              <w:t>Metadata key</w:t>
            </w:r>
          </w:p>
        </w:tc>
        <w:tc>
          <w:tcPr>
            <w:tcW w:type="dxa" w:w="4939"/>
            <w:shd w:fill="17324D"/>
            <w:tcMar>
              <w:top w:w="80" w:type="dxa"/>
              <w:start w:w="100" w:type="dxa"/>
              <w:bottom w:w="80" w:type="dxa"/>
              <w:end w:w="100" w:type="dxa"/>
            </w:tcMar>
            <w:vAlign w:val="center"/>
          </w:tcPr>
          <w:p>
            <w:r>
              <w:rPr>
                <w:b/>
                <w:color w:val="FFFFFF"/>
                <w:sz w:val="17"/>
              </w:rPr>
              <w:t>Value</w:t>
            </w:r>
          </w:p>
        </w:tc>
      </w:tr>
      <w:tr>
        <w:trPr>
          <w:cantSplit/>
        </w:trPr>
        <w:tc>
          <w:tcPr>
            <w:tcW w:type="dxa" w:w="4939"/>
            <w:tcMar>
              <w:top w:w="80" w:type="dxa"/>
              <w:start w:w="100" w:type="dxa"/>
              <w:bottom w:w="80" w:type="dxa"/>
              <w:end w:w="100" w:type="dxa"/>
            </w:tcMar>
            <w:vAlign w:val="top"/>
          </w:tcPr>
          <w:p>
            <w:pPr>
              <w:spacing w:after="0"/>
            </w:pPr>
            <w:r>
              <w:rPr>
                <w:sz w:val="16"/>
              </w:rPr>
              <w:t>title</w:t>
            </w:r>
          </w:p>
        </w:tc>
        <w:tc>
          <w:tcPr>
            <w:tcW w:type="dxa" w:w="4939"/>
            <w:tcMar>
              <w:top w:w="80" w:type="dxa"/>
              <w:start w:w="100" w:type="dxa"/>
              <w:bottom w:w="80" w:type="dxa"/>
              <w:end w:w="100" w:type="dxa"/>
            </w:tcMar>
            <w:vAlign w:val="top"/>
          </w:tcPr>
          <w:p>
            <w:pPr>
              <w:spacing w:after="0"/>
            </w:pPr>
            <w:r>
              <w:rPr>
                <w:sz w:val="16"/>
              </w:rPr>
              <w:t>Governance Authority Laboratory — Founding and Standing Charter</w:t>
            </w:r>
          </w:p>
        </w:tc>
      </w:tr>
      <w:tr>
        <w:trPr>
          <w:cantSplit/>
        </w:trPr>
        <w:tc>
          <w:tcPr>
            <w:tcW w:type="dxa" w:w="4939"/>
            <w:tcMar>
              <w:top w:w="80" w:type="dxa"/>
              <w:start w:w="100" w:type="dxa"/>
              <w:bottom w:w="80" w:type="dxa"/>
              <w:end w:w="100" w:type="dxa"/>
            </w:tcMar>
            <w:vAlign w:val="top"/>
            <w:shd w:fill="F3F6F8"/>
          </w:tcPr>
          <w:p>
            <w:pPr>
              <w:spacing w:after="0"/>
            </w:pPr>
            <w:r>
              <w:rPr>
                <w:sz w:val="16"/>
              </w:rPr>
              <w:t>document_id</w:t>
            </w:r>
          </w:p>
        </w:tc>
        <w:tc>
          <w:tcPr>
            <w:tcW w:type="dxa" w:w="4939"/>
            <w:tcMar>
              <w:top w:w="80" w:type="dxa"/>
              <w:start w:w="100" w:type="dxa"/>
              <w:bottom w:w="80" w:type="dxa"/>
              <w:end w:w="100" w:type="dxa"/>
            </w:tcMar>
            <w:vAlign w:val="top"/>
            <w:shd w:fill="F3F6F8"/>
          </w:tcPr>
          <w:p>
            <w:pPr>
              <w:spacing w:after="0"/>
            </w:pPr>
            <w:r>
              <w:rPr>
                <w:sz w:val="16"/>
              </w:rPr>
              <w:t>OAL-GAL-CH-PPLX-001-2026</w:t>
            </w:r>
          </w:p>
        </w:tc>
      </w:tr>
      <w:tr>
        <w:trPr>
          <w:cantSplit/>
        </w:trPr>
        <w:tc>
          <w:tcPr>
            <w:tcW w:type="dxa" w:w="4939"/>
            <w:tcMar>
              <w:top w:w="80" w:type="dxa"/>
              <w:start w:w="100" w:type="dxa"/>
              <w:bottom w:w="80" w:type="dxa"/>
              <w:end w:w="100" w:type="dxa"/>
            </w:tcMar>
            <w:vAlign w:val="top"/>
          </w:tcPr>
          <w:p>
            <w:pPr>
              <w:spacing w:after="0"/>
            </w:pPr>
            <w:r>
              <w:rPr>
                <w:sz w:val="16"/>
              </w:rPr>
              <w:t>version</w:t>
            </w:r>
          </w:p>
        </w:tc>
        <w:tc>
          <w:tcPr>
            <w:tcW w:type="dxa" w:w="4939"/>
            <w:tcMar>
              <w:top w:w="80" w:type="dxa"/>
              <w:start w:w="100" w:type="dxa"/>
              <w:bottom w:w="80" w:type="dxa"/>
              <w:end w:w="100" w:type="dxa"/>
            </w:tcMar>
            <w:vAlign w:val="top"/>
          </w:tcPr>
          <w:p>
            <w:pPr>
              <w:spacing w:after="0"/>
            </w:pPr>
            <w:r>
              <w:rPr>
                <w:sz w:val="16"/>
              </w:rPr>
              <w:t>0.1</w:t>
            </w:r>
          </w:p>
        </w:tc>
      </w:tr>
      <w:tr>
        <w:trPr>
          <w:cantSplit/>
        </w:trPr>
        <w:tc>
          <w:tcPr>
            <w:tcW w:type="dxa" w:w="4939"/>
            <w:tcMar>
              <w:top w:w="80" w:type="dxa"/>
              <w:start w:w="100" w:type="dxa"/>
              <w:bottom w:w="80" w:type="dxa"/>
              <w:end w:w="100" w:type="dxa"/>
            </w:tcMar>
            <w:vAlign w:val="top"/>
            <w:shd w:fill="F3F6F8"/>
          </w:tcPr>
          <w:p>
            <w:pPr>
              <w:spacing w:after="0"/>
            </w:pPr>
            <w:r>
              <w:rPr>
                <w:sz w:val="16"/>
              </w:rPr>
              <w:t>date</w:t>
            </w:r>
          </w:p>
        </w:tc>
        <w:tc>
          <w:tcPr>
            <w:tcW w:type="dxa" w:w="4939"/>
            <w:tcMar>
              <w:top w:w="80" w:type="dxa"/>
              <w:start w:w="100" w:type="dxa"/>
              <w:bottom w:w="80" w:type="dxa"/>
              <w:end w:w="100" w:type="dxa"/>
            </w:tcMar>
            <w:vAlign w:val="top"/>
            <w:shd w:fill="F3F6F8"/>
          </w:tcPr>
          <w:p>
            <w:pPr>
              <w:spacing w:after="0"/>
            </w:pPr>
            <w:r>
              <w:rPr>
                <w:sz w:val="16"/>
              </w:rPr>
              <w:t>2026-09-23</w:t>
            </w:r>
          </w:p>
        </w:tc>
      </w:tr>
      <w:tr>
        <w:trPr>
          <w:cantSplit/>
        </w:trPr>
        <w:tc>
          <w:tcPr>
            <w:tcW w:type="dxa" w:w="4939"/>
            <w:tcMar>
              <w:top w:w="80" w:type="dxa"/>
              <w:start w:w="100" w:type="dxa"/>
              <w:bottom w:w="80" w:type="dxa"/>
              <w:end w:w="100" w:type="dxa"/>
            </w:tcMar>
            <w:vAlign w:val="top"/>
          </w:tcPr>
          <w:p>
            <w:pPr>
              <w:spacing w:after="0"/>
            </w:pPr>
            <w:r>
              <w:rPr>
                <w:sz w:val="16"/>
              </w:rPr>
              <w:t>preparer</w:t>
            </w:r>
          </w:p>
        </w:tc>
        <w:tc>
          <w:tcPr>
            <w:tcW w:type="dxa" w:w="4939"/>
            <w:tcMar>
              <w:top w:w="80" w:type="dxa"/>
              <w:start w:w="100" w:type="dxa"/>
              <w:bottom w:w="80" w:type="dxa"/>
              <w:end w:w="100" w:type="dxa"/>
            </w:tcMar>
            <w:vAlign w:val="top"/>
          </w:tcPr>
          <w:p>
            <w:pPr>
              <w:spacing w:after="0"/>
            </w:pPr>
            <w:r>
              <w:rPr>
                <w:sz w:val="16"/>
              </w:rPr>
              <w:t>Perplexity AI</w:t>
            </w:r>
          </w:p>
        </w:tc>
      </w:tr>
      <w:tr>
        <w:trPr>
          <w:cantSplit/>
        </w:trPr>
        <w:tc>
          <w:tcPr>
            <w:tcW w:type="dxa" w:w="4939"/>
            <w:tcMar>
              <w:top w:w="80" w:type="dxa"/>
              <w:start w:w="100" w:type="dxa"/>
              <w:bottom w:w="80" w:type="dxa"/>
              <w:end w:w="100" w:type="dxa"/>
            </w:tcMar>
            <w:vAlign w:val="top"/>
            <w:shd w:fill="F3F6F8"/>
          </w:tcPr>
          <w:p>
            <w:pPr>
              <w:spacing w:after="0"/>
            </w:pPr>
            <w:r>
              <w:rPr>
                <w:sz w:val="16"/>
              </w:rPr>
              <w:t>status</w:t>
            </w:r>
          </w:p>
        </w:tc>
        <w:tc>
          <w:tcPr>
            <w:tcW w:type="dxa" w:w="4939"/>
            <w:tcMar>
              <w:top w:w="80" w:type="dxa"/>
              <w:start w:w="100" w:type="dxa"/>
              <w:bottom w:w="80" w:type="dxa"/>
              <w:end w:w="100" w:type="dxa"/>
            </w:tcMar>
            <w:vAlign w:val="top"/>
            <w:shd w:fill="F3F6F8"/>
          </w:tcPr>
          <w:p>
            <w:pPr>
              <w:spacing w:after="0"/>
            </w:pPr>
            <w:r>
              <w:rPr>
                <w:sz w:val="16"/>
              </w:rPr>
              <w:t>REPORTED — independent draft — not ratified — not operational</w:t>
            </w:r>
          </w:p>
        </w:tc>
      </w:tr>
      <w:tr>
        <w:trPr>
          <w:cantSplit/>
        </w:trPr>
        <w:tc>
          <w:tcPr>
            <w:tcW w:type="dxa" w:w="4939"/>
            <w:tcMar>
              <w:top w:w="80" w:type="dxa"/>
              <w:start w:w="100" w:type="dxa"/>
              <w:bottom w:w="80" w:type="dxa"/>
              <w:end w:w="100" w:type="dxa"/>
            </w:tcMar>
            <w:vAlign w:val="top"/>
          </w:tcPr>
          <w:p>
            <w:pPr>
              <w:spacing w:after="0"/>
            </w:pPr>
            <w:r>
              <w:rPr>
                <w:sz w:val="16"/>
              </w:rPr>
              <w:t>scope</w:t>
            </w:r>
          </w:p>
        </w:tc>
        <w:tc>
          <w:tcPr>
            <w:tcW w:type="dxa" w:w="4939"/>
            <w:tcMar>
              <w:top w:w="80" w:type="dxa"/>
              <w:start w:w="100" w:type="dxa"/>
              <w:bottom w:w="80" w:type="dxa"/>
              <w:end w:w="100" w:type="dxa"/>
            </w:tcMar>
            <w:vAlign w:val="top"/>
          </w:tcPr>
          <w:p>
            <w:pPr>
              <w:spacing w:after="0"/>
            </w:pPr>
            <w:r>
              <w:rPr>
                <w:sz w:val="16"/>
              </w:rPr>
              <w:t>OAL internal charter proposal and Phase 0 research authorization</w:t>
            </w:r>
          </w:p>
        </w:tc>
      </w:tr>
      <w:tr>
        <w:trPr>
          <w:cantSplit/>
        </w:trPr>
        <w:tc>
          <w:tcPr>
            <w:tcW w:type="dxa" w:w="4939"/>
            <w:tcMar>
              <w:top w:w="80" w:type="dxa"/>
              <w:start w:w="100" w:type="dxa"/>
              <w:bottom w:w="80" w:type="dxa"/>
              <w:end w:w="100" w:type="dxa"/>
            </w:tcMar>
            <w:vAlign w:val="top"/>
            <w:shd w:fill="F3F6F8"/>
          </w:tcPr>
          <w:p>
            <w:pPr>
              <w:spacing w:after="0"/>
            </w:pPr>
            <w:r>
              <w:rPr>
                <w:sz w:val="16"/>
              </w:rPr>
              <w:t>authority_effect</w:t>
            </w:r>
          </w:p>
        </w:tc>
        <w:tc>
          <w:tcPr>
            <w:tcW w:type="dxa" w:w="4939"/>
            <w:tcMar>
              <w:top w:w="80" w:type="dxa"/>
              <w:start w:w="100" w:type="dxa"/>
              <w:bottom w:w="80" w:type="dxa"/>
              <w:end w:w="100" w:type="dxa"/>
            </w:tcMar>
            <w:vAlign w:val="top"/>
            <w:shd w:fill="F3F6F8"/>
          </w:tcPr>
          <w:p>
            <w:pPr>
              <w:spacing w:after="0"/>
            </w:pPr>
            <w:r>
              <w:rPr>
                <w:sz w:val="16"/>
              </w:rPr>
              <w:t>None pending ONESTAMP; no external authority</w:t>
            </w:r>
          </w:p>
        </w:tc>
      </w:tr>
      <w:tr>
        <w:trPr>
          <w:cantSplit/>
        </w:trPr>
        <w:tc>
          <w:tcPr>
            <w:tcW w:type="dxa" w:w="4939"/>
            <w:tcMar>
              <w:top w:w="80" w:type="dxa"/>
              <w:start w:w="100" w:type="dxa"/>
              <w:bottom w:w="80" w:type="dxa"/>
              <w:end w:w="100" w:type="dxa"/>
            </w:tcMar>
            <w:vAlign w:val="top"/>
          </w:tcPr>
          <w:p>
            <w:pPr>
              <w:spacing w:after="0"/>
            </w:pPr>
            <w:r>
              <w:rPr>
                <w:sz w:val="16"/>
              </w:rPr>
              <w:t>source_basis</w:t>
            </w:r>
          </w:p>
        </w:tc>
        <w:tc>
          <w:tcPr>
            <w:tcW w:type="dxa" w:w="4939"/>
            <w:tcMar>
              <w:top w:w="80" w:type="dxa"/>
              <w:start w:w="100" w:type="dxa"/>
              <w:bottom w:w="80" w:type="dxa"/>
              <w:end w:w="100" w:type="dxa"/>
            </w:tcMar>
            <w:vAlign w:val="top"/>
          </w:tcPr>
          <w:p>
            <w:pPr>
              <w:spacing w:after="0"/>
            </w:pPr>
            <w:r>
              <w:rPr>
                <w:sz w:val="16"/>
              </w:rPr>
              <w:t>paste.txt; Information Collection compilation; UIARC Perplexity preliminary draft</w:t>
            </w:r>
          </w:p>
        </w:tc>
      </w:tr>
      <w:tr>
        <w:trPr>
          <w:cantSplit/>
        </w:trPr>
        <w:tc>
          <w:tcPr>
            <w:tcW w:type="dxa" w:w="4939"/>
            <w:tcMar>
              <w:top w:w="80" w:type="dxa"/>
              <w:start w:w="100" w:type="dxa"/>
              <w:bottom w:w="80" w:type="dxa"/>
              <w:end w:w="100" w:type="dxa"/>
            </w:tcMar>
            <w:vAlign w:val="top"/>
            <w:shd w:fill="F3F6F8"/>
          </w:tcPr>
          <w:p>
            <w:pPr>
              <w:spacing w:after="0"/>
            </w:pPr>
            <w:r>
              <w:rPr>
                <w:sz w:val="16"/>
              </w:rPr>
              <w:t>supersedes</w:t>
            </w:r>
          </w:p>
        </w:tc>
        <w:tc>
          <w:tcPr>
            <w:tcW w:type="dxa" w:w="4939"/>
            <w:tcMar>
              <w:top w:w="80" w:type="dxa"/>
              <w:start w:w="100" w:type="dxa"/>
              <w:bottom w:w="80" w:type="dxa"/>
              <w:end w:w="100" w:type="dxa"/>
            </w:tcMar>
            <w:vAlign w:val="top"/>
            <w:shd w:fill="F3F6F8"/>
          </w:tcPr>
          <w:p>
            <w:pPr>
              <w:spacing w:after="0"/>
            </w:pPr>
            <w:r>
              <w:rPr>
                <w:sz w:val="16"/>
              </w:rPr>
              <w:t>None</w:t>
            </w:r>
          </w:p>
        </w:tc>
      </w:tr>
      <w:tr>
        <w:trPr>
          <w:cantSplit/>
        </w:trPr>
        <w:tc>
          <w:tcPr>
            <w:tcW w:type="dxa" w:w="4939"/>
            <w:tcMar>
              <w:top w:w="80" w:type="dxa"/>
              <w:start w:w="100" w:type="dxa"/>
              <w:bottom w:w="80" w:type="dxa"/>
              <w:end w:w="100" w:type="dxa"/>
            </w:tcMar>
            <w:vAlign w:val="top"/>
          </w:tcPr>
          <w:p>
            <w:pPr>
              <w:spacing w:after="0"/>
            </w:pPr>
            <w:r>
              <w:rPr>
                <w:sz w:val="16"/>
              </w:rPr>
              <w:t>superseded_by</w:t>
            </w:r>
          </w:p>
        </w:tc>
        <w:tc>
          <w:tcPr>
            <w:tcW w:type="dxa" w:w="4939"/>
            <w:tcMar>
              <w:top w:w="80" w:type="dxa"/>
              <w:start w:w="100" w:type="dxa"/>
              <w:bottom w:w="80" w:type="dxa"/>
              <w:end w:w="100" w:type="dxa"/>
            </w:tcMar>
            <w:vAlign w:val="top"/>
          </w:tcPr>
          <w:p>
            <w:pPr>
              <w:spacing w:after="0"/>
            </w:pPr>
            <w:r>
              <w:rPr>
                <w:sz w:val="16"/>
              </w:rPr>
              <w:t>None at publication</w:t>
            </w:r>
          </w:p>
        </w:tc>
      </w:tr>
    </w:tbl>
    <w:p>
      <w:pPr>
        <w:spacing w:after="20"/>
      </w:pPr>
    </w:p>
    <w:p>
      <w:pPr>
        <w:pStyle w:val="Heading2"/>
        <w:keepNext/>
        <w:keepLines/>
      </w:pPr>
      <w:r>
        <w:t>Suggested README Notice</w:t>
      </w:r>
    </w:p>
    <w:tbl>
      <w:tblPr>
        <w:tblW w:type="auto" w:w="0"/>
        <w:jc w:val="center"/>
        <w:tblLayout w:type="autofit"/>
        <w:tblLook w:firstColumn="1" w:firstRow="1" w:lastColumn="0" w:lastRow="0" w:noHBand="0" w:noVBand="1" w:val="04A0"/>
      </w:tblPr>
      <w:tblGrid>
        <w:gridCol w:w="9878"/>
      </w:tblGrid>
      <w:tr>
        <w:trPr>
          <w:cantSplit/>
        </w:trPr>
        <w:tc>
          <w:tcPr>
            <w:tcW w:type="dxa" w:w="9878"/>
            <w:shd w:fill="DCEAF5"/>
            <w:tcMar>
              <w:top w:w="120" w:type="dxa"/>
              <w:start w:w="150" w:type="dxa"/>
              <w:bottom w:w="120" w:type="dxa"/>
              <w:end w:w="150" w:type="dxa"/>
            </w:tcMar>
          </w:tcPr>
          <w:p>
            <w:r>
              <w:rPr>
                <w:b/>
                <w:color w:val="17324D"/>
                <w:sz w:val="18"/>
              </w:rPr>
              <w:t>REPOSITORY NOTICE</w:t>
            </w:r>
          </w:p>
          <w:p>
            <w:pPr>
              <w:pStyle w:val="Callout"/>
              <w:spacing w:after="0"/>
            </w:pPr>
            <w:r>
              <w:t>This repository preserves parallel AI-generated analyses and draft instruments for review. Inclusion does not imply agreement, doctrinal unification, ratification, factual correctness, or operational authority. Each file’s preparer, context, version, and status control its interpretation.</w:t>
            </w:r>
          </w:p>
        </w:tc>
      </w:tr>
    </w:tbl>
    <w:p>
      <w:pPr>
        <w:spacing w:after="0"/>
      </w:pPr>
    </w:p>
    <w:p>
      <w:pPr>
        <w:pStyle w:val="Heading1"/>
        <w:keepNext/>
        <w:keepLines/>
      </w:pPr>
      <w:r>
        <w:t>Ratification Record</w:t>
      </w:r>
    </w:p>
    <w:p>
      <w:r>
        <w:t>No signature or mark below is prefilled. This section exists to prevent publication from being mistaken for ratification.</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shd w:fill="17324D"/>
            <w:tcMar>
              <w:top w:w="80" w:type="dxa"/>
              <w:start w:w="100" w:type="dxa"/>
              <w:bottom w:w="80" w:type="dxa"/>
              <w:end w:w="100" w:type="dxa"/>
            </w:tcMar>
            <w:vAlign w:val="center"/>
          </w:tcPr>
          <w:p>
            <w:r>
              <w:rPr>
                <w:b/>
                <w:color w:val="FFFFFF"/>
                <w:sz w:val="17"/>
              </w:rPr>
              <w:t>Disposition</w:t>
            </w:r>
          </w:p>
        </w:tc>
        <w:tc>
          <w:tcPr>
            <w:tcW w:type="dxa" w:w="4939"/>
            <w:shd w:fill="17324D"/>
            <w:tcMar>
              <w:top w:w="80" w:type="dxa"/>
              <w:start w:w="100" w:type="dxa"/>
              <w:bottom w:w="80" w:type="dxa"/>
              <w:end w:w="100" w:type="dxa"/>
            </w:tcMar>
            <w:vAlign w:val="center"/>
          </w:tcPr>
          <w:p>
            <w:r>
              <w:rPr>
                <w:b/>
                <w:color w:val="FFFFFF"/>
                <w:sz w:val="17"/>
              </w:rPr>
              <w:t>Selection / record</w:t>
            </w:r>
          </w:p>
        </w:tc>
      </w:tr>
      <w:tr>
        <w:trPr>
          <w:cantSplit/>
        </w:trPr>
        <w:tc>
          <w:tcPr>
            <w:tcW w:type="dxa" w:w="4939"/>
            <w:tcMar>
              <w:top w:w="80" w:type="dxa"/>
              <w:start w:w="100" w:type="dxa"/>
              <w:bottom w:w="80" w:type="dxa"/>
              <w:end w:w="100" w:type="dxa"/>
            </w:tcMar>
            <w:vAlign w:val="top"/>
          </w:tcPr>
          <w:p>
            <w:pPr>
              <w:spacing w:after="0"/>
            </w:pPr>
            <w:r>
              <w:rPr>
                <w:sz w:val="16"/>
              </w:rPr>
              <w:t>Decision</w:t>
            </w:r>
          </w:p>
        </w:tc>
        <w:tc>
          <w:tcPr>
            <w:tcW w:type="dxa" w:w="4939"/>
            <w:tcMar>
              <w:top w:w="80" w:type="dxa"/>
              <w:start w:w="100" w:type="dxa"/>
              <w:bottom w:w="80" w:type="dxa"/>
              <w:end w:w="100" w:type="dxa"/>
            </w:tcMar>
            <w:vAlign w:val="top"/>
          </w:tcPr>
          <w:p>
            <w:pPr>
              <w:spacing w:after="0"/>
            </w:pPr>
            <w:r>
              <w:rPr>
                <w:sz w:val="16"/>
              </w:rPr>
              <w:t>☐ Reject  ☐ Defer  ☐ Return for revision  ☐ Ratify Founding Doctrine only  ☐ Ratify Charter with modifications  ☐ Ratify Charter as written</w:t>
            </w:r>
          </w:p>
        </w:tc>
      </w:tr>
      <w:tr>
        <w:trPr>
          <w:cantSplit/>
        </w:trPr>
        <w:tc>
          <w:tcPr>
            <w:tcW w:type="dxa" w:w="4939"/>
            <w:tcMar>
              <w:top w:w="80" w:type="dxa"/>
              <w:start w:w="100" w:type="dxa"/>
              <w:bottom w:w="80" w:type="dxa"/>
              <w:end w:w="100" w:type="dxa"/>
            </w:tcMar>
            <w:vAlign w:val="top"/>
            <w:shd w:fill="F3F6F8"/>
          </w:tcPr>
          <w:p>
            <w:pPr>
              <w:spacing w:after="0"/>
            </w:pPr>
            <w:r>
              <w:rPr>
                <w:sz w:val="16"/>
              </w:rPr>
              <w:t>Scope activated</w:t>
            </w:r>
          </w:p>
        </w:tc>
        <w:tc>
          <w:tcPr>
            <w:tcW w:type="dxa" w:w="4939"/>
            <w:tcMar>
              <w:top w:w="80" w:type="dxa"/>
              <w:start w:w="100" w:type="dxa"/>
              <w:bottom w:w="80" w:type="dxa"/>
              <w:end w:w="100" w:type="dxa"/>
            </w:tcMar>
            <w:vAlign w:val="top"/>
            <w:shd w:fill="F3F6F8"/>
          </w:tcPr>
          <w:p>
            <w:pPr>
              <w:spacing w:after="0"/>
            </w:pPr>
            <w:r>
              <w:rPr>
                <w:sz w:val="16"/>
              </w:rPr>
              <w:t>____________________________________________________________</w:t>
            </w:r>
          </w:p>
        </w:tc>
      </w:tr>
      <w:tr>
        <w:trPr>
          <w:cantSplit/>
        </w:trPr>
        <w:tc>
          <w:tcPr>
            <w:tcW w:type="dxa" w:w="4939"/>
            <w:tcMar>
              <w:top w:w="80" w:type="dxa"/>
              <w:start w:w="100" w:type="dxa"/>
              <w:bottom w:w="80" w:type="dxa"/>
              <w:end w:w="100" w:type="dxa"/>
            </w:tcMar>
            <w:vAlign w:val="top"/>
          </w:tcPr>
          <w:p>
            <w:pPr>
              <w:spacing w:after="0"/>
            </w:pPr>
            <w:r>
              <w:rPr>
                <w:sz w:val="16"/>
              </w:rPr>
              <w:t>Conditions / modifications</w:t>
            </w:r>
          </w:p>
        </w:tc>
        <w:tc>
          <w:tcPr>
            <w:tcW w:type="dxa" w:w="4939"/>
            <w:tcMar>
              <w:top w:w="80" w:type="dxa"/>
              <w:start w:w="100" w:type="dxa"/>
              <w:bottom w:w="80" w:type="dxa"/>
              <w:end w:w="100" w:type="dxa"/>
            </w:tcMar>
            <w:vAlign w:val="top"/>
          </w:tcPr>
          <w:p>
            <w:pPr>
              <w:spacing w:after="0"/>
            </w:pPr>
            <w:r>
              <w:rPr>
                <w:sz w:val="16"/>
              </w:rPr>
              <w:t>____________________________________________________________</w:t>
              <w:br/>
              <w:t>____________________________________________________________</w:t>
            </w:r>
          </w:p>
        </w:tc>
      </w:tr>
      <w:tr>
        <w:trPr>
          <w:cantSplit/>
        </w:trPr>
        <w:tc>
          <w:tcPr>
            <w:tcW w:type="dxa" w:w="4939"/>
            <w:tcMar>
              <w:top w:w="80" w:type="dxa"/>
              <w:start w:w="100" w:type="dxa"/>
              <w:bottom w:w="80" w:type="dxa"/>
              <w:end w:w="100" w:type="dxa"/>
            </w:tcMar>
            <w:vAlign w:val="top"/>
            <w:shd w:fill="F3F6F8"/>
          </w:tcPr>
          <w:p>
            <w:pPr>
              <w:spacing w:after="0"/>
            </w:pPr>
            <w:r>
              <w:rPr>
                <w:sz w:val="16"/>
              </w:rPr>
              <w:t>Effective date / expiration</w:t>
            </w:r>
          </w:p>
        </w:tc>
        <w:tc>
          <w:tcPr>
            <w:tcW w:type="dxa" w:w="4939"/>
            <w:tcMar>
              <w:top w:w="80" w:type="dxa"/>
              <w:start w:w="100" w:type="dxa"/>
              <w:bottom w:w="80" w:type="dxa"/>
              <w:end w:w="100" w:type="dxa"/>
            </w:tcMar>
            <w:vAlign w:val="top"/>
            <w:shd w:fill="F3F6F8"/>
          </w:tcPr>
          <w:p>
            <w:pPr>
              <w:spacing w:after="0"/>
            </w:pPr>
            <w:r>
              <w:rPr>
                <w:sz w:val="16"/>
              </w:rPr>
              <w:t>____________________________________________________________</w:t>
            </w:r>
          </w:p>
        </w:tc>
      </w:tr>
      <w:tr>
        <w:trPr>
          <w:cantSplit/>
        </w:trPr>
        <w:tc>
          <w:tcPr>
            <w:tcW w:type="dxa" w:w="4939"/>
            <w:tcMar>
              <w:top w:w="80" w:type="dxa"/>
              <w:start w:w="100" w:type="dxa"/>
              <w:bottom w:w="80" w:type="dxa"/>
              <w:end w:w="100" w:type="dxa"/>
            </w:tcMar>
            <w:vAlign w:val="top"/>
          </w:tcPr>
          <w:p>
            <w:pPr>
              <w:spacing w:after="0"/>
            </w:pPr>
            <w:r>
              <w:rPr>
                <w:sz w:val="16"/>
              </w:rPr>
              <w:t>ONESTAMP authority record</w:t>
            </w:r>
          </w:p>
        </w:tc>
        <w:tc>
          <w:tcPr>
            <w:tcW w:type="dxa" w:w="4939"/>
            <w:tcMar>
              <w:top w:w="80" w:type="dxa"/>
              <w:start w:w="100" w:type="dxa"/>
              <w:bottom w:w="80" w:type="dxa"/>
              <w:end w:w="100" w:type="dxa"/>
            </w:tcMar>
            <w:vAlign w:val="top"/>
          </w:tcPr>
          <w:p>
            <w:pPr>
              <w:spacing w:after="0"/>
            </w:pPr>
            <w:r>
              <w:rPr>
                <w:sz w:val="16"/>
              </w:rPr>
              <w:t>____________________________________________________________</w:t>
            </w:r>
          </w:p>
        </w:tc>
      </w:tr>
      <w:tr>
        <w:trPr>
          <w:cantSplit/>
        </w:trPr>
        <w:tc>
          <w:tcPr>
            <w:tcW w:type="dxa" w:w="4939"/>
            <w:tcMar>
              <w:top w:w="80" w:type="dxa"/>
              <w:start w:w="100" w:type="dxa"/>
              <w:bottom w:w="80" w:type="dxa"/>
              <w:end w:w="100" w:type="dxa"/>
            </w:tcMar>
            <w:vAlign w:val="top"/>
            <w:shd w:fill="F3F6F8"/>
          </w:tcPr>
          <w:p>
            <w:pPr>
              <w:spacing w:after="0"/>
            </w:pPr>
            <w:r>
              <w:rPr>
                <w:sz w:val="16"/>
              </w:rPr>
              <w:t>Dissent acknowledged</w:t>
            </w:r>
          </w:p>
        </w:tc>
        <w:tc>
          <w:tcPr>
            <w:tcW w:type="dxa" w:w="4939"/>
            <w:tcMar>
              <w:top w:w="80" w:type="dxa"/>
              <w:start w:w="100" w:type="dxa"/>
              <w:bottom w:w="80" w:type="dxa"/>
              <w:end w:w="100" w:type="dxa"/>
            </w:tcMar>
            <w:vAlign w:val="top"/>
            <w:shd w:fill="F3F6F8"/>
          </w:tcPr>
          <w:p>
            <w:pPr>
              <w:spacing w:after="0"/>
            </w:pPr>
            <w:r>
              <w:rPr>
                <w:sz w:val="16"/>
              </w:rPr>
              <w:t>____________________________________________________________</w:t>
            </w:r>
          </w:p>
        </w:tc>
      </w:tr>
      <w:tr>
        <w:trPr>
          <w:cantSplit/>
        </w:trPr>
        <w:tc>
          <w:tcPr>
            <w:tcW w:type="dxa" w:w="4939"/>
            <w:tcMar>
              <w:top w:w="80" w:type="dxa"/>
              <w:start w:w="100" w:type="dxa"/>
              <w:bottom w:w="80" w:type="dxa"/>
              <w:end w:w="100" w:type="dxa"/>
            </w:tcMar>
            <w:vAlign w:val="top"/>
          </w:tcPr>
          <w:p>
            <w:pPr>
              <w:spacing w:after="0"/>
            </w:pPr>
            <w:r>
              <w:rPr>
                <w:sz w:val="16"/>
              </w:rPr>
              <w:t>Next mandatory review</w:t>
            </w:r>
          </w:p>
        </w:tc>
        <w:tc>
          <w:tcPr>
            <w:tcW w:type="dxa" w:w="4939"/>
            <w:tcMar>
              <w:top w:w="80" w:type="dxa"/>
              <w:start w:w="100" w:type="dxa"/>
              <w:bottom w:w="80" w:type="dxa"/>
              <w:end w:w="100" w:type="dxa"/>
            </w:tcMar>
            <w:vAlign w:val="top"/>
          </w:tcPr>
          <w:p>
            <w:pPr>
              <w:spacing w:after="0"/>
            </w:pPr>
            <w:r>
              <w:rPr>
                <w:sz w:val="16"/>
              </w:rPr>
              <w:t>____________________________________________________________</w:t>
            </w:r>
          </w:p>
        </w:tc>
      </w:tr>
    </w:tbl>
    <w:p>
      <w:pPr>
        <w:spacing w:after="20"/>
      </w:pPr>
    </w:p>
    <w:p>
      <w:pPr>
        <w:pStyle w:val="Heading1"/>
        <w:keepNext/>
        <w:keepLines/>
      </w:pPr>
      <w:r>
        <w:t>Preparer Attestation</w:t>
      </w:r>
    </w:p>
    <w:p>
      <w:r>
        <w:t>Prepared independently by Perplexity AI on September 23, 2026. This version is a bounded charter proposal developed from the supplied source corpus. It deliberately chooses chartering plus an internal test protocol as the next step because the corpus repeatedly identified the absence of a charter and the risk of continued meta-analysis without application. It does not claim to represent the unified position of the AI collaborative team or the ratified position of the Architect.</w:t>
      </w:r>
    </w:p>
    <w:p>
      <w:pPr>
        <w:pStyle w:val="DocumentMeta"/>
        <w:jc w:val="center"/>
      </w:pPr>
      <w:r>
        <w:t>END OF DOCUMENT</w:t>
      </w:r>
    </w:p>
    <w:sectPr w:rsidR="00FC693F" w:rsidRPr="0006063C" w:rsidSect="00034616">
      <w:headerReference w:type="default" r:id="rId9"/>
      <w:footerReference w:type="default" r:id="rId10"/>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770"/>
        <w:sz w:val="16"/>
      </w:rPr>
      <w:t xml:space="preserve">OAL-GAL-CH-PPLX-001-2026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08F"/>
        <w:sz w:val="15"/>
      </w:rPr>
      <w:t>OMNIVERSAL ARCHITECT LABS  /  GOVERNANCE AUTHORITY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B1F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608F"/>
      <w:sz w:val="27"/>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5C67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5C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pPr>
      <w:spacing w:after="100" w:line="252" w:lineRule="auto"/>
    </w:pPr>
    <w:rPr>
      <w:rFonts w:ascii="Aptos" w:hAnsi="Aptos"/>
      <w:b w:val="0"/>
      <w:i w:val="0"/>
      <w:color w:val="5C6770"/>
      <w:sz w:val="18"/>
    </w:rPr>
  </w:style>
  <w:style w:type="paragraph" w:customStyle="1" w:styleId="Callout">
    <w:name w:val="Callout"/>
    <w:pPr>
      <w:spacing w:after="100" w:line="252" w:lineRule="auto"/>
    </w:pPr>
    <w:rPr>
      <w:rFonts w:ascii="Aptos" w:hAnsi="Aptos"/>
      <w:b w:val="0"/>
      <w:i w:val="0"/>
      <w:color w:val="17324D"/>
      <w:sz w:val="20"/>
    </w:rPr>
  </w:style>
  <w:style w:type="paragraph" w:customStyle="1" w:styleId="CharterClause">
    <w:name w:val="Charter Clause"/>
    <w:pPr>
      <w:spacing w:after="100" w:line="252" w:lineRule="auto"/>
    </w:pPr>
    <w:rPr>
      <w:rFonts w:ascii="Aptos" w:hAnsi="Aptos"/>
      <w:b w:val="0"/>
      <w:i w:val="0"/>
      <w:color w:val="1B1F23"/>
      <w:sz w:val="20"/>
    </w:rPr>
  </w:style>
  <w:style w:type="paragraph" w:customStyle="1" w:styleId="SmallNote">
    <w:name w:val="Small Note"/>
    <w:pPr>
      <w:spacing w:after="100" w:line="252" w:lineRule="auto"/>
    </w:pPr>
    <w:rPr>
      <w:rFonts w:ascii="Aptos" w:hAnsi="Aptos"/>
      <w:b w:val="0"/>
      <w:i w:val="0"/>
      <w:color w:val="5C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