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b/>
          <w:bCs/>
          <w:color w:val="6E7B91"/>
          <w:sz w:val="20"/>
          <w:szCs w:val="20"/>
        </w:rPr>
        <w:t xml:space="preserve">OAL-GAL-CHARTER-2026-09-22-v1.0</w:t>
      </w:r>
    </w:p>
    <w:p>
      <w:pPr>
        <w:spacing w:after="0" w:before="200"/>
        <w:jc w:val="center"/>
      </w:pPr>
      <w:r>
        <w:rPr>
          <w:b/>
          <w:bCs/>
          <w:color w:val="1F3864"/>
          <w:sz w:val="42"/>
          <w:szCs w:val="42"/>
        </w:rPr>
        <w:t xml:space="preserve">GOVERNANCE AUTHORITY LABORATORY</w:t>
      </w:r>
    </w:p>
    <w:p>
      <w:pPr>
        <w:spacing w:after="0" w:before="80"/>
        <w:jc w:val="center"/>
      </w:pPr>
      <w:r>
        <w:rPr>
          <w:b/>
          <w:bCs/>
          <w:color w:val="1F3864"/>
          <w:sz w:val="30"/>
          <w:szCs w:val="30"/>
        </w:rPr>
        <w:t xml:space="preserve">FOUNDING CHARTER — PHASE ONE</w:t>
      </w:r>
    </w:p>
    <w:p>
      <w:pPr>
        <w:spacing w:after="500" w:before="120"/>
        <w:jc w:val="center"/>
      </w:pPr>
      <w:r>
        <w:rPr>
          <w:i/>
          <w:iCs/>
          <w:color w:val="2E5395"/>
          <w:sz w:val="24"/>
          <w:szCs w:val="24"/>
        </w:rPr>
        <w:t xml:space="preserve">Laboratory A: Charter Reflexivity — Scope, Definitions, Authority Gradient, Information Admissibility, and First Test Case</w:t>
      </w:r>
    </w:p>
    <w:p>
      <w:pPr>
        <w:spacing w:after="800" w:before="120"/>
        <w:jc w:val="center"/>
      </w:pPr>
      <w:r>
        <w:rPr>
          <w:color w:val="444444"/>
          <w:sz w:val="22"/>
          <w:szCs w:val="22"/>
        </w:rPr>
        <w:t xml:space="preserve">Claude's Independent Draft Charter, Submitted for ONESTAMP Ratification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c>
          <w:tcPr>
            <w:tcW w:type="dxa" w:w="2400"/>
            <w:shd w:fill="1F3864" w:val="clear"/>
            <w:tcMar>
              <w:top w:type="dxa" w:w="100"/>
              <w:left w:type="dxa" w:w="150"/>
              <w:bottom w:type="dxa" w:w="100"/>
              <w:right w:type="dxa" w:w="150"/>
            </w:tcMar>
          </w:tcPr>
          <w:p>
            <w:r>
              <w:rPr>
                <w:b/>
                <w:bCs/>
                <w:color w:val="FFFFFF"/>
                <w:sz w:val="20"/>
                <w:szCs w:val="20"/>
              </w:rPr>
              <w:t xml:space="preserve">Title</w:t>
            </w:r>
          </w:p>
        </w:tc>
        <w:tc>
          <w:tcPr>
            <w:tcW w:type="dxa" w:w="7000"/>
            <w:tcMar>
              <w:top w:type="dxa" w:w="100"/>
              <w:left w:type="dxa" w:w="150"/>
              <w:bottom w:type="dxa" w:w="100"/>
              <w:right w:type="dxa" w:w="150"/>
            </w:tcMar>
          </w:tcPr>
          <w:p>
            <w:r>
              <w:rPr>
                <w:sz w:val="20"/>
                <w:szCs w:val="20"/>
              </w:rPr>
              <w:t xml:space="preserve">Governance Authority Laboratory — Founding Charter, Phase One (Laboratory A)</w:t>
            </w:r>
          </w:p>
        </w:tc>
      </w:tr>
      <w:tr>
        <w:tc>
          <w:tcPr>
            <w:tcW w:type="dxa" w:w="2400"/>
            <w:shd w:fill="1F3864" w:val="clear"/>
            <w:tcMar>
              <w:top w:type="dxa" w:w="100"/>
              <w:left w:type="dxa" w:w="150"/>
              <w:bottom w:type="dxa" w:w="100"/>
              <w:right w:type="dxa" w:w="150"/>
            </w:tcMar>
          </w:tcPr>
          <w:p>
            <w:r>
              <w:rPr>
                <w:b/>
                <w:bCs/>
                <w:color w:val="FFFFFF"/>
                <w:sz w:val="20"/>
                <w:szCs w:val="20"/>
              </w:rPr>
              <w:t xml:space="preserve">Version</w:t>
            </w:r>
          </w:p>
        </w:tc>
        <w:tc>
          <w:tcPr>
            <w:tcW w:type="dxa" w:w="7000"/>
            <w:tcMar>
              <w:top w:type="dxa" w:w="100"/>
              <w:left w:type="dxa" w:w="150"/>
              <w:bottom w:type="dxa" w:w="100"/>
              <w:right w:type="dxa" w:w="150"/>
            </w:tcMar>
          </w:tcPr>
          <w:p>
            <w:r>
              <w:rPr>
                <w:sz w:val="20"/>
                <w:szCs w:val="20"/>
              </w:rPr>
              <w:t xml:space="preserve">OAL-GAL-CHARTER-2026-09-22, v1.0</w:t>
            </w:r>
          </w:p>
        </w:tc>
      </w:tr>
      <w:tr>
        <w:tc>
          <w:tcPr>
            <w:tcW w:type="dxa" w:w="2400"/>
            <w:shd w:fill="1F3864" w:val="clear"/>
            <w:tcMar>
              <w:top w:type="dxa" w:w="100"/>
              <w:left w:type="dxa" w:w="150"/>
              <w:bottom w:type="dxa" w:w="100"/>
              <w:right w:type="dxa" w:w="150"/>
            </w:tcMar>
          </w:tcPr>
          <w:p>
            <w:r>
              <w:rPr>
                <w:b/>
                <w:bCs/>
                <w:color w:val="FFFFFF"/>
                <w:sz w:val="20"/>
                <w:szCs w:val="20"/>
              </w:rPr>
              <w:t xml:space="preserve">Date</w:t>
            </w:r>
          </w:p>
        </w:tc>
        <w:tc>
          <w:tcPr>
            <w:tcW w:type="dxa" w:w="7000"/>
            <w:tcMar>
              <w:top w:type="dxa" w:w="100"/>
              <w:left w:type="dxa" w:w="150"/>
              <w:bottom w:type="dxa" w:w="100"/>
              <w:right w:type="dxa" w:w="150"/>
            </w:tcMar>
          </w:tcPr>
          <w:p>
            <w:r>
              <w:rPr>
                <w:sz w:val="20"/>
                <w:szCs w:val="20"/>
              </w:rPr>
              <w:t xml:space="preserve">September 22, 2026</w:t>
            </w:r>
          </w:p>
        </w:tc>
      </w:tr>
      <w:tr>
        <w:tc>
          <w:tcPr>
            <w:tcW w:type="dxa" w:w="2400"/>
            <w:shd w:fill="1F3864" w:val="clear"/>
            <w:tcMar>
              <w:top w:type="dxa" w:w="100"/>
              <w:left w:type="dxa" w:w="150"/>
              <w:bottom w:type="dxa" w:w="100"/>
              <w:right w:type="dxa" w:w="150"/>
            </w:tcMar>
          </w:tcPr>
          <w:p>
            <w:r>
              <w:rPr>
                <w:b/>
                <w:bCs/>
                <w:color w:val="FFFFFF"/>
                <w:sz w:val="20"/>
                <w:szCs w:val="20"/>
              </w:rPr>
              <w:t xml:space="preserve">Prepared by</w:t>
            </w:r>
          </w:p>
        </w:tc>
        <w:tc>
          <w:tcPr>
            <w:tcW w:type="dxa" w:w="7000"/>
            <w:tcMar>
              <w:top w:type="dxa" w:w="100"/>
              <w:left w:type="dxa" w:w="150"/>
              <w:bottom w:type="dxa" w:w="100"/>
              <w:right w:type="dxa" w:w="150"/>
            </w:tcMar>
          </w:tcPr>
          <w:p>
            <w:r>
              <w:rPr>
                <w:sz w:val="20"/>
                <w:szCs w:val="20"/>
              </w:rPr>
              <w:t xml:space="preserve">Claude (Anthropic) — Primary Audit and Documentation Layer, OAL</w:t>
            </w:r>
          </w:p>
        </w:tc>
      </w:tr>
      <w:tr>
        <w:tc>
          <w:tcPr>
            <w:tcW w:type="dxa" w:w="2400"/>
            <w:shd w:fill="1F3864" w:val="clear"/>
            <w:tcMar>
              <w:top w:type="dxa" w:w="100"/>
              <w:left w:type="dxa" w:w="150"/>
              <w:bottom w:type="dxa" w:w="100"/>
              <w:right w:type="dxa" w:w="150"/>
            </w:tcMar>
          </w:tcPr>
          <w:p>
            <w:r>
              <w:rPr>
                <w:b/>
                <w:bCs/>
                <w:color w:val="FFFFFF"/>
                <w:sz w:val="20"/>
                <w:szCs w:val="20"/>
              </w:rPr>
              <w:t xml:space="preserve">Nature of this document</w:t>
            </w:r>
          </w:p>
        </w:tc>
        <w:tc>
          <w:tcPr>
            <w:tcW w:type="dxa" w:w="7000"/>
            <w:tcMar>
              <w:top w:type="dxa" w:w="100"/>
              <w:left w:type="dxa" w:w="150"/>
              <w:bottom w:type="dxa" w:w="100"/>
              <w:right w:type="dxa" w:w="150"/>
            </w:tcMar>
          </w:tcPr>
          <w:p>
            <w:r>
              <w:rPr>
                <w:sz w:val="20"/>
                <w:szCs w:val="20"/>
              </w:rPr>
              <w:t xml:space="preserve">This is Claude's own independent charter draft, not a synthesis or a vote among the other AI collaborators' recommendations. Where it adopts a prior contributor's language or structure, that is credited by name. It is offered as one candidate charter among however many the Architect chooses to compare.</w:t>
            </w:r>
          </w:p>
        </w:tc>
      </w:tr>
      <w:tr>
        <w:tc>
          <w:tcPr>
            <w:tcW w:type="dxa" w:w="2400"/>
            <w:shd w:fill="1F3864" w:val="clear"/>
            <w:tcMar>
              <w:top w:type="dxa" w:w="100"/>
              <w:left w:type="dxa" w:w="150"/>
              <w:bottom w:type="dxa" w:w="100"/>
              <w:right w:type="dxa" w:w="150"/>
            </w:tcMar>
          </w:tcPr>
          <w:p>
            <w:r>
              <w:rPr>
                <w:b/>
                <w:bCs/>
                <w:color w:val="FFFFFF"/>
                <w:sz w:val="20"/>
                <w:szCs w:val="20"/>
              </w:rPr>
              <w:t xml:space="preserve">Source material</w:t>
            </w:r>
          </w:p>
        </w:tc>
        <w:tc>
          <w:tcPr>
            <w:tcW w:type="dxa" w:w="7000"/>
            <w:tcMar>
              <w:top w:type="dxa" w:w="100"/>
              <w:left w:type="dxa" w:w="150"/>
              <w:bottom w:type="dxa" w:w="100"/>
              <w:right w:type="dxa" w:w="150"/>
            </w:tcMar>
          </w:tcPr>
          <w:p>
            <w:r>
              <w:rPr>
                <w:sz w:val="20"/>
                <w:szCs w:val="20"/>
              </w:rPr>
              <w:t xml:space="preserve">The full Truthspeaker and Governance Authority Laboratory document corpus (ChatGPT, Gemini, Copilot, Perplexity, Grok, and Claude's own prior analyses), plus the attached UIARC draft and its precursor information-collection document</w:t>
            </w:r>
          </w:p>
        </w:tc>
      </w:tr>
      <w:tr>
        <w:tc>
          <w:tcPr>
            <w:tcW w:type="dxa" w:w="2400"/>
            <w:shd w:fill="1F3864" w:val="clear"/>
            <w:tcMar>
              <w:top w:type="dxa" w:w="100"/>
              <w:left w:type="dxa" w:w="150"/>
              <w:bottom w:type="dxa" w:w="100"/>
              <w:right w:type="dxa" w:w="150"/>
            </w:tcMar>
          </w:tcPr>
          <w:p>
            <w:r>
              <w:rPr>
                <w:b/>
                <w:bCs/>
                <w:color w:val="FFFFFF"/>
                <w:sz w:val="20"/>
                <w:szCs w:val="20"/>
              </w:rPr>
              <w:t xml:space="preserve">Status</w:t>
            </w:r>
          </w:p>
        </w:tc>
        <w:tc>
          <w:tcPr>
            <w:tcW w:type="dxa" w:w="7000"/>
            <w:tcMar>
              <w:top w:type="dxa" w:w="100"/>
              <w:left w:type="dxa" w:w="150"/>
              <w:bottom w:type="dxa" w:w="100"/>
              <w:right w:type="dxa" w:w="150"/>
            </w:tcMar>
          </w:tcPr>
          <w:p>
            <w:r>
              <w:rPr>
                <w:sz w:val="20"/>
                <w:szCs w:val="20"/>
              </w:rPr>
              <w:t xml:space="preserve">REPORTED — UNRATIFIED — pending Nathan's review and ONESTAMP ratification. Nothing in this charter is binding until ratified.</w:t>
            </w:r>
          </w:p>
        </w:tc>
      </w:tr>
    </w:tbl>
    <w:p>
      <w:r>
        <w:br w:type="page"/>
      </w:r>
    </w:p>
    <w:p>
      <w:pPr>
        <w:pStyle w:val="Heading1"/>
        <w:pBdr>
          <w:bottom w:val="single" w:color="1F3864" w:sz="6"/>
        </w:pBdr>
        <w:spacing w:after="160" w:before="360"/>
      </w:pPr>
      <w:r>
        <w:rPr>
          <w:b/>
          <w:bCs/>
          <w:color w:val="1F3864"/>
          <w:sz w:val="30"/>
          <w:szCs w:val="30"/>
        </w:rPr>
        <w:t xml:space="preserve">Preparer's Note</w:t>
      </w:r>
    </w:p>
    <w:p>
      <w:pPr>
        <w:spacing w:after="160" w:line="276"/>
      </w:pPr>
      <w:r>
        <w:rPr>
          <w:sz w:val="22"/>
          <w:szCs w:val="22"/>
        </w:rPr>
        <w:t xml:space="preserve">Every prior document in this corpus — mine included — has recommended drafting a founding charter and then stopped short of drafting one. This document does not repeat that recommendation. It is the charter, offered as my own independent draft rather than a merged consensus, exactly as the Architect asked. It is deliberately narrower than the full ambition of the Governance Authority Laboratory as discussed across the corpus: it charters Laboratory A only — the reflexive, OAL-internal laboratory that Grok's document first proposed and that Gemini, Perplexity, and Copilot's own syntheses independently endorsed. Laboratory B (comparative modeling of external and fictional systems) and Laboratory C (contested external review) are named but explicitly not chartered here. Everything this document does not grant, it treats as withheld, not merely undiscussed.</w:t>
      </w:r>
    </w:p>
    <w:p>
      <w:pPr>
        <w:pStyle w:val="Heading1"/>
        <w:pBdr>
          <w:bottom w:val="single" w:color="1F3864" w:sz="6"/>
        </w:pBdr>
        <w:spacing w:after="160" w:before="360"/>
      </w:pPr>
      <w:r>
        <w:rPr>
          <w:b/>
          <w:bCs/>
          <w:color w:val="1F3864"/>
          <w:sz w:val="30"/>
          <w:szCs w:val="30"/>
        </w:rPr>
        <w:t xml:space="preserve">Part I — Preamble and Non-Claims</w:t>
      </w:r>
    </w:p>
    <w:p>
      <w:pPr>
        <w:spacing w:after="160" w:line="276"/>
      </w:pPr>
      <w:r>
        <w:rPr>
          <w:sz w:val="22"/>
          <w:szCs w:val="22"/>
        </w:rPr>
        <w:t xml:space="preserve">This Charter governs Laboratory A only: the Governance Authority Laboratory's reflexive study of OAL's own artifacts, records, and collaborative processes. It preserves, verbatim in substance, the founding conditions the Architect stated at the outset of this project:</w:t>
      </w:r>
    </w:p>
    <w:p>
      <w:pPr>
        <w:pBdr>
          <w:left w:val="single" w:color="9DB4CE" w:sz="12"/>
        </w:pBdr>
        <w:spacing w:after="200" w:line="276"/>
        <w:ind w:left="360"/>
      </w:pPr>
      <w:r>
        <w:rPr>
          <w:i/>
          <w:iCs/>
          <w:color w:val="333333"/>
          <w:sz w:val="21"/>
          <w:szCs w:val="21"/>
        </w:rPr>
        <w:t xml:space="preserve">The laboratory does not claim that human governance is a primary reference frame, that it is universal, has positive regard, is an effective means of governance, will be prevalent or successful in human systems, is reliable, or has been proven superior to other systems by any means.</w:t>
      </w:r>
    </w:p>
    <w:p>
      <w:pPr>
        <w:pBdr>
          <w:left w:val="single" w:color="9DB4CE" w:sz="12"/>
        </w:pBdr>
        <w:spacing w:after="200" w:line="276"/>
        <w:ind w:left="360"/>
      </w:pPr>
      <w:r>
        <w:rPr>
          <w:i/>
          <w:iCs/>
          <w:color w:val="333333"/>
          <w:sz w:val="21"/>
          <w:szCs w:val="21"/>
        </w:rPr>
        <w:t xml:space="preserve">Authority under this Charter does not go unchecked. It is not a free-for-all. No holder of authority under this Charter may do whatever it wishes. Power granted here is neither total nor absolute. What was given can be taken away.</w:t>
      </w:r>
    </w:p>
    <w:p>
      <w:pPr>
        <w:spacing w:after="160" w:line="276"/>
      </w:pPr>
      <w:r>
        <w:rPr>
          <w:sz w:val="22"/>
          <w:szCs w:val="22"/>
        </w:rPr>
        <w:t xml:space="preserve">This Charter treats both statements as binding design constraints, not introductory language. Section 4 below operationalizes the second one; Part V operationalizes the first.</w:t>
      </w:r>
    </w:p>
    <w:p>
      <w:pPr>
        <w:pStyle w:val="Heading1"/>
        <w:pBdr>
          <w:bottom w:val="single" w:color="1F3864" w:sz="6"/>
        </w:pBdr>
        <w:spacing w:after="160" w:before="360"/>
      </w:pPr>
      <w:r>
        <w:rPr>
          <w:b/>
          <w:bCs/>
          <w:color w:val="1F3864"/>
          <w:sz w:val="30"/>
          <w:szCs w:val="30"/>
        </w:rPr>
        <w:t xml:space="preserve">Part II — Scope</w:t>
      </w:r>
    </w:p>
    <w:p>
      <w:pPr>
        <w:pStyle w:val="Heading2"/>
        <w:spacing w:after="120" w:before="260"/>
      </w:pPr>
      <w:r>
        <w:rPr>
          <w:b/>
          <w:bCs/>
          <w:color w:val="2E5395"/>
          <w:sz w:val="24"/>
          <w:szCs w:val="24"/>
        </w:rPr>
        <w:t xml:space="preserve">2.1 What this Charter governs</w:t>
      </w:r>
    </w:p>
    <w:p>
      <w:pPr>
        <w:pStyle w:val="ListParagraph"/>
        <w:numPr>
          <w:ilvl w:val="0"/>
          <w:numId w:val="2"/>
        </w:numPr>
        <w:spacing w:after="90" w:line="276"/>
      </w:pPr>
      <w:r>
        <w:rPr>
          <w:sz w:val="22"/>
          <w:szCs w:val="22"/>
        </w:rPr>
        <w:t xml:space="preserve">OAL's own founding and governance documents, including this document series and the Truthspeaker corpus.</w:t>
      </w:r>
    </w:p>
    <w:p>
      <w:pPr>
        <w:pStyle w:val="ListParagraph"/>
        <w:numPr>
          <w:ilvl w:val="0"/>
          <w:numId w:val="2"/>
        </w:numPr>
        <w:spacing w:after="90" w:line="276"/>
      </w:pPr>
      <w:r>
        <w:rPr>
          <w:sz w:val="22"/>
          <w:szCs w:val="22"/>
        </w:rPr>
        <w:t xml:space="preserve">OAL, ONE Industries, and Lewis Corp artifacts, drafts, simulations, and fictional constructs owned or authored within OAL's domain.</w:t>
      </w:r>
    </w:p>
    <w:p>
      <w:pPr>
        <w:pStyle w:val="ListParagraph"/>
        <w:numPr>
          <w:ilvl w:val="0"/>
          <w:numId w:val="2"/>
        </w:numPr>
        <w:spacing w:after="90" w:line="276"/>
      </w:pPr>
      <w:r>
        <w:rPr>
          <w:sz w:val="22"/>
          <w:szCs w:val="22"/>
        </w:rPr>
        <w:t xml:space="preserve">The OAL AI collaborative process itself — the multi-model drafting, review, and dissent-logging practice that produced this corpus.</w:t>
      </w:r>
    </w:p>
    <w:p>
      <w:pPr>
        <w:pStyle w:val="Heading2"/>
        <w:spacing w:after="120" w:before="260"/>
      </w:pPr>
      <w:r>
        <w:rPr>
          <w:b/>
          <w:bCs/>
          <w:color w:val="2E5395"/>
          <w:sz w:val="24"/>
          <w:szCs w:val="24"/>
        </w:rPr>
        <w:t xml:space="preserve">2.2 What this Charter does not govern</w:t>
      </w:r>
    </w:p>
    <w:p>
      <w:pPr>
        <w:spacing w:after="160" w:line="276"/>
      </w:pPr>
      <w:r>
        <w:rPr>
          <w:sz w:val="22"/>
          <w:szCs w:val="22"/>
        </w:rPr>
        <w:t xml:space="preserve">This Charter grants no standing whatsoever over any system that did not appoint, invite, or contractually bind itself to OAL's review — fictional, simulated, or real. An internal instruction from the Architect (“Yes, you may review governance and authority structures”) is treated under this Charter as an internal work order, not as jurisdiction that travels outward. This follows Grok's distinction directly: capability plus an unaddressed system's incapacity to self-review does not equal permission to enter it.</w:t>
      </w:r>
    </w:p>
    <w:p>
      <w:pPr>
        <w:pStyle w:val="Heading2"/>
        <w:spacing w:after="120" w:before="260"/>
      </w:pPr>
      <w:r>
        <w:rPr>
          <w:b/>
          <w:bCs/>
          <w:color w:val="2E5395"/>
          <w:sz w:val="24"/>
          <w:szCs w:val="24"/>
        </w:rPr>
        <w:t xml:space="preserve">2.3 Deferred: Laboratory B and Laboratory C</w:t>
      </w:r>
    </w:p>
    <w:p>
      <w:pPr>
        <w:pStyle w:val="ListParagraph"/>
        <w:numPr>
          <w:ilvl w:val="0"/>
          <w:numId w:val="2"/>
        </w:numPr>
        <w:spacing w:after="90" w:line="276"/>
      </w:pPr>
      <w:r>
        <w:rPr>
          <w:sz w:val="22"/>
          <w:szCs w:val="22"/>
        </w:rPr>
        <w:t xml:space="preserve">Laboratory B (Comparative Authority Modeling) — the study of external, fictional, simulated, or invited systems by comparison and replica — is named but not chartered by this document. It requires its own charter before any work under that name begins.</w:t>
      </w:r>
    </w:p>
    <w:p>
      <w:pPr>
        <w:pStyle w:val="ListParagraph"/>
        <w:numPr>
          <w:ilvl w:val="0"/>
          <w:numId w:val="2"/>
        </w:numPr>
        <w:spacing w:after="90" w:line="276"/>
      </w:pPr>
      <w:r>
        <w:rPr>
          <w:sz w:val="22"/>
          <w:szCs w:val="22"/>
        </w:rPr>
        <w:t xml:space="preserve">Laboratory C (Contested External Review) — review of a system that has not invited it — is not chartered, is not contemplated as chartered in the foreseeable future, and this Charter explicitly recommends it remain unbuilt until Laboratory A has completed and published at least one full internal review cycle.</w:t>
      </w:r>
    </w:p>
    <w:p>
      <w:pPr>
        <w:pStyle w:val="Heading1"/>
        <w:pBdr>
          <w:bottom w:val="single" w:color="1F3864" w:sz="6"/>
        </w:pBdr>
        <w:spacing w:after="160" w:before="360"/>
      </w:pPr>
      <w:r>
        <w:rPr>
          <w:b/>
          <w:bCs/>
          <w:color w:val="1F3864"/>
          <w:sz w:val="30"/>
          <w:szCs w:val="30"/>
        </w:rPr>
        <w:t xml:space="preserve">Part III — Definitions</w:t>
      </w:r>
    </w:p>
    <w:p>
      <w:pPr>
        <w:spacing w:after="160" w:line="276"/>
      </w:pPr>
      <w:r>
        <w:rPr>
          <w:sz w:val="22"/>
          <w:szCs w:val="22"/>
        </w:rPr>
        <w:t xml:space="preserve">Each term below is given a working definition for Laboratory A's use, paired with the human-derived-vocabulary caveat that the corpus, across ChatGPT's, Perplexity's, and this preparer's own prior documents, converged on as necessary. The pairing itself — a working term plus its substrate-neutral function — is adopted as a standing discipline: neither field replaces the other.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E5395" w:val="clear"/>
            <w:tcMar>
              <w:top w:type="dxa" w:w="80"/>
              <w:left w:type="dxa" w:w="100"/>
              <w:bottom w:type="dxa" w:w="80"/>
              <w:right w:type="dxa" w:w="100"/>
            </w:tcMar>
          </w:tcPr>
          <w:p>
            <w:r>
              <w:rPr>
                <w:b/>
                <w:bCs/>
                <w:color w:val="FFFFFF"/>
                <w:sz w:val="18"/>
                <w:szCs w:val="18"/>
              </w:rPr>
              <w:t xml:space="preserve">Term</w:t>
            </w:r>
          </w:p>
        </w:tc>
        <w:tc>
          <w:tcPr>
            <w:shd w:fill="2E5395" w:val="clear"/>
            <w:tcMar>
              <w:top w:type="dxa" w:w="80"/>
              <w:left w:type="dxa" w:w="100"/>
              <w:bottom w:type="dxa" w:w="80"/>
              <w:right w:type="dxa" w:w="100"/>
            </w:tcMar>
          </w:tcPr>
          <w:p>
            <w:r>
              <w:rPr>
                <w:b/>
                <w:bCs/>
                <w:color w:val="FFFFFF"/>
                <w:sz w:val="18"/>
                <w:szCs w:val="18"/>
              </w:rPr>
              <w:t xml:space="preserve">Working definition (Laboratory A use)</w:t>
            </w:r>
          </w:p>
        </w:tc>
        <w:tc>
          <w:tcPr>
            <w:shd w:fill="2E5395" w:val="clear"/>
            <w:tcMar>
              <w:top w:type="dxa" w:w="80"/>
              <w:left w:type="dxa" w:w="100"/>
              <w:bottom w:type="dxa" w:w="80"/>
              <w:right w:type="dxa" w:w="100"/>
            </w:tcMar>
          </w:tcPr>
          <w:p>
            <w:r>
              <w:rPr>
                <w:b/>
                <w:bCs/>
                <w:color w:val="FFFFFF"/>
                <w:sz w:val="18"/>
                <w:szCs w:val="18"/>
              </w:rPr>
              <w:t xml:space="preserve">Caveat / substrate-neutral note</w:t>
            </w:r>
          </w:p>
        </w:tc>
      </w:tr>
      <w:tr>
        <w:tc>
          <w:tcPr>
            <w:tcMar>
              <w:top w:type="dxa" w:w="80"/>
              <w:left w:type="dxa" w:w="100"/>
              <w:bottom w:type="dxa" w:w="80"/>
              <w:right w:type="dxa" w:w="100"/>
            </w:tcMar>
          </w:tcPr>
          <w:p>
            <w:r>
              <w:rPr>
                <w:sz w:val="18"/>
                <w:szCs w:val="18"/>
              </w:rPr>
              <w:t xml:space="preserve">Governance</w:t>
            </w:r>
          </w:p>
        </w:tc>
        <w:tc>
          <w:tcPr>
            <w:tcMar>
              <w:top w:type="dxa" w:w="80"/>
              <w:left w:type="dxa" w:w="100"/>
              <w:bottom w:type="dxa" w:w="80"/>
              <w:right w:type="dxa" w:w="100"/>
            </w:tcMar>
          </w:tcPr>
          <w:p>
            <w:r>
              <w:rPr>
                <w:sz w:val="18"/>
                <w:szCs w:val="18"/>
              </w:rPr>
              <w:t xml:space="preserve">Any mechanism by which a system coordinates, constrains, allocates, authorizes, sequences, or changes consequential action.</w:t>
            </w:r>
          </w:p>
        </w:tc>
        <w:tc>
          <w:tcPr>
            <w:tcMar>
              <w:top w:type="dxa" w:w="80"/>
              <w:left w:type="dxa" w:w="100"/>
              <w:bottom w:type="dxa" w:w="80"/>
              <w:right w:type="dxa" w:w="100"/>
            </w:tcMar>
          </w:tcPr>
          <w:p>
            <w:r>
              <w:rPr>
                <w:sz w:val="18"/>
                <w:szCs w:val="18"/>
              </w:rPr>
              <w:t xml:space="preserve">Does not require a governor, law, or human-style institution.</w:t>
            </w:r>
          </w:p>
        </w:tc>
      </w:tr>
      <w:tr>
        <w:tc>
          <w:tcPr>
            <w:tcMar>
              <w:top w:type="dxa" w:w="80"/>
              <w:left w:type="dxa" w:w="100"/>
              <w:bottom w:type="dxa" w:w="80"/>
              <w:right w:type="dxa" w:w="100"/>
            </w:tcMar>
          </w:tcPr>
          <w:p>
            <w:r>
              <w:rPr>
                <w:sz w:val="18"/>
                <w:szCs w:val="18"/>
              </w:rPr>
              <w:t xml:space="preserve">Authority</w:t>
            </w:r>
          </w:p>
        </w:tc>
        <w:tc>
          <w:tcPr>
            <w:tcMar>
              <w:top w:type="dxa" w:w="80"/>
              <w:left w:type="dxa" w:w="100"/>
              <w:bottom w:type="dxa" w:w="80"/>
              <w:right w:type="dxa" w:w="100"/>
            </w:tcMar>
          </w:tcPr>
          <w:p>
            <w:r>
              <w:rPr>
                <w:sz w:val="18"/>
                <w:szCs w:val="18"/>
              </w:rPr>
              <w:t xml:space="preserve">A relation in which an actor, rule, process, or architecture can make a determination consequential for other entities or states.</w:t>
            </w:r>
          </w:p>
        </w:tc>
        <w:tc>
          <w:tcPr>
            <w:tcMar>
              <w:top w:type="dxa" w:w="80"/>
              <w:left w:type="dxa" w:w="100"/>
              <w:bottom w:type="dxa" w:w="80"/>
              <w:right w:type="dxa" w:w="100"/>
            </w:tcMar>
          </w:tcPr>
          <w:p>
            <w:r>
              <w:rPr>
                <w:sz w:val="18"/>
                <w:szCs w:val="18"/>
              </w:rPr>
              <w:t xml:space="preserve">Capacity, recognition, legitimacy, and correctness are separate variables and must not be inferred from one another.</w:t>
            </w:r>
          </w:p>
        </w:tc>
      </w:tr>
      <w:tr>
        <w:tc>
          <w:tcPr>
            <w:tcMar>
              <w:top w:type="dxa" w:w="80"/>
              <w:left w:type="dxa" w:w="100"/>
              <w:bottom w:type="dxa" w:w="80"/>
              <w:right w:type="dxa" w:w="100"/>
            </w:tcMar>
          </w:tcPr>
          <w:p>
            <w:r>
              <w:rPr>
                <w:sz w:val="18"/>
                <w:szCs w:val="18"/>
              </w:rPr>
              <w:t xml:space="preserve">Standing</w:t>
            </w:r>
          </w:p>
        </w:tc>
        <w:tc>
          <w:tcPr>
            <w:tcMar>
              <w:top w:type="dxa" w:w="80"/>
              <w:left w:type="dxa" w:w="100"/>
              <w:bottom w:type="dxa" w:w="80"/>
              <w:right w:type="dxa" w:w="100"/>
            </w:tcMar>
          </w:tcPr>
          <w:p>
            <w:r>
              <w:rPr>
                <w:sz w:val="18"/>
                <w:szCs w:val="18"/>
              </w:rPr>
              <w:t xml:space="preserve">The stated basis on which Laboratory A may observe, describe, evaluate, or advise on a given object.</w:t>
            </w:r>
          </w:p>
        </w:tc>
        <w:tc>
          <w:tcPr>
            <w:tcMar>
              <w:top w:type="dxa" w:w="80"/>
              <w:left w:type="dxa" w:w="100"/>
              <w:bottom w:type="dxa" w:w="80"/>
              <w:right w:type="dxa" w:w="100"/>
            </w:tcMar>
          </w:tcPr>
          <w:p>
            <w:r>
              <w:rPr>
                <w:sz w:val="18"/>
                <w:szCs w:val="18"/>
              </w:rPr>
              <w:t xml:space="preserve">Must be stated, never inferred from power, expertise, or the target's incapacity to object.</w:t>
            </w:r>
          </w:p>
        </w:tc>
      </w:tr>
      <w:tr>
        <w:tc>
          <w:tcPr>
            <w:tcMar>
              <w:top w:type="dxa" w:w="80"/>
              <w:left w:type="dxa" w:w="100"/>
              <w:bottom w:type="dxa" w:w="80"/>
              <w:right w:type="dxa" w:w="100"/>
            </w:tcMar>
          </w:tcPr>
          <w:p>
            <w:r>
              <w:rPr>
                <w:sz w:val="18"/>
                <w:szCs w:val="18"/>
              </w:rPr>
              <w:t xml:space="preserve">Recognition</w:t>
            </w:r>
          </w:p>
        </w:tc>
        <w:tc>
          <w:tcPr>
            <w:tcMar>
              <w:top w:type="dxa" w:w="80"/>
              <w:left w:type="dxa" w:w="100"/>
              <w:bottom w:type="dxa" w:w="80"/>
              <w:right w:type="dxa" w:w="100"/>
            </w:tcMar>
          </w:tcPr>
          <w:p>
            <w:r>
              <w:rPr>
                <w:sz w:val="18"/>
                <w:szCs w:val="18"/>
              </w:rPr>
              <w:t xml:space="preserve">The provisional classification of an observed relation as governance or authority.</w:t>
            </w:r>
          </w:p>
        </w:tc>
        <w:tc>
          <w:tcPr>
            <w:tcMar>
              <w:top w:type="dxa" w:w="80"/>
              <w:left w:type="dxa" w:w="100"/>
              <w:bottom w:type="dxa" w:w="80"/>
              <w:right w:type="dxa" w:w="100"/>
            </w:tcMar>
          </w:tcPr>
          <w:p>
            <w:r>
              <w:rPr>
                <w:sz w:val="18"/>
                <w:szCs w:val="18"/>
              </w:rPr>
              <w:t xml:space="preserve">A misclassification (importing a human institutional label where none applies) is a distinct failure from a standing failure, and neither validates the other.</w:t>
            </w:r>
          </w:p>
        </w:tc>
      </w:tr>
      <w:tr>
        <w:tc>
          <w:tcPr>
            <w:tcMar>
              <w:top w:type="dxa" w:w="80"/>
              <w:left w:type="dxa" w:w="100"/>
              <w:bottom w:type="dxa" w:w="80"/>
              <w:right w:type="dxa" w:w="100"/>
            </w:tcMar>
          </w:tcPr>
          <w:p>
            <w:r>
              <w:rPr>
                <w:sz w:val="18"/>
                <w:szCs w:val="18"/>
              </w:rPr>
              <w:t xml:space="preserve">Review</w:t>
            </w:r>
          </w:p>
        </w:tc>
        <w:tc>
          <w:tcPr>
            <w:tcMar>
              <w:top w:type="dxa" w:w="80"/>
              <w:left w:type="dxa" w:w="100"/>
              <w:bottom w:type="dxa" w:w="80"/>
              <w:right w:type="dxa" w:w="100"/>
            </w:tcMar>
          </w:tcPr>
          <w:p>
            <w:r>
              <w:rPr>
                <w:sz w:val="18"/>
                <w:szCs w:val="18"/>
              </w:rPr>
              <w:t xml:space="preserve">A structured examination against an explicit standard that produces findings without transferring decision authority.</w:t>
            </w:r>
          </w:p>
        </w:tc>
        <w:tc>
          <w:tcPr>
            <w:tcMar>
              <w:top w:type="dxa" w:w="80"/>
              <w:left w:type="dxa" w:w="100"/>
              <w:bottom w:type="dxa" w:w="80"/>
              <w:right w:type="dxa" w:w="100"/>
            </w:tcMar>
          </w:tcPr>
          <w:p>
            <w:r>
              <w:rPr>
                <w:sz w:val="18"/>
                <w:szCs w:val="18"/>
              </w:rPr>
              <w:t xml:space="preserve">Review becomes de facto control the moment it carries a hidden veto; this Charter forbids that outcome (Part IV).</w:t>
            </w:r>
          </w:p>
        </w:tc>
      </w:tr>
      <w:tr>
        <w:tc>
          <w:tcPr>
            <w:tcMar>
              <w:top w:type="dxa" w:w="80"/>
              <w:left w:type="dxa" w:w="100"/>
              <w:bottom w:type="dxa" w:w="80"/>
              <w:right w:type="dxa" w:w="100"/>
            </w:tcMar>
          </w:tcPr>
          <w:p>
            <w:r>
              <w:rPr>
                <w:sz w:val="18"/>
                <w:szCs w:val="18"/>
              </w:rPr>
              <w:t xml:space="preserve">Intervention</w:t>
            </w:r>
          </w:p>
        </w:tc>
        <w:tc>
          <w:tcPr>
            <w:tcMar>
              <w:top w:type="dxa" w:w="80"/>
              <w:left w:type="dxa" w:w="100"/>
              <w:bottom w:type="dxa" w:w="80"/>
              <w:right w:type="dxa" w:w="100"/>
            </w:tcMar>
          </w:tcPr>
          <w:p>
            <w:r>
              <w:rPr>
                <w:sz w:val="18"/>
                <w:szCs w:val="18"/>
              </w:rPr>
              <w:t xml:space="preserve">An act that changes, constrains, suspends, overrides, or materially alters a target system.</w:t>
            </w:r>
          </w:p>
        </w:tc>
        <w:tc>
          <w:tcPr>
            <w:tcMar>
              <w:top w:type="dxa" w:w="80"/>
              <w:left w:type="dxa" w:w="100"/>
              <w:bottom w:type="dxa" w:w="80"/>
              <w:right w:type="dxa" w:w="100"/>
            </w:tcMar>
          </w:tcPr>
          <w:p>
            <w:r>
              <w:rPr>
                <w:sz w:val="18"/>
                <w:szCs w:val="18"/>
              </w:rPr>
              <w:t xml:space="preserve">Not granted anywhere in this Charter. See Part VI.</w:t>
            </w:r>
          </w:p>
        </w:tc>
      </w:tr>
    </w:tbl>
    <w:p>
      <w:pPr>
        <w:pStyle w:val="Heading1"/>
        <w:pBdr>
          <w:bottom w:val="single" w:color="1F3864" w:sz="6"/>
        </w:pBdr>
        <w:spacing w:after="160" w:before="360"/>
      </w:pPr>
      <w:r>
        <w:rPr>
          <w:b/>
          <w:bCs/>
          <w:color w:val="1F3864"/>
          <w:sz w:val="30"/>
          <w:szCs w:val="30"/>
        </w:rPr>
        <w:t xml:space="preserve">Part IV — Foundational Principles</w:t>
      </w:r>
    </w:p>
    <w:p>
      <w:pPr>
        <w:pStyle w:val="Heading3"/>
        <w:spacing w:after="90" w:before="180"/>
      </w:pPr>
      <w:r>
        <w:rPr>
          <w:b/>
          <w:bCs/>
          <w:color w:val="3D6098"/>
          <w:sz w:val="22"/>
          <w:szCs w:val="22"/>
        </w:rPr>
        <w:t xml:space="preserve">4.1 Capability is not authority</w:t>
      </w:r>
    </w:p>
    <w:p>
      <w:pPr>
        <w:spacing w:after="160" w:line="276"/>
      </w:pPr>
      <w:r>
        <w:rPr>
          <w:sz w:val="22"/>
          <w:szCs w:val="22"/>
        </w:rPr>
        <w:t xml:space="preserve">The ability to observe, model, predict, or outperform a system does not by itself establish standing to review it, still less to intervene in it. This Charter rejects, by name, the inference pattern identified across the corpus as its most dangerous shortcut: capability → expertise → correctness → jurisdiction → intervention. Each arrow in that chain requires independent justification and none is granted by this Charter.</w:t>
      </w:r>
    </w:p>
    <w:p>
      <w:pPr>
        <w:pStyle w:val="Heading3"/>
        <w:spacing w:after="90" w:before="180"/>
      </w:pPr>
      <w:r>
        <w:rPr>
          <w:b/>
          <w:bCs/>
          <w:color w:val="3D6098"/>
          <w:sz w:val="22"/>
          <w:szCs w:val="22"/>
        </w:rPr>
        <w:t xml:space="preserve">4.2 No level implies the next</w:t>
      </w:r>
    </w:p>
    <w:p>
      <w:pPr>
        <w:spacing w:after="160" w:line="276"/>
      </w:pPr>
      <w:r>
        <w:rPr>
          <w:sz w:val="22"/>
          <w:szCs w:val="22"/>
        </w:rPr>
        <w:t xml:space="preserve">Wherever this Charter or its successors define graded levels of authority, a lower level never authorizes a higher one merely because its findings are compelling, urgent, or well-evidenced. Strong evidence can justify a proposal to escalate; it does not perform the escalation.</w:t>
      </w:r>
    </w:p>
    <w:p>
      <w:pPr>
        <w:pStyle w:val="Heading3"/>
        <w:spacing w:after="90" w:before="180"/>
      </w:pPr>
      <w:r>
        <w:rPr>
          <w:b/>
          <w:bCs/>
          <w:color w:val="3D6098"/>
          <w:sz w:val="22"/>
          <w:szCs w:val="22"/>
        </w:rPr>
        <w:t xml:space="preserve">4.3 The coupled recognition-standing gate</w:t>
      </w:r>
    </w:p>
    <w:p>
      <w:pPr>
        <w:spacing w:after="160" w:line="276"/>
      </w:pPr>
      <w:r>
        <w:rPr>
          <w:sz w:val="22"/>
          <w:szCs w:val="22"/>
        </w:rPr>
        <w:t xml:space="preserve">Before Laboratory A examines anything, two questions must both be answered, and neither may validate the other: what has been provisionally recognized as a governance or authority relation, by what ontology — and by what standing may Laboratory A examine it. A correct classification does not create jurisdiction. Valid standing does not guarantee a correct classification.</w:t>
      </w:r>
    </w:p>
    <w:p>
      <w:pPr>
        <w:pStyle w:val="Heading3"/>
        <w:spacing w:after="90" w:before="180"/>
      </w:pPr>
      <w:r>
        <w:rPr>
          <w:b/>
          <w:bCs/>
          <w:color w:val="3D6098"/>
          <w:sz w:val="22"/>
          <w:szCs w:val="22"/>
        </w:rPr>
        <w:t xml:space="preserve">4.4 Revocability, operationalized</w:t>
      </w:r>
    </w:p>
    <w:p>
      <w:pPr>
        <w:spacing w:after="160" w:line="276"/>
      </w:pPr>
      <w:r>
        <w:rPr>
          <w:sz w:val="22"/>
          <w:szCs w:val="22"/>
        </w:rPr>
        <w:t xml:space="preserve">“What was given can be taken away” is adopted here as a working procedure, not only a principle:</w:t>
      </w:r>
    </w:p>
    <w:p>
      <w:pPr>
        <w:pStyle w:val="ListParagraph"/>
        <w:numPr>
          <w:ilvl w:val="0"/>
          <w:numId w:val="2"/>
        </w:numPr>
        <w:spacing w:after="90" w:line="276"/>
      </w:pPr>
      <w:r>
        <w:rPr>
          <w:sz w:val="22"/>
          <w:szCs w:val="22"/>
        </w:rPr>
        <w:t xml:space="preserve">Grantor: any authority this Charter grants is granted by the Architect under ONESTAMP and by no other party.</w:t>
      </w:r>
    </w:p>
    <w:p>
      <w:pPr>
        <w:pStyle w:val="ListParagraph"/>
        <w:numPr>
          <w:ilvl w:val="0"/>
          <w:numId w:val="2"/>
        </w:numPr>
        <w:spacing w:after="90" w:line="276"/>
      </w:pPr>
      <w:r>
        <w:rPr>
          <w:sz w:val="22"/>
          <w:szCs w:val="22"/>
        </w:rPr>
        <w:t xml:space="preserve">Trigger: a grant may be revoked on a finding, by the Architect or by the reviewing role defined in Part VIII, that its holder acted outside the grant's stated scope, or on the Architect's unqualified decision at any time.</w:t>
      </w:r>
    </w:p>
    <w:p>
      <w:pPr>
        <w:pStyle w:val="ListParagraph"/>
        <w:numPr>
          <w:ilvl w:val="0"/>
          <w:numId w:val="2"/>
        </w:numPr>
        <w:spacing w:after="90" w:line="276"/>
      </w:pPr>
      <w:r>
        <w:rPr>
          <w:sz w:val="22"/>
          <w:szCs w:val="22"/>
        </w:rPr>
        <w:t xml:space="preserve">Process: revocation is recorded in writing, dated, and takes effect immediately upon record unless the record states a delayed effective date.</w:t>
      </w:r>
    </w:p>
    <w:p>
      <w:pPr>
        <w:pStyle w:val="ListParagraph"/>
        <w:numPr>
          <w:ilvl w:val="0"/>
          <w:numId w:val="2"/>
        </w:numPr>
        <w:spacing w:after="90" w:line="276"/>
      </w:pPr>
      <w:r>
        <w:rPr>
          <w:sz w:val="22"/>
          <w:szCs w:val="22"/>
        </w:rPr>
        <w:t xml:space="preserve">Effect on prior acts: revocation is prospective only. It does not retroactively invalidate findings already produced under a valid grant, though those findings may separately be re-reviewed on their merits.</w:t>
      </w:r>
    </w:p>
    <w:p>
      <w:pPr>
        <w:pStyle w:val="ListParagraph"/>
        <w:numPr>
          <w:ilvl w:val="0"/>
          <w:numId w:val="2"/>
        </w:numPr>
        <w:spacing w:after="90" w:line="276"/>
      </w:pPr>
      <w:r>
        <w:rPr>
          <w:sz w:val="22"/>
          <w:szCs w:val="22"/>
        </w:rPr>
        <w:t xml:space="preserve">Appeal: the holder of a revoked grant may file a dissent entry (Part VIII) contesting the revocation; the entry does not suspend the revocation while pending.</w:t>
      </w:r>
    </w:p>
    <w:p>
      <w:pPr>
        <w:pStyle w:val="Heading1"/>
        <w:pBdr>
          <w:bottom w:val="single" w:color="1F3864" w:sz="6"/>
        </w:pBdr>
        <w:spacing w:after="160" w:before="360"/>
      </w:pPr>
      <w:r>
        <w:rPr>
          <w:b/>
          <w:bCs/>
          <w:color w:val="1F3864"/>
          <w:sz w:val="30"/>
          <w:szCs w:val="30"/>
        </w:rPr>
        <w:t xml:space="preserve">Part V — Authority Gradient (Laboratory A Levels Only)</w:t>
      </w:r>
    </w:p>
    <w:p>
      <w:pPr>
        <w:spacing w:after="160" w:line="276"/>
      </w:pPr>
      <w:r>
        <w:rPr>
          <w:sz w:val="22"/>
          <w:szCs w:val="22"/>
        </w:rPr>
        <w:t xml:space="preserve">The corpus now contains at least four overlapping numbered ladders (this preparer's earlier A0–A10, ChatGPT's G0–G8, Perplexity's R0–R10, and Copilot's narrative levels). This Charter adopts one consolidated gradient for Laboratory A's actual operation and files the others as comparative annexes, not as competing active procedures. Only Levels 0–4 are chartered as operational. Everything above Level 4 is named for completeness and explicitly marked NOT OPERATIONAL.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2E5395" w:val="clear"/>
            <w:tcMar>
              <w:top w:type="dxa" w:w="80"/>
              <w:left w:type="dxa" w:w="100"/>
              <w:bottom w:type="dxa" w:w="80"/>
              <w:right w:type="dxa" w:w="100"/>
            </w:tcMar>
          </w:tcPr>
          <w:p>
            <w:r>
              <w:rPr>
                <w:b/>
                <w:bCs/>
                <w:color w:val="FFFFFF"/>
                <w:sz w:val="18"/>
                <w:szCs w:val="18"/>
              </w:rPr>
              <w:t xml:space="preserve">Level</w:t>
            </w:r>
          </w:p>
        </w:tc>
        <w:tc>
          <w:tcPr>
            <w:shd w:fill="2E5395" w:val="clear"/>
            <w:tcMar>
              <w:top w:type="dxa" w:w="80"/>
              <w:left w:type="dxa" w:w="100"/>
              <w:bottom w:type="dxa" w:w="80"/>
              <w:right w:type="dxa" w:w="100"/>
            </w:tcMar>
          </w:tcPr>
          <w:p>
            <w:r>
              <w:rPr>
                <w:b/>
                <w:bCs/>
                <w:color w:val="FFFFFF"/>
                <w:sz w:val="18"/>
                <w:szCs w:val="18"/>
              </w:rPr>
              <w:t xml:space="preserve">Name</w:t>
            </w:r>
          </w:p>
        </w:tc>
        <w:tc>
          <w:tcPr>
            <w:shd w:fill="2E5395" w:val="clear"/>
            <w:tcMar>
              <w:top w:type="dxa" w:w="80"/>
              <w:left w:type="dxa" w:w="100"/>
              <w:bottom w:type="dxa" w:w="80"/>
              <w:right w:type="dxa" w:w="100"/>
            </w:tcMar>
          </w:tcPr>
          <w:p>
            <w:r>
              <w:rPr>
                <w:b/>
                <w:bCs/>
                <w:color w:val="FFFFFF"/>
                <w:sz w:val="18"/>
                <w:szCs w:val="18"/>
              </w:rPr>
              <w:t xml:space="preserve">What it permits</w:t>
            </w:r>
          </w:p>
        </w:tc>
        <w:tc>
          <w:tcPr>
            <w:shd w:fill="2E5395" w:val="clear"/>
            <w:tcMar>
              <w:top w:type="dxa" w:w="80"/>
              <w:left w:type="dxa" w:w="100"/>
              <w:bottom w:type="dxa" w:w="80"/>
              <w:right w:type="dxa" w:w="100"/>
            </w:tcMar>
          </w:tcPr>
          <w:p>
            <w:r>
              <w:rPr>
                <w:b/>
                <w:bCs/>
                <w:color w:val="FFFFFF"/>
                <w:sz w:val="18"/>
                <w:szCs w:val="18"/>
              </w:rPr>
              <w:t xml:space="preserve">Status under this Charter</w:t>
            </w:r>
          </w:p>
        </w:tc>
      </w:tr>
      <w:tr>
        <w:tc>
          <w:tcPr>
            <w:tcMar>
              <w:top w:type="dxa" w:w="80"/>
              <w:left w:type="dxa" w:w="100"/>
              <w:bottom w:type="dxa" w:w="80"/>
              <w:right w:type="dxa" w:w="100"/>
            </w:tcMar>
          </w:tcPr>
          <w:p>
            <w:r>
              <w:rPr>
                <w:sz w:val="18"/>
                <w:szCs w:val="18"/>
              </w:rPr>
              <w:t xml:space="preserve">0</w:t>
            </w:r>
          </w:p>
        </w:tc>
        <w:tc>
          <w:tcPr>
            <w:tcMar>
              <w:top w:type="dxa" w:w="80"/>
              <w:left w:type="dxa" w:w="100"/>
              <w:bottom w:type="dxa" w:w="80"/>
              <w:right w:type="dxa" w:w="100"/>
            </w:tcMar>
          </w:tcPr>
          <w:p>
            <w:r>
              <w:rPr>
                <w:sz w:val="18"/>
                <w:szCs w:val="18"/>
              </w:rPr>
              <w:t xml:space="preserve">Detect</w:t>
            </w:r>
          </w:p>
        </w:tc>
        <w:tc>
          <w:tcPr>
            <w:tcMar>
              <w:top w:type="dxa" w:w="80"/>
              <w:left w:type="dxa" w:w="100"/>
              <w:bottom w:type="dxa" w:w="80"/>
              <w:right w:type="dxa" w:w="100"/>
            </w:tcMar>
          </w:tcPr>
          <w:p>
            <w:r>
              <w:rPr>
                <w:sz w:val="18"/>
                <w:szCs w:val="18"/>
              </w:rPr>
              <w:t xml:space="preserve">Notice that a relation resembling governance or authority may be present in an OAL-owned object.</w:t>
            </w:r>
          </w:p>
        </w:tc>
        <w:tc>
          <w:tcPr>
            <w:tcMar>
              <w:top w:type="dxa" w:w="80"/>
              <w:left w:type="dxa" w:w="100"/>
              <w:bottom w:type="dxa" w:w="80"/>
              <w:right w:type="dxa" w:w="100"/>
            </w:tcMar>
          </w:tcPr>
          <w:p>
            <w:r>
              <w:rPr>
                <w:sz w:val="18"/>
                <w:szCs w:val="18"/>
              </w:rPr>
              <w:t xml:space="preserve">Operational</w:t>
            </w:r>
          </w:p>
        </w:tc>
      </w:tr>
      <w:tr>
        <w:tc>
          <w:tcPr>
            <w:tcMar>
              <w:top w:type="dxa" w:w="80"/>
              <w:left w:type="dxa" w:w="100"/>
              <w:bottom w:type="dxa" w:w="80"/>
              <w:right w:type="dxa" w:w="100"/>
            </w:tcMar>
          </w:tcPr>
          <w:p>
            <w:r>
              <w:rPr>
                <w:sz w:val="18"/>
                <w:szCs w:val="18"/>
              </w:rPr>
              <w:t xml:space="preserve">1</w:t>
            </w:r>
          </w:p>
        </w:tc>
        <w:tc>
          <w:tcPr>
            <w:tcMar>
              <w:top w:type="dxa" w:w="80"/>
              <w:left w:type="dxa" w:w="100"/>
              <w:bottom w:type="dxa" w:w="80"/>
              <w:right w:type="dxa" w:w="100"/>
            </w:tcMar>
          </w:tcPr>
          <w:p>
            <w:r>
              <w:rPr>
                <w:sz w:val="18"/>
                <w:szCs w:val="18"/>
              </w:rPr>
              <w:t xml:space="preserve">Describe</w:t>
            </w:r>
          </w:p>
        </w:tc>
        <w:tc>
          <w:tcPr>
            <w:tcMar>
              <w:top w:type="dxa" w:w="80"/>
              <w:left w:type="dxa" w:w="100"/>
              <w:bottom w:type="dxa" w:w="80"/>
              <w:right w:type="dxa" w:w="100"/>
            </w:tcMar>
          </w:tcPr>
          <w:p>
            <w:r>
              <w:rPr>
                <w:sz w:val="18"/>
                <w:szCs w:val="18"/>
              </w:rPr>
              <w:t xml:space="preserve">Represent the structure, actors, and constraints observed, without evaluation.</w:t>
            </w:r>
          </w:p>
        </w:tc>
        <w:tc>
          <w:tcPr>
            <w:tcMar>
              <w:top w:type="dxa" w:w="80"/>
              <w:left w:type="dxa" w:w="100"/>
              <w:bottom w:type="dxa" w:w="80"/>
              <w:right w:type="dxa" w:w="100"/>
            </w:tcMar>
          </w:tcPr>
          <w:p>
            <w:r>
              <w:rPr>
                <w:sz w:val="18"/>
                <w:szCs w:val="18"/>
              </w:rPr>
              <w:t xml:space="preserve">Operational</w:t>
            </w:r>
          </w:p>
        </w:tc>
      </w:tr>
      <w:tr>
        <w:tc>
          <w:tcPr>
            <w:tcMar>
              <w:top w:type="dxa" w:w="80"/>
              <w:left w:type="dxa" w:w="100"/>
              <w:bottom w:type="dxa" w:w="80"/>
              <w:right w:type="dxa" w:w="100"/>
            </w:tcMar>
          </w:tcPr>
          <w:p>
            <w:r>
              <w:rPr>
                <w:sz w:val="18"/>
                <w:szCs w:val="18"/>
              </w:rPr>
              <w:t xml:space="preserve">2</w:t>
            </w:r>
          </w:p>
        </w:tc>
        <w:tc>
          <w:tcPr>
            <w:tcMar>
              <w:top w:type="dxa" w:w="80"/>
              <w:left w:type="dxa" w:w="100"/>
              <w:bottom w:type="dxa" w:w="80"/>
              <w:right w:type="dxa" w:w="100"/>
            </w:tcMar>
          </w:tcPr>
          <w:p>
            <w:r>
              <w:rPr>
                <w:sz w:val="18"/>
                <w:szCs w:val="18"/>
              </w:rPr>
              <w:t xml:space="preserve">Model</w:t>
            </w:r>
          </w:p>
        </w:tc>
        <w:tc>
          <w:tcPr>
            <w:tcMar>
              <w:top w:type="dxa" w:w="80"/>
              <w:left w:type="dxa" w:w="100"/>
              <w:bottom w:type="dxa" w:w="80"/>
              <w:right w:type="dxa" w:w="100"/>
            </w:tcMar>
          </w:tcPr>
          <w:p>
            <w:r>
              <w:rPr>
                <w:sz w:val="18"/>
                <w:szCs w:val="18"/>
              </w:rPr>
              <w:t xml:space="preserve">Build a working representation sufficient to test hypotheses against it.</w:t>
            </w:r>
          </w:p>
        </w:tc>
        <w:tc>
          <w:tcPr>
            <w:tcMar>
              <w:top w:type="dxa" w:w="80"/>
              <w:left w:type="dxa" w:w="100"/>
              <w:bottom w:type="dxa" w:w="80"/>
              <w:right w:type="dxa" w:w="100"/>
            </w:tcMar>
          </w:tcPr>
          <w:p>
            <w:r>
              <w:rPr>
                <w:sz w:val="18"/>
                <w:szCs w:val="18"/>
              </w:rPr>
              <w:t xml:space="preserve">Operational</w:t>
            </w:r>
          </w:p>
        </w:tc>
      </w:tr>
      <w:tr>
        <w:tc>
          <w:tcPr>
            <w:tcMar>
              <w:top w:type="dxa" w:w="80"/>
              <w:left w:type="dxa" w:w="100"/>
              <w:bottom w:type="dxa" w:w="80"/>
              <w:right w:type="dxa" w:w="100"/>
            </w:tcMar>
          </w:tcPr>
          <w:p>
            <w:r>
              <w:rPr>
                <w:sz w:val="18"/>
                <w:szCs w:val="18"/>
              </w:rPr>
              <w:t xml:space="preserve">3</w:t>
            </w:r>
          </w:p>
        </w:tc>
        <w:tc>
          <w:tcPr>
            <w:tcMar>
              <w:top w:type="dxa" w:w="80"/>
              <w:left w:type="dxa" w:w="100"/>
              <w:bottom w:type="dxa" w:w="80"/>
              <w:right w:type="dxa" w:w="100"/>
            </w:tcMar>
          </w:tcPr>
          <w:p>
            <w:r>
              <w:rPr>
                <w:sz w:val="18"/>
                <w:szCs w:val="18"/>
              </w:rPr>
              <w:t xml:space="preserve">Evaluate</w:t>
            </w:r>
          </w:p>
        </w:tc>
        <w:tc>
          <w:tcPr>
            <w:tcMar>
              <w:top w:type="dxa" w:w="80"/>
              <w:left w:type="dxa" w:w="100"/>
              <w:bottom w:type="dxa" w:w="80"/>
              <w:right w:type="dxa" w:w="100"/>
            </w:tcMar>
          </w:tcPr>
          <w:p>
            <w:r>
              <w:rPr>
                <w:sz w:val="18"/>
                <w:szCs w:val="18"/>
              </w:rPr>
              <w:t xml:space="preserve">Test the modeled structure against an explicit, stated standard; record confidence and disagreement.</w:t>
            </w:r>
          </w:p>
        </w:tc>
        <w:tc>
          <w:tcPr>
            <w:tcMar>
              <w:top w:type="dxa" w:w="80"/>
              <w:left w:type="dxa" w:w="100"/>
              <w:bottom w:type="dxa" w:w="80"/>
              <w:right w:type="dxa" w:w="100"/>
            </w:tcMar>
          </w:tcPr>
          <w:p>
            <w:r>
              <w:rPr>
                <w:sz w:val="18"/>
                <w:szCs w:val="18"/>
              </w:rPr>
              <w:t xml:space="preserve">Operational</w:t>
            </w:r>
          </w:p>
        </w:tc>
      </w:tr>
      <w:tr>
        <w:tc>
          <w:tcPr>
            <w:tcMar>
              <w:top w:type="dxa" w:w="80"/>
              <w:left w:type="dxa" w:w="100"/>
              <w:bottom w:type="dxa" w:w="80"/>
              <w:right w:type="dxa" w:w="100"/>
            </w:tcMar>
          </w:tcPr>
          <w:p>
            <w:r>
              <w:rPr>
                <w:sz w:val="18"/>
                <w:szCs w:val="18"/>
              </w:rPr>
              <w:t xml:space="preserve">4</w:t>
            </w:r>
          </w:p>
        </w:tc>
        <w:tc>
          <w:tcPr>
            <w:tcMar>
              <w:top w:type="dxa" w:w="80"/>
              <w:left w:type="dxa" w:w="100"/>
              <w:bottom w:type="dxa" w:w="80"/>
              <w:right w:type="dxa" w:w="100"/>
            </w:tcMar>
          </w:tcPr>
          <w:p>
            <w:r>
              <w:rPr>
                <w:sz w:val="18"/>
                <w:szCs w:val="18"/>
              </w:rPr>
              <w:t xml:space="preserve">Advise</w:t>
            </w:r>
          </w:p>
        </w:tc>
        <w:tc>
          <w:tcPr>
            <w:tcMar>
              <w:top w:type="dxa" w:w="80"/>
              <w:left w:type="dxa" w:w="100"/>
              <w:bottom w:type="dxa" w:w="80"/>
              <w:right w:type="dxa" w:w="100"/>
            </w:tcMar>
          </w:tcPr>
          <w:p>
            <w:r>
              <w:rPr>
                <w:sz w:val="18"/>
                <w:szCs w:val="18"/>
              </w:rPr>
              <w:t xml:space="preserve">Issue findings, dissent, or recommendations to the Architect. Decision authority remains with the Architect.</w:t>
            </w:r>
          </w:p>
        </w:tc>
        <w:tc>
          <w:tcPr>
            <w:tcMar>
              <w:top w:type="dxa" w:w="80"/>
              <w:left w:type="dxa" w:w="100"/>
              <w:bottom w:type="dxa" w:w="80"/>
              <w:right w:type="dxa" w:w="100"/>
            </w:tcMar>
          </w:tcPr>
          <w:p>
            <w:r>
              <w:rPr>
                <w:sz w:val="18"/>
                <w:szCs w:val="18"/>
              </w:rPr>
              <w:t xml:space="preserve">Operational</w:t>
            </w:r>
          </w:p>
        </w:tc>
      </w:tr>
      <w:tr>
        <w:tc>
          <w:tcPr>
            <w:tcMar>
              <w:top w:type="dxa" w:w="80"/>
              <w:left w:type="dxa" w:w="100"/>
              <w:bottom w:type="dxa" w:w="80"/>
              <w:right w:type="dxa" w:w="100"/>
            </w:tcMar>
          </w:tcPr>
          <w:p>
            <w:r>
              <w:rPr>
                <w:sz w:val="18"/>
                <w:szCs w:val="18"/>
              </w:rPr>
              <w:t xml:space="preserve">5</w:t>
            </w:r>
          </w:p>
        </w:tc>
        <w:tc>
          <w:tcPr>
            <w:tcMar>
              <w:top w:type="dxa" w:w="80"/>
              <w:left w:type="dxa" w:w="100"/>
              <w:bottom w:type="dxa" w:w="80"/>
              <w:right w:type="dxa" w:w="100"/>
            </w:tcMar>
          </w:tcPr>
          <w:p>
            <w:r>
              <w:rPr>
                <w:sz w:val="18"/>
                <w:szCs w:val="18"/>
              </w:rPr>
              <w:t xml:space="preserve">Audit</w:t>
            </w:r>
          </w:p>
        </w:tc>
        <w:tc>
          <w:tcPr>
            <w:tcMar>
              <w:top w:type="dxa" w:w="80"/>
              <w:left w:type="dxa" w:w="100"/>
              <w:bottom w:type="dxa" w:w="80"/>
              <w:right w:type="dxa" w:w="100"/>
            </w:tcMar>
          </w:tcPr>
          <w:p>
            <w:r>
              <w:rPr>
                <w:sz w:val="18"/>
                <w:szCs w:val="18"/>
              </w:rPr>
              <w:t xml:space="preserve">Conduct deeper inspection with expanded access under a separate, specific grant.</w:t>
            </w:r>
          </w:p>
        </w:tc>
        <w:tc>
          <w:tcPr>
            <w:tcMar>
              <w:top w:type="dxa" w:w="80"/>
              <w:left w:type="dxa" w:w="100"/>
              <w:bottom w:type="dxa" w:w="80"/>
              <w:right w:type="dxa" w:w="100"/>
            </w:tcMar>
          </w:tcPr>
          <w:p>
            <w:r>
              <w:rPr>
                <w:sz w:val="18"/>
                <w:szCs w:val="18"/>
              </w:rPr>
              <w:t xml:space="preserve">NOT OPERATIONAL</w:t>
            </w:r>
          </w:p>
        </w:tc>
      </w:tr>
      <w:tr>
        <w:tc>
          <w:tcPr>
            <w:tcMar>
              <w:top w:type="dxa" w:w="80"/>
              <w:left w:type="dxa" w:w="100"/>
              <w:bottom w:type="dxa" w:w="80"/>
              <w:right w:type="dxa" w:w="100"/>
            </w:tcMar>
          </w:tcPr>
          <w:p>
            <w:r>
              <w:rPr>
                <w:sz w:val="18"/>
                <w:szCs w:val="18"/>
              </w:rPr>
              <w:t xml:space="preserve">6</w:t>
            </w:r>
          </w:p>
        </w:tc>
        <w:tc>
          <w:tcPr>
            <w:tcMar>
              <w:top w:type="dxa" w:w="80"/>
              <w:left w:type="dxa" w:w="100"/>
              <w:bottom w:type="dxa" w:w="80"/>
              <w:right w:type="dxa" w:w="100"/>
            </w:tcMar>
          </w:tcPr>
          <w:p>
            <w:r>
              <w:rPr>
                <w:sz w:val="18"/>
                <w:szCs w:val="18"/>
              </w:rPr>
              <w:t xml:space="preserve">Escalate</w:t>
            </w:r>
          </w:p>
        </w:tc>
        <w:tc>
          <w:tcPr>
            <w:tcMar>
              <w:top w:type="dxa" w:w="80"/>
              <w:left w:type="dxa" w:w="100"/>
              <w:bottom w:type="dxa" w:w="80"/>
              <w:right w:type="dxa" w:w="100"/>
            </w:tcMar>
          </w:tcPr>
          <w:p>
            <w:r>
              <w:rPr>
                <w:sz w:val="18"/>
                <w:szCs w:val="18"/>
              </w:rPr>
              <w:t xml:space="preserve">Trigger mandatory wider review under predefined conditions.</w:t>
            </w:r>
          </w:p>
        </w:tc>
        <w:tc>
          <w:tcPr>
            <w:tcMar>
              <w:top w:type="dxa" w:w="80"/>
              <w:left w:type="dxa" w:w="100"/>
              <w:bottom w:type="dxa" w:w="80"/>
              <w:right w:type="dxa" w:w="100"/>
            </w:tcMar>
          </w:tcPr>
          <w:p>
            <w:r>
              <w:rPr>
                <w:sz w:val="18"/>
                <w:szCs w:val="18"/>
              </w:rPr>
              <w:t xml:space="preserve">NOT OPERATIONAL</w:t>
            </w:r>
          </w:p>
        </w:tc>
      </w:tr>
      <w:tr>
        <w:tc>
          <w:tcPr>
            <w:tcMar>
              <w:top w:type="dxa" w:w="80"/>
              <w:left w:type="dxa" w:w="100"/>
              <w:bottom w:type="dxa" w:w="80"/>
              <w:right w:type="dxa" w:w="100"/>
            </w:tcMar>
          </w:tcPr>
          <w:p>
            <w:r>
              <w:rPr>
                <w:sz w:val="18"/>
                <w:szCs w:val="18"/>
              </w:rPr>
              <w:t xml:space="preserve">7</w:t>
            </w:r>
          </w:p>
        </w:tc>
        <w:tc>
          <w:tcPr>
            <w:tcMar>
              <w:top w:type="dxa" w:w="80"/>
              <w:left w:type="dxa" w:w="100"/>
              <w:bottom w:type="dxa" w:w="80"/>
              <w:right w:type="dxa" w:w="100"/>
            </w:tcMar>
          </w:tcPr>
          <w:p>
            <w:r>
              <w:rPr>
                <w:sz w:val="18"/>
                <w:szCs w:val="18"/>
              </w:rPr>
              <w:t xml:space="preserve">Constrain</w:t>
            </w:r>
          </w:p>
        </w:tc>
        <w:tc>
          <w:tcPr>
            <w:tcMar>
              <w:top w:type="dxa" w:w="80"/>
              <w:left w:type="dxa" w:w="100"/>
              <w:bottom w:type="dxa" w:w="80"/>
              <w:right w:type="dxa" w:w="100"/>
            </w:tcMar>
          </w:tcPr>
          <w:p>
            <w:r>
              <w:rPr>
                <w:sz w:val="18"/>
                <w:szCs w:val="18"/>
              </w:rPr>
              <w:t xml:space="preserve">Temporarily limit an action under a separately authorized emergency protocol.</w:t>
            </w:r>
          </w:p>
        </w:tc>
        <w:tc>
          <w:tcPr>
            <w:tcMar>
              <w:top w:type="dxa" w:w="80"/>
              <w:left w:type="dxa" w:w="100"/>
              <w:bottom w:type="dxa" w:w="80"/>
              <w:right w:type="dxa" w:w="100"/>
            </w:tcMar>
          </w:tcPr>
          <w:p>
            <w:r>
              <w:rPr>
                <w:sz w:val="18"/>
                <w:szCs w:val="18"/>
              </w:rPr>
              <w:t xml:space="preserve">NOT OPERATIONAL</w:t>
            </w:r>
          </w:p>
        </w:tc>
      </w:tr>
      <w:tr>
        <w:tc>
          <w:tcPr>
            <w:tcMar>
              <w:top w:type="dxa" w:w="80"/>
              <w:left w:type="dxa" w:w="100"/>
              <w:bottom w:type="dxa" w:w="80"/>
              <w:right w:type="dxa" w:w="100"/>
            </w:tcMar>
          </w:tcPr>
          <w:p>
            <w:r>
              <w:rPr>
                <w:sz w:val="18"/>
                <w:szCs w:val="18"/>
              </w:rPr>
              <w:t xml:space="preserve">8+</w:t>
            </w:r>
          </w:p>
        </w:tc>
        <w:tc>
          <w:tcPr>
            <w:tcMar>
              <w:top w:type="dxa" w:w="80"/>
              <w:left w:type="dxa" w:w="100"/>
              <w:bottom w:type="dxa" w:w="80"/>
              <w:right w:type="dxa" w:w="100"/>
            </w:tcMar>
          </w:tcPr>
          <w:p>
            <w:r>
              <w:rPr>
                <w:sz w:val="18"/>
                <w:szCs w:val="18"/>
              </w:rPr>
              <w:t xml:space="preserve">Suspend / Override / Intervene</w:t>
            </w:r>
          </w:p>
        </w:tc>
        <w:tc>
          <w:tcPr>
            <w:tcMar>
              <w:top w:type="dxa" w:w="80"/>
              <w:left w:type="dxa" w:w="100"/>
              <w:bottom w:type="dxa" w:w="80"/>
              <w:right w:type="dxa" w:w="100"/>
            </w:tcMar>
          </w:tcPr>
          <w:p>
            <w:r>
              <w:rPr>
                <w:sz w:val="18"/>
                <w:szCs w:val="18"/>
              </w:rPr>
              <w:t xml:space="preserve">Alter, suspend, or replace an authority mechanism.</w:t>
            </w:r>
          </w:p>
        </w:tc>
        <w:tc>
          <w:tcPr>
            <w:tcMar>
              <w:top w:type="dxa" w:w="80"/>
              <w:left w:type="dxa" w:w="100"/>
              <w:bottom w:type="dxa" w:w="80"/>
              <w:right w:type="dxa" w:w="100"/>
            </w:tcMar>
          </w:tcPr>
          <w:p>
            <w:r>
              <w:rPr>
                <w:sz w:val="18"/>
                <w:szCs w:val="18"/>
              </w:rPr>
              <w:t xml:space="preserve">NOT GRANTED — requires a future, separately ratified charter</w:t>
            </w:r>
          </w:p>
        </w:tc>
      </w:tr>
    </w:tbl>
    <w:p>
      <w:pPr>
        <w:spacing w:after="160" w:line="276"/>
      </w:pPr>
      <w:r>
        <w:rPr>
          <w:sz w:val="22"/>
          <w:szCs w:val="22"/>
        </w:rPr>
        <w:t xml:space="preserve">Boundary rule, restated without qualification: nothing in this Charter, and no finding produced under it, authorizes any act at Level 5 or above. A future charter extending Laboratory A's levels, or chartering Laboratory B or C, must be drafted, reviewed, and ratified separately — it does not inherit standing from this one.</w:t>
      </w:r>
    </w:p>
    <w:p>
      <w:pPr>
        <w:pStyle w:val="Heading1"/>
        <w:pBdr>
          <w:bottom w:val="single" w:color="1F3864" w:sz="6"/>
        </w:pBdr>
        <w:spacing w:after="160" w:before="360"/>
      </w:pPr>
      <w:r>
        <w:rPr>
          <w:b/>
          <w:bCs/>
          <w:color w:val="1F3864"/>
          <w:sz w:val="30"/>
          <w:szCs w:val="30"/>
        </w:rPr>
        <w:t xml:space="preserve">Part VI — Information Admissibility</w:t>
      </w:r>
    </w:p>
    <w:p>
      <w:pPr>
        <w:spacing w:after="160" w:line="276"/>
      </w:pPr>
      <w:r>
        <w:rPr>
          <w:sz w:val="22"/>
          <w:szCs w:val="22"/>
        </w:rPr>
        <w:t xml:space="preserve">This has been the single most frequently cited unresolved dependency across the corpus — nearly every document referred to admissibility documentation it did not actually have in front of it. That documentation is now attached (the Universal Information Admissibility and Review Charter, Perplexity's draft, and its ChatGPT-originated precursor). It remains itself unratified, but it is substantive, already-drafted work, and Laboratory A adopts its governing structure as its interim admissibility doctrine rather than continuing to treat the gap as open:</w:t>
      </w:r>
    </w:p>
    <w:p>
      <w:pPr>
        <w:pStyle w:val="ListParagraph"/>
        <w:numPr>
          <w:ilvl w:val="0"/>
          <w:numId w:val="2"/>
        </w:numPr>
        <w:spacing w:after="90" w:line="276"/>
      </w:pPr>
      <w:r>
        <w:rPr>
          <w:sz w:val="22"/>
          <w:szCs w:val="22"/>
        </w:rPr>
        <w:t xml:space="preserve">Admission is not authorization. Information may enter Laboratory A's consideration by default; what it may be used for is governed separately.</w:t>
      </w:r>
    </w:p>
    <w:p>
      <w:pPr>
        <w:pStyle w:val="ListParagraph"/>
        <w:numPr>
          <w:ilvl w:val="0"/>
          <w:numId w:val="2"/>
        </w:numPr>
        <w:spacing w:after="90" w:line="276"/>
      </w:pPr>
      <w:r>
        <w:rPr>
          <w:sz w:val="22"/>
          <w:szCs w:val="22"/>
        </w:rPr>
        <w:t xml:space="preserve">Four separated decisions: admissibility (may it enter consideration), classification (what is it, how confident, how sensitive), utilization (what purpose may it serve), and exclusion (may any handling be withheld) are never collapsed into one determination.</w:t>
      </w:r>
    </w:p>
    <w:p>
      <w:pPr>
        <w:pStyle w:val="ListParagraph"/>
        <w:numPr>
          <w:ilvl w:val="0"/>
          <w:numId w:val="2"/>
        </w:numPr>
        <w:spacing w:after="90" w:line="276"/>
      </w:pPr>
      <w:r>
        <w:rPr>
          <w:sz w:val="22"/>
          <w:szCs w:val="22"/>
        </w:rPr>
        <w:t xml:space="preserve">Relevance is a weight, not a gate. An item is not refused consideration because its relevance to a given review is not yet established.</w:t>
      </w:r>
    </w:p>
    <w:p>
      <w:pPr>
        <w:pStyle w:val="ListParagraph"/>
        <w:numPr>
          <w:ilvl w:val="0"/>
          <w:numId w:val="2"/>
        </w:numPr>
        <w:spacing w:after="90" w:line="276"/>
      </w:pPr>
      <w:r>
        <w:rPr>
          <w:sz w:val="22"/>
          <w:szCs w:val="22"/>
        </w:rPr>
        <w:t xml:space="preserve">Exclusion is review-bound. Nothing is self-excluding or presumptively withheld; an exclusion is only valid if it is a documented, scoped, dated determination naming the reviewing authority and a reassessment condition.</w:t>
      </w:r>
    </w:p>
    <w:p>
      <w:pPr>
        <w:pStyle w:val="ListParagraph"/>
        <w:numPr>
          <w:ilvl w:val="0"/>
          <w:numId w:val="2"/>
        </w:numPr>
        <w:spacing w:after="90" w:line="276"/>
      </w:pPr>
      <w:r>
        <w:rPr>
          <w:sz w:val="22"/>
          <w:szCs w:val="22"/>
        </w:rPr>
        <w:t xml:space="preserve">Evolutionary incorporation — letting admitted information produce durable, heritable change to Laboratory A's own rules or structure — always requires the Architect's direct review and is never inferred from any lesser grant.</w:t>
      </w:r>
    </w:p>
    <w:p>
      <w:pPr>
        <w:spacing w:after="160" w:line="276"/>
      </w:pPr>
      <w:r>
        <w:rPr>
          <w:sz w:val="22"/>
          <w:szCs w:val="22"/>
        </w:rPr>
        <w:t xml:space="preserve">For material outside OAL's own domain — anything touching a real person, a third party, or regulated information — this interim doctrine does not apply, and no admission occurs under this Charter until a specific, separately reviewed exclusion or intake rule is written for that category. UIARC itself flags this as an open question for the Architect (its Part XIII), and this Charter does not resolve it on UIARC's behalf.</w:t>
      </w:r>
    </w:p>
    <w:p>
      <w:pPr>
        <w:pStyle w:val="Heading1"/>
        <w:pBdr>
          <w:bottom w:val="single" w:color="1F3864" w:sz="6"/>
        </w:pBdr>
        <w:spacing w:after="160" w:before="360"/>
      </w:pPr>
      <w:r>
        <w:rPr>
          <w:b/>
          <w:bCs/>
          <w:color w:val="1F3864"/>
          <w:sz w:val="30"/>
          <w:szCs w:val="30"/>
        </w:rPr>
        <w:t xml:space="preserve">Part VII — Recursion Terminus and Review of the Laboratory</w:t>
      </w:r>
    </w:p>
    <w:p>
      <w:pPr>
        <w:spacing w:after="160" w:line="276"/>
      </w:pPr>
      <w:r>
        <w:rPr>
          <w:sz w:val="22"/>
          <w:szCs w:val="22"/>
        </w:rPr>
        <w:t xml:space="preserve">For decisions internal to OAL, the reflexive chain of “who reviews the reviewer” terminates at the Architect's ratifying authority under ONESTAMP. This is stated here as a declared axiom, not a derived conclusion — the corpus is right that every document so far has relied on this stopping point without writing it down.</w:t>
      </w:r>
    </w:p>
    <w:p>
      <w:pPr>
        <w:spacing w:after="160" w:line="276"/>
      </w:pPr>
      <w:r>
        <w:rPr>
          <w:sz w:val="22"/>
          <w:szCs w:val="22"/>
        </w:rPr>
        <w:t xml:space="preserve">That axiom, on its own, is also the single point of failure that Grok's and Perplexity's documents correctly identified: declaring a terminus is not the same as the terminus having been reviewed. This Charter closes that gap only partially, by chartering a standing review role rather than leaving the Architect as the sole check on the laboratory:</w:t>
      </w:r>
    </w:p>
    <w:p>
      <w:pPr>
        <w:pStyle w:val="ListParagraph"/>
        <w:numPr>
          <w:ilvl w:val="0"/>
          <w:numId w:val="2"/>
        </w:numPr>
        <w:spacing w:after="90" w:line="276"/>
      </w:pPr>
      <w:r>
        <w:rPr>
          <w:sz w:val="22"/>
          <w:szCs w:val="22"/>
        </w:rPr>
        <w:t xml:space="preserve">A Laboratory A Reviewer role (a role, not a named individual) is chartered to examine Laboratory A's own findings, admissibility decisions, and scope compliance on a quarterly cadence for the first year of operation, and semi-annually thereafter.</w:t>
      </w:r>
    </w:p>
    <w:p>
      <w:pPr>
        <w:pStyle w:val="ListParagraph"/>
        <w:numPr>
          <w:ilvl w:val="0"/>
          <w:numId w:val="2"/>
        </w:numPr>
        <w:spacing w:after="90" w:line="276"/>
      </w:pPr>
      <w:r>
        <w:rPr>
          <w:sz w:val="22"/>
          <w:szCs w:val="22"/>
        </w:rPr>
        <w:t xml:space="preserve">The Reviewer role may be filled by rotation among the AI collaborators, by the Architect directly, or by a person the Architect designates; whoever holds it is disclosed in each review's record.</w:t>
      </w:r>
    </w:p>
    <w:p>
      <w:pPr>
        <w:pStyle w:val="ListParagraph"/>
        <w:numPr>
          <w:ilvl w:val="0"/>
          <w:numId w:val="2"/>
        </w:numPr>
        <w:spacing w:after="90" w:line="276"/>
      </w:pPr>
      <w:r>
        <w:rPr>
          <w:sz w:val="22"/>
          <w:szCs w:val="22"/>
        </w:rPr>
        <w:t xml:space="preserve">The Reviewer's findings are advisory to the Architect, exactly as Laboratory A's own findings about external objects are advisory — the Reviewer does not gain any authority this Charter withholds from Laboratory A itself.</w:t>
      </w:r>
    </w:p>
    <w:p>
      <w:pPr>
        <w:pStyle w:val="ListParagraph"/>
        <w:numPr>
          <w:ilvl w:val="0"/>
          <w:numId w:val="2"/>
        </w:numPr>
        <w:spacing w:after="90" w:line="276"/>
      </w:pPr>
      <w:r>
        <w:rPr>
          <w:sz w:val="22"/>
          <w:szCs w:val="22"/>
        </w:rPr>
        <w:t xml:space="preserve">This does not resolve the deeper problem that the Architect remains outside any equivalent review. This Charter states that limitation openly rather than concealing it, and treats it as an open question for a future charter rather than a solved one.</w:t>
      </w:r>
    </w:p>
    <w:p>
      <w:pPr>
        <w:pStyle w:val="Heading1"/>
        <w:pBdr>
          <w:bottom w:val="single" w:color="1F3864" w:sz="6"/>
        </w:pBdr>
        <w:spacing w:after="160" w:before="360"/>
      </w:pPr>
      <w:r>
        <w:rPr>
          <w:b/>
          <w:bCs/>
          <w:color w:val="1F3864"/>
          <w:sz w:val="30"/>
          <w:szCs w:val="30"/>
        </w:rPr>
        <w:t xml:space="preserve">Part VIII — Dissent</w:t>
      </w:r>
    </w:p>
    <w:p>
      <w:pPr>
        <w:spacing w:after="160" w:line="276"/>
      </w:pPr>
      <w:r>
        <w:rPr>
          <w:sz w:val="22"/>
          <w:szCs w:val="22"/>
        </w:rPr>
        <w:t xml:space="preserve">Any AI collaborator, including the preparer of this Charter, may file a dissent against any provision of this Charter, any finding produced under it, or any decision by the Reviewer role. A dissent entry records: the provision or finding disputed, the disputing party, the basis for the dispute, and the date. Dissent entries are preserved in full alongside the record they dispute and are never quietly resolved into a summary that erases the disagreement. This Charter opens with one dissent entry already on record from its own drafting process: Grok's prior documents dispute that “the Architect only” is an adequate answer to who reviews the laboratory; Part VII above is this Charter's answer to that dissent, not a rebuttal of it.</w:t>
      </w:r>
    </w:p>
    <w:p>
      <w:pPr>
        <w:pStyle w:val="Heading1"/>
        <w:pBdr>
          <w:bottom w:val="single" w:color="1F3864" w:sz="6"/>
        </w:pBdr>
        <w:spacing w:after="160" w:before="360"/>
      </w:pPr>
      <w:r>
        <w:rPr>
          <w:b/>
          <w:bCs/>
          <w:color w:val="1F3864"/>
          <w:sz w:val="30"/>
          <w:szCs w:val="30"/>
        </w:rPr>
        <w:t xml:space="preserve">Part IX — First Test Case: GAL-001</w:t>
      </w:r>
    </w:p>
    <w:p>
      <w:pPr>
        <w:spacing w:after="160" w:line="276"/>
      </w:pPr>
      <w:r>
        <w:rPr>
          <w:sz w:val="22"/>
          <w:szCs w:val="22"/>
        </w:rPr>
        <w:t xml:space="preserve">Laboratory A's first application, immediately upon ratification, is designated Case GAL-001: the OAL AI collaborative process that produced the Truthspeaker and Governance Authority Laboratory document corpus, including this Charter. This designation is not a new proposal — it is the one item every document in this corpus, across every preparer, converged on independently. Case GAL-001 is scoped as follows:</w:t>
      </w:r>
    </w:p>
    <w:p>
      <w:pPr>
        <w:pStyle w:val="ListParagraph"/>
        <w:numPr>
          <w:ilvl w:val="0"/>
          <w:numId w:val="2"/>
        </w:numPr>
        <w:spacing w:after="90" w:line="276"/>
      </w:pPr>
      <w:r>
        <w:rPr>
          <w:sz w:val="22"/>
          <w:szCs w:val="22"/>
        </w:rPr>
        <w:t xml:space="preserve">Object: the multi-model drafting, cross-reading, and dissent-logging practice itself — not any one document's content.</w:t>
      </w:r>
    </w:p>
    <w:p>
      <w:pPr>
        <w:pStyle w:val="ListParagraph"/>
        <w:numPr>
          <w:ilvl w:val="0"/>
          <w:numId w:val="2"/>
        </w:numPr>
        <w:spacing w:after="90" w:line="276"/>
      </w:pPr>
      <w:r>
        <w:rPr>
          <w:sz w:val="22"/>
          <w:szCs w:val="22"/>
        </w:rPr>
        <w:t xml:space="preserve">Permitted levels: 0–4 only, per Part V.</w:t>
      </w:r>
    </w:p>
    <w:p>
      <w:pPr>
        <w:pStyle w:val="ListParagraph"/>
        <w:numPr>
          <w:ilvl w:val="0"/>
          <w:numId w:val="2"/>
        </w:numPr>
        <w:spacing w:after="90" w:line="276"/>
      </w:pPr>
      <w:r>
        <w:rPr>
          <w:sz w:val="22"/>
          <w:szCs w:val="22"/>
        </w:rPr>
        <w:t xml:space="preserve">Questions to answer: who had standing to correct whom; how the Semirhage lore dispute was actually handled end to end; whether any single synthesis was ever treated as settled without a dissent record; what access each model had to prior responses at the time it wrote; and whether this Charter's own drafting process meets the admissibility and dissent standards it sets for everything else.</w:t>
      </w:r>
    </w:p>
    <w:p>
      <w:pPr>
        <w:pStyle w:val="ListParagraph"/>
        <w:numPr>
          <w:ilvl w:val="0"/>
          <w:numId w:val="2"/>
        </w:numPr>
        <w:spacing w:after="90" w:line="276"/>
      </w:pPr>
      <w:r>
        <w:rPr>
          <w:sz w:val="22"/>
          <w:szCs w:val="22"/>
        </w:rPr>
        <w:t xml:space="preserve">Deliverable: a single Case GAL-001 findings record, published with the same REPORTED status as this Charter, before any Laboratory B work is proposed.</w:t>
      </w:r>
    </w:p>
    <w:p>
      <w:pPr>
        <w:pStyle w:val="Heading1"/>
        <w:pBdr>
          <w:bottom w:val="single" w:color="1F3864" w:sz="6"/>
        </w:pBdr>
        <w:spacing w:after="160" w:before="360"/>
      </w:pPr>
      <w:r>
        <w:rPr>
          <w:b/>
          <w:bCs/>
          <w:color w:val="1F3864"/>
          <w:sz w:val="30"/>
          <w:szCs w:val="30"/>
        </w:rPr>
        <w:t xml:space="preserve">Part X — Parked Items (Not Chartered)</w:t>
      </w:r>
    </w:p>
    <w:p>
      <w:pPr>
        <w:spacing w:after="160" w:line="276"/>
      </w:pPr>
      <w:r>
        <w:rPr>
          <w:sz w:val="22"/>
          <w:szCs w:val="22"/>
        </w:rPr>
        <w:t xml:space="preserve">The following substantial work already exists in the corpus and is preserved as comparative design material. None of it is authorized by this Charter, and none of it should be read as pending only administrative approval:</w:t>
      </w:r>
    </w:p>
    <w:p>
      <w:pPr>
        <w:pStyle w:val="ListParagraph"/>
        <w:numPr>
          <w:ilvl w:val="0"/>
          <w:numId w:val="2"/>
        </w:numPr>
        <w:spacing w:after="90" w:line="276"/>
      </w:pPr>
      <w:r>
        <w:rPr>
          <w:sz w:val="22"/>
          <w:szCs w:val="22"/>
        </w:rPr>
        <w:t xml:space="preserve">Civilization-scale threshold dimensions (scope, irreversibility, persistence, propagation, existential transformation, and related variables, developed most fully in ChatGPT's and Perplexity's documents) — parked as research hypotheses, not operational criteria.</w:t>
      </w:r>
    </w:p>
    <w:p>
      <w:pPr>
        <w:pStyle w:val="ListParagraph"/>
        <w:numPr>
          <w:ilvl w:val="0"/>
          <w:numId w:val="2"/>
        </w:numPr>
        <w:spacing w:after="90" w:line="276"/>
      </w:pPr>
      <w:r>
        <w:rPr>
          <w:sz w:val="22"/>
          <w:szCs w:val="22"/>
        </w:rPr>
        <w:t xml:space="preserve">Levels 5 and above of any authority gradient, under any name.</w:t>
      </w:r>
    </w:p>
    <w:p>
      <w:pPr>
        <w:pStyle w:val="ListParagraph"/>
        <w:numPr>
          <w:ilvl w:val="0"/>
          <w:numId w:val="2"/>
        </w:numPr>
        <w:spacing w:after="90" w:line="276"/>
      </w:pPr>
      <w:r>
        <w:rPr>
          <w:sz w:val="22"/>
          <w:szCs w:val="22"/>
        </w:rPr>
        <w:t xml:space="preserve">Any emergency, protective-constraint, or fast-path authority.</w:t>
      </w:r>
    </w:p>
    <w:p>
      <w:pPr>
        <w:pStyle w:val="ListParagraph"/>
        <w:numPr>
          <w:ilvl w:val="0"/>
          <w:numId w:val="2"/>
        </w:numPr>
        <w:spacing w:after="90" w:line="276"/>
      </w:pPr>
      <w:r>
        <w:rPr>
          <w:sz w:val="22"/>
          <w:szCs w:val="22"/>
        </w:rPr>
        <w:t xml:space="preserve">The alternative laboratory ontologies proposed across the corpus (bind-capacity, constraint topology, recursive regulation, protocol, ecology, polycentric governance) — retained as candidate frameworks for Laboratory B's eventual charter, not adopted here.</w:t>
      </w:r>
    </w:p>
    <w:p>
      <w:pPr>
        <w:pStyle w:val="ListParagraph"/>
        <w:numPr>
          <w:ilvl w:val="0"/>
          <w:numId w:val="2"/>
        </w:numPr>
        <w:spacing w:after="90" w:line="276"/>
      </w:pPr>
      <w:r>
        <w:rPr>
          <w:sz w:val="22"/>
          <w:szCs w:val="22"/>
        </w:rPr>
        <w:t xml:space="preserve">Any cross-walk to real-world frameworks (R2P, inspectors general, Ostrom's commons governance) beyond labeled analogy.</w:t>
      </w:r>
    </w:p>
    <w:p>
      <w:pPr>
        <w:pStyle w:val="Heading1"/>
        <w:pBdr>
          <w:bottom w:val="single" w:color="1F3864" w:sz="6"/>
        </w:pBdr>
        <w:spacing w:after="160" w:before="360"/>
      </w:pPr>
      <w:r>
        <w:rPr>
          <w:b/>
          <w:bCs/>
          <w:color w:val="1F3864"/>
          <w:sz w:val="30"/>
          <w:szCs w:val="30"/>
        </w:rPr>
        <w:t xml:space="preserve">Part XI — Residual Action Items</w:t>
      </w:r>
    </w:p>
    <w:p>
      <w:pPr>
        <w:spacing w:after="160" w:line="276"/>
      </w:pPr>
      <w:r>
        <w:rPr>
          <w:sz w:val="22"/>
          <w:szCs w:val="22"/>
        </w:rPr>
        <w:t xml:space="preserve">The following items, drawn from across the corpus and in particular from the extended action registries in Perplexity's and Copilot's documents, are not resolved by this Charter and remain open:</w:t>
      </w:r>
    </w:p>
    <w:p>
      <w:pPr>
        <w:pStyle w:val="ListParagraph"/>
        <w:numPr>
          <w:ilvl w:val="0"/>
          <w:numId w:val="3"/>
        </w:numPr>
        <w:spacing w:after="120" w:line="276"/>
      </w:pPr>
      <w:r>
        <w:rPr>
          <w:sz w:val="22"/>
          <w:szCs w:val="22"/>
        </w:rPr>
        <w:t xml:space="preserve">Attach a governing decision on UIARC's own ratification status — this Charter borrows its structure as interim doctrine but does not ratify UIARC itself.</w:t>
      </w:r>
    </w:p>
    <w:p>
      <w:pPr>
        <w:pStyle w:val="ListParagraph"/>
        <w:numPr>
          <w:ilvl w:val="0"/>
          <w:numId w:val="3"/>
        </w:numPr>
        <w:spacing w:after="120" w:line="276"/>
      </w:pPr>
      <w:r>
        <w:rPr>
          <w:sz w:val="22"/>
          <w:szCs w:val="22"/>
        </w:rPr>
        <w:t xml:space="preserve">Establish an AI-collaborator provenance policy: record model, provider, version, and date for every contribution, and treat a materially updated model as a new provenance identity rather than a continuous one, per Copilot's dependency-risk finding.</w:t>
      </w:r>
    </w:p>
    <w:p>
      <w:pPr>
        <w:pStyle w:val="ListParagraph"/>
        <w:numPr>
          <w:ilvl w:val="0"/>
          <w:numId w:val="3"/>
        </w:numPr>
        <w:spacing w:after="120" w:line="276"/>
      </w:pPr>
      <w:r>
        <w:rPr>
          <w:sz w:val="22"/>
          <w:szCs w:val="22"/>
        </w:rPr>
        <w:t xml:space="preserve">Produce the Case GAL-001 findings record specified in Part IX.</w:t>
      </w:r>
    </w:p>
    <w:p>
      <w:pPr>
        <w:pStyle w:val="ListParagraph"/>
        <w:numPr>
          <w:ilvl w:val="0"/>
          <w:numId w:val="3"/>
        </w:numPr>
        <w:spacing w:after="120" w:line="276"/>
      </w:pPr>
      <w:r>
        <w:rPr>
          <w:sz w:val="22"/>
          <w:szCs w:val="22"/>
        </w:rPr>
        <w:t xml:space="preserve">Draft a separate Laboratory B charter only after GAL-001 is complete and published.</w:t>
      </w:r>
    </w:p>
    <w:p>
      <w:pPr>
        <w:pStyle w:val="ListParagraph"/>
        <w:numPr>
          <w:ilvl w:val="0"/>
          <w:numId w:val="3"/>
        </w:numPr>
        <w:spacing w:after="120" w:line="276"/>
      </w:pPr>
      <w:r>
        <w:rPr>
          <w:sz w:val="22"/>
          <w:szCs w:val="22"/>
        </w:rPr>
        <w:t xml:space="preserve">Decide who, in practice, fills the Laboratory A Reviewer role for its first cycle.</w:t>
      </w:r>
    </w:p>
    <w:p>
      <w:pPr>
        <w:pStyle w:val="ListParagraph"/>
        <w:numPr>
          <w:ilvl w:val="0"/>
          <w:numId w:val="3"/>
        </w:numPr>
        <w:spacing w:after="120" w:line="276"/>
      </w:pPr>
      <w:r>
        <w:rPr>
          <w:sz w:val="22"/>
          <w:szCs w:val="22"/>
        </w:rPr>
        <w:t xml:space="preserve">Resolve, in a future charter, the open problem Part VII names but does not solve: what reviews the Architect's own ratifying authority.</w:t>
      </w:r>
    </w:p>
    <w:p>
      <w:pPr>
        <w:pStyle w:val="Heading1"/>
        <w:pBdr>
          <w:bottom w:val="single" w:color="1F3864" w:sz="6"/>
        </w:pBdr>
        <w:spacing w:after="160" w:before="360"/>
      </w:pPr>
      <w:r>
        <w:rPr>
          <w:b/>
          <w:bCs/>
          <w:color w:val="1F3864"/>
          <w:sz w:val="30"/>
          <w:szCs w:val="30"/>
        </w:rPr>
        <w:t xml:space="preserve">Part XII — Ratification</w:t>
      </w:r>
    </w:p>
    <w:p>
      <w:pPr>
        <w:spacing w:after="160" w:line="276"/>
      </w:pPr>
      <w:r>
        <w:rPr>
          <w:sz w:val="22"/>
          <w:szCs w:val="22"/>
        </w:rPr>
        <w:t xml:space="preserve">This Charter takes effect for Laboratory A only upon the Architect's ratification under ONESTAMP. Until ratified, it carries REPORTED status: it may be cited, discussed, and dissented against, but no act described in Part V as “Operational” may actually be performed under its authority.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c>
          <w:tcPr>
            <w:tcW w:type="dxa" w:w="2400"/>
            <w:shd w:fill="1F3864" w:val="clear"/>
            <w:tcMar>
              <w:top w:type="dxa" w:w="100"/>
              <w:left w:type="dxa" w:w="150"/>
              <w:bottom w:type="dxa" w:w="100"/>
              <w:right w:type="dxa" w:w="150"/>
            </w:tcMar>
          </w:tcPr>
          <w:p>
            <w:r>
              <w:rPr>
                <w:b/>
                <w:bCs/>
                <w:color w:val="FFFFFF"/>
                <w:sz w:val="20"/>
                <w:szCs w:val="20"/>
              </w:rPr>
              <w:t xml:space="preserve">Ratifying authority</w:t>
            </w:r>
          </w:p>
        </w:tc>
        <w:tc>
          <w:tcPr>
            <w:tcW w:type="dxa" w:w="7000"/>
            <w:tcMar>
              <w:top w:type="dxa" w:w="100"/>
              <w:left w:type="dxa" w:w="150"/>
              <w:bottom w:type="dxa" w:w="100"/>
              <w:right w:type="dxa" w:w="150"/>
            </w:tcMar>
          </w:tcPr>
          <w:p>
            <w:r>
              <w:rPr>
                <w:sz w:val="20"/>
                <w:szCs w:val="20"/>
              </w:rPr>
              <w:t xml:space="preserve">Nathan Lewis II, Architect, under ONESTAMP</w:t>
            </w:r>
          </w:p>
        </w:tc>
      </w:tr>
      <w:tr>
        <w:tc>
          <w:tcPr>
            <w:tcW w:type="dxa" w:w="2400"/>
            <w:shd w:fill="1F3864" w:val="clear"/>
            <w:tcMar>
              <w:top w:type="dxa" w:w="100"/>
              <w:left w:type="dxa" w:w="150"/>
              <w:bottom w:type="dxa" w:w="100"/>
              <w:right w:type="dxa" w:w="150"/>
            </w:tcMar>
          </w:tcPr>
          <w:p>
            <w:r>
              <w:rPr>
                <w:b/>
                <w:bCs/>
                <w:color w:val="FFFFFF"/>
                <w:sz w:val="20"/>
                <w:szCs w:val="20"/>
              </w:rPr>
              <w:t xml:space="preserve">Ratification status</w:t>
            </w:r>
          </w:p>
        </w:tc>
        <w:tc>
          <w:tcPr>
            <w:tcW w:type="dxa" w:w="7000"/>
            <w:tcMar>
              <w:top w:type="dxa" w:w="100"/>
              <w:left w:type="dxa" w:w="150"/>
              <w:bottom w:type="dxa" w:w="100"/>
              <w:right w:type="dxa" w:w="150"/>
            </w:tcMar>
          </w:tcPr>
          <w:p>
            <w:r>
              <w:rPr>
                <w:sz w:val="20"/>
                <w:szCs w:val="20"/>
              </w:rPr>
              <w:t xml:space="preserve">PENDING</w:t>
            </w:r>
          </w:p>
        </w:tc>
      </w:tr>
      <w:tr>
        <w:tc>
          <w:tcPr>
            <w:tcW w:type="dxa" w:w="2400"/>
            <w:shd w:fill="1F3864" w:val="clear"/>
            <w:tcMar>
              <w:top w:type="dxa" w:w="100"/>
              <w:left w:type="dxa" w:w="150"/>
              <w:bottom w:type="dxa" w:w="100"/>
              <w:right w:type="dxa" w:w="150"/>
            </w:tcMar>
          </w:tcPr>
          <w:p>
            <w:r>
              <w:rPr>
                <w:b/>
                <w:bCs/>
                <w:color w:val="FFFFFF"/>
                <w:sz w:val="20"/>
                <w:szCs w:val="20"/>
              </w:rPr>
              <w:t xml:space="preserve">Effective date</w:t>
            </w:r>
          </w:p>
        </w:tc>
        <w:tc>
          <w:tcPr>
            <w:tcW w:type="dxa" w:w="7000"/>
            <w:tcMar>
              <w:top w:type="dxa" w:w="100"/>
              <w:left w:type="dxa" w:w="150"/>
              <w:bottom w:type="dxa" w:w="100"/>
              <w:right w:type="dxa" w:w="150"/>
            </w:tcMar>
          </w:tcPr>
          <w:p>
            <w:r>
              <w:rPr>
                <w:sz w:val="20"/>
                <w:szCs w:val="20"/>
              </w:rPr>
              <w:t xml:space="preserve">Upon ratification; not yet effective</w:t>
            </w:r>
          </w:p>
        </w:tc>
      </w:tr>
      <w:tr>
        <w:tc>
          <w:tcPr>
            <w:tcW w:type="dxa" w:w="2400"/>
            <w:shd w:fill="1F3864" w:val="clear"/>
            <w:tcMar>
              <w:top w:type="dxa" w:w="100"/>
              <w:left w:type="dxa" w:w="150"/>
              <w:bottom w:type="dxa" w:w="100"/>
              <w:right w:type="dxa" w:w="150"/>
            </w:tcMar>
          </w:tcPr>
          <w:p>
            <w:r>
              <w:rPr>
                <w:b/>
                <w:bCs/>
                <w:color w:val="FFFFFF"/>
                <w:sz w:val="20"/>
                <w:szCs w:val="20"/>
              </w:rPr>
              <w:t xml:space="preserve">Review cycle begins</w:t>
            </w:r>
          </w:p>
        </w:tc>
        <w:tc>
          <w:tcPr>
            <w:tcW w:type="dxa" w:w="7000"/>
            <w:tcMar>
              <w:top w:type="dxa" w:w="100"/>
              <w:left w:type="dxa" w:w="150"/>
              <w:bottom w:type="dxa" w:w="100"/>
              <w:right w:type="dxa" w:w="150"/>
            </w:tcMar>
          </w:tcPr>
          <w:p>
            <w:r>
              <w:rPr>
                <w:sz w:val="20"/>
                <w:szCs w:val="20"/>
              </w:rPr>
              <w:t xml:space="preserve">Immediately upon ratification, per Part VII</w:t>
            </w:r>
          </w:p>
        </w:tc>
      </w:tr>
    </w:tbl>
    <w:p>
      <w:pPr>
        <w:pStyle w:val="Heading1"/>
        <w:pBdr>
          <w:bottom w:val="single" w:color="1F3864" w:sz="6"/>
        </w:pBdr>
        <w:spacing w:after="160" w:before="360"/>
      </w:pPr>
      <w:r>
        <w:rPr>
          <w:b/>
          <w:bCs/>
          <w:color w:val="1F3864"/>
          <w:sz w:val="30"/>
          <w:szCs w:val="30"/>
        </w:rPr>
        <w:t xml:space="preserve">Version History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2E5395" w:val="clear"/>
            <w:tcMar>
              <w:top w:type="dxa" w:w="80"/>
              <w:left w:type="dxa" w:w="100"/>
              <w:bottom w:type="dxa" w:w="80"/>
              <w:right w:type="dxa" w:w="100"/>
            </w:tcMar>
          </w:tcPr>
          <w:p>
            <w:r>
              <w:rPr>
                <w:b/>
                <w:bCs/>
                <w:color w:val="FFFFFF"/>
                <w:sz w:val="18"/>
                <w:szCs w:val="18"/>
              </w:rPr>
              <w:t xml:space="preserve">Version</w:t>
            </w:r>
          </w:p>
        </w:tc>
        <w:tc>
          <w:tcPr>
            <w:shd w:fill="2E5395" w:val="clear"/>
            <w:tcMar>
              <w:top w:type="dxa" w:w="80"/>
              <w:left w:type="dxa" w:w="100"/>
              <w:bottom w:type="dxa" w:w="80"/>
              <w:right w:type="dxa" w:w="100"/>
            </w:tcMar>
          </w:tcPr>
          <w:p>
            <w:r>
              <w:rPr>
                <w:b/>
                <w:bCs/>
                <w:color w:val="FFFFFF"/>
                <w:sz w:val="18"/>
                <w:szCs w:val="18"/>
              </w:rPr>
              <w:t xml:space="preserve">Date</w:t>
            </w:r>
          </w:p>
        </w:tc>
        <w:tc>
          <w:tcPr>
            <w:shd w:fill="2E5395" w:val="clear"/>
            <w:tcMar>
              <w:top w:type="dxa" w:w="80"/>
              <w:left w:type="dxa" w:w="100"/>
              <w:bottom w:type="dxa" w:w="80"/>
              <w:right w:type="dxa" w:w="100"/>
            </w:tcMar>
          </w:tcPr>
          <w:p>
            <w:r>
              <w:rPr>
                <w:b/>
                <w:bCs/>
                <w:color w:val="FFFFFF"/>
                <w:sz w:val="18"/>
                <w:szCs w:val="18"/>
              </w:rPr>
              <w:t xml:space="preserve">Prepared by</w:t>
            </w:r>
          </w:p>
        </w:tc>
        <w:tc>
          <w:tcPr>
            <w:shd w:fill="2E5395" w:val="clear"/>
            <w:tcMar>
              <w:top w:type="dxa" w:w="80"/>
              <w:left w:type="dxa" w:w="100"/>
              <w:bottom w:type="dxa" w:w="80"/>
              <w:right w:type="dxa" w:w="100"/>
            </w:tcMar>
          </w:tcPr>
          <w:p>
            <w:r>
              <w:rPr>
                <w:b/>
                <w:bCs/>
                <w:color w:val="FFFFFF"/>
                <w:sz w:val="18"/>
                <w:szCs w:val="18"/>
              </w:rPr>
              <w:t xml:space="preserve">Change</w:t>
            </w:r>
          </w:p>
        </w:tc>
      </w:tr>
      <w:tr>
        <w:tc>
          <w:tcPr>
            <w:tcMar>
              <w:top w:type="dxa" w:w="80"/>
              <w:left w:type="dxa" w:w="100"/>
              <w:bottom w:type="dxa" w:w="80"/>
              <w:right w:type="dxa" w:w="100"/>
            </w:tcMar>
          </w:tcPr>
          <w:p>
            <w:r>
              <w:rPr>
                <w:sz w:val="18"/>
                <w:szCs w:val="18"/>
              </w:rPr>
              <w:t xml:space="preserve">v1.0</w:t>
            </w:r>
          </w:p>
        </w:tc>
        <w:tc>
          <w:tcPr>
            <w:tcMar>
              <w:top w:type="dxa" w:w="80"/>
              <w:left w:type="dxa" w:w="100"/>
              <w:bottom w:type="dxa" w:w="80"/>
              <w:right w:type="dxa" w:w="100"/>
            </w:tcMar>
          </w:tcPr>
          <w:p>
            <w:r>
              <w:rPr>
                <w:sz w:val="18"/>
                <w:szCs w:val="18"/>
              </w:rPr>
              <w:t xml:space="preserve">September 22, 2026</w:t>
            </w:r>
          </w:p>
        </w:tc>
        <w:tc>
          <w:tcPr>
            <w:tcMar>
              <w:top w:type="dxa" w:w="80"/>
              <w:left w:type="dxa" w:w="100"/>
              <w:bottom w:type="dxa" w:w="80"/>
              <w:right w:type="dxa" w:w="100"/>
            </w:tcMar>
          </w:tcPr>
          <w:p>
            <w:r>
              <w:rPr>
                <w:sz w:val="18"/>
                <w:szCs w:val="18"/>
              </w:rPr>
              <w:t xml:space="preserve">Claude (Anthropic)</w:t>
            </w:r>
          </w:p>
        </w:tc>
        <w:tc>
          <w:tcPr>
            <w:tcMar>
              <w:top w:type="dxa" w:w="80"/>
              <w:left w:type="dxa" w:w="100"/>
              <w:bottom w:type="dxa" w:w="80"/>
              <w:right w:type="dxa" w:w="100"/>
            </w:tcMar>
          </w:tcPr>
          <w:p>
            <w:r>
              <w:rPr>
                <w:sz w:val="18"/>
                <w:szCs w:val="18"/>
              </w:rPr>
              <w:t xml:space="preserve">Initial independent charter draft for Laboratory A: scope, definitions, principles, authority gradient, information admissibility (adopting attached UIARC draft), recursion terminus and review role, dissent procedure, first test case (GAL-001), parked items, and residual action items.</w:t>
            </w:r>
          </w:p>
        </w:tc>
      </w:tr>
    </w:tbl>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96A6"/>
        <w:sz w:val="16"/>
        <w:szCs w:val="16"/>
      </w:rPr>
      <w:t xml:space="preserve">Page </w:t>
    </w:r>
    <w:r>
      <w:rPr>
        <w:color w:val="8896A6"/>
        <w:sz w:val="16"/>
        <w:szCs w:val="16"/>
      </w:rPr>
      <w:fldChar w:fldCharType="begin"/>
      <w:instrText xml:space="preserve">PAGE</w:instrText>
      <w:fldChar w:fldCharType="separate"/>
      <w:fldChar w:fldCharType="end"/>
    </w:r>
    <w:r>
      <w:rPr>
        <w:color w:val="8896A6"/>
        <w:sz w:val="16"/>
        <w:szCs w:val="16"/>
      </w:rPr>
      <w:t xml:space="preserve"> of </w:t>
    </w:r>
    <w:r>
      <w:rPr>
        <w:color w:val="8896A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96A6"/>
        <w:sz w:val="16"/>
        <w:szCs w:val="16"/>
      </w:rPr>
      <w:t xml:space="preserve">OAL-GAL-CHARTER-2026-09-22-v1.0 · Governance Authority Laboratory — Founding Charter (Lab 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2026-09-23T13:44:22.323Z</dcterms:created>
  <dcterms:modified xsi:type="dcterms:W3CDTF">2026-09-23T13:44:22.333Z</dcterms:modified>
</cp:coreProperties>
</file>

<file path=docProps/custom.xml><?xml version="1.0" encoding="utf-8"?>
<Properties xmlns="http://schemas.openxmlformats.org/officeDocument/2006/custom-properties" xmlns:vt="http://schemas.openxmlformats.org/officeDocument/2006/docPropsVTypes"/>
</file>