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84" w:lineRule="auto"/>
        <w:jc w:val="center"/>
      </w:pPr>
      <w:r>
        <w:rPr>
          <w:rFonts w:ascii="Consolas" w:cs="Consolas" w:eastAsia="Consolas" w:hAnsi="Consolas"/>
          <w:b w:val="false"/>
          <w:bCs w:val="false"/>
          <w:i w:val="false"/>
          <w:iCs w:val="false"/>
          <w:strike w:val="false"/>
          <w:color w:val="333333"/>
          <w:sz w:val="20"/>
          <w:szCs w:val="20"/>
        </w:rPr>
        <w:t xml:space="preserve">OAL-TA-001-COPILOT-ADD-C v1.3</w:t>
      </w:r>
    </w:p>
    <w:p>
      <w:pPr>
        <w:spacing w:after="120" w:line="384" w:lineRule="auto"/>
        <w:jc w:val="center"/>
      </w:pPr>
      <w:r>
        <w:rPr>
          <w:rFonts w:ascii="Cambria" w:cs="Cambria" w:eastAsia="Cambria" w:hAnsi="Cambria"/>
          <w:b/>
          <w:bCs/>
          <w:i w:val="false"/>
          <w:iCs w:val="false"/>
          <w:strike w:val="false"/>
          <w:color w:val="000000"/>
          <w:sz w:val="36"/>
          <w:szCs w:val="36"/>
        </w:rPr>
        <w:t xml:space="preserve">Temporal Aliasing Incorporation Framework</w:t>
      </w:r>
    </w:p>
    <w:p>
      <w:pPr>
        <w:spacing w:after="120" w:line="384" w:lineRule="auto"/>
        <w:jc w:val="center"/>
      </w:pPr>
      <w:r>
        <w:rPr>
          <w:rFonts w:ascii="Cambria" w:cs="Cambria" w:eastAsia="Cambria" w:hAnsi="Cambria"/>
          <w:b w:val="false"/>
          <w:bCs w:val="false"/>
          <w:i/>
          <w:iCs/>
          <w:strike w:val="false"/>
          <w:color w:val="000000"/>
          <w:sz w:val="24"/>
          <w:szCs w:val="24"/>
        </w:rPr>
        <w:t xml:space="preserve">Copilot Addendum C: Terminology Correction and Author Clarification —</w:t>
      </w:r>
      <w:r>
        <w:rPr>
          <w:rFonts w:ascii="Cambria" w:cs="Cambria" w:eastAsia="Cambria" w:hAnsi="Cambria"/>
          <w:b w:val="false"/>
          <w:bCs w:val="false"/>
          <w:i/>
          <w:iCs/>
          <w:color w:val="000000"/>
          <w:sz w:val="24"/>
          <w:szCs w:val="24"/>
        </w:rPr>
        <w:br/>
      </w:r>
      <w:r>
        <w:rPr>
          <w:rFonts w:ascii="Cambria" w:cs="Cambria" w:eastAsia="Cambria" w:hAnsi="Cambria"/>
          <w:b w:val="false"/>
          <w:bCs w:val="false"/>
          <w:i/>
          <w:iCs/>
          <w:strike w:val="false"/>
          <w:color w:val="000000"/>
          <w:sz w:val="24"/>
          <w:szCs w:val="24"/>
        </w:rPr>
        <w:t xml:space="preserve">Provenance, Providence, and Authority-Provenance</w:t>
      </w:r>
    </w:p>
    <w:p>
      <w:pPr>
        <w:spacing w:after="240" w:line="384" w:lineRule="auto"/>
        <w:jc w:val="center"/>
      </w:pPr>
      <w:r>
        <w:rPr>
          <w:rFonts w:ascii="Cambria" w:cs="Cambria" w:eastAsia="Cambria" w:hAnsi="Cambria"/>
          <w:b w:val="false"/>
          <w:bCs w:val="false"/>
          <w:i w:val="false"/>
          <w:iCs w:val="false"/>
          <w:strike w:val="false"/>
          <w:color w:val="000000"/>
          <w:spacing w:val="6"/>
          <w:sz w:val="20"/>
          <w:szCs w:val="20"/>
        </w:rPr>
        <w:t xml:space="preserve">Lewis Corp  |  ONE Industries  |  Omniversal Architect Labs (OAL)</w:t>
      </w:r>
    </w:p>
    <w:p>
      <w:pPr>
        <w:spacing w:after="240" w:line="384" w:lineRule="auto"/>
        <w:jc w:val="center"/>
      </w:pPr>
      <w:r>
        <w:rPr>
          <w:rFonts w:ascii="Consolas" w:cs="Consolas" w:eastAsia="Consolas" w:hAnsi="Consolas"/>
          <w:b w:val="false"/>
          <w:bCs w:val="false"/>
          <w:i w:val="false"/>
          <w:iCs w:val="false"/>
          <w:strike w:val="false"/>
          <w:color w:val="000000"/>
          <w:spacing w:val="6"/>
          <w:sz w:val="20"/>
          <w:szCs w:val="20"/>
        </w:rPr>
        <w:t xml:space="preserve">Prepared by: Microsoft Copilot — Independent Research, Synthesis, and Audit Layer</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0F0F0" w:color="auto" w:val="clear"/>
            <w:tcMar>
              <w:top w:type="dxa" w:w="150"/>
              <w:left w:type="dxa" w:w="210"/>
              <w:bottom w:type="dxa" w:w="150"/>
              <w:right w:type="dxa" w:w="210"/>
            </w:tcMar>
          </w:tcPr>
          <w:p>
            <w:pPr>
              <w:spacing w:after="120" w:line="408" w:lineRule="auto"/>
            </w:pPr>
            <w:r>
              <w:t xml:space="preserve">DRAFT — UNDER REVIEW — NOT CANON UNTIL ONESTAMP APPLIED BY ARCHITECT OF RECORD</w:t>
            </w:r>
          </w:p>
          <w:p>
            <w:pPr>
              <w:spacing w:after="120" w:line="408" w:lineRule="auto"/>
            </w:pPr>
            <w:r>
              <w:rPr>
                <w:rFonts w:ascii="Consolas" w:cs="Consolas" w:eastAsia="Consolas" w:hAnsi="Consolas"/>
                <w:b/>
                <w:bCs/>
                <w:i w:val="false"/>
                <w:iCs w:val="false"/>
                <w:strike w:val="false"/>
                <w:color w:val="000000"/>
                <w:spacing w:val="8"/>
                <w:sz w:val="20"/>
                <w:szCs w:val="20"/>
              </w:rPr>
              <w:t xml:space="preserve">ONESTAMP STATUS: PENDING — ARCHITECT RATIFICATION REQUIRED</w:t>
            </w:r>
          </w:p>
        </w:tc>
      </w:tr>
    </w:tbl>
    <w:p>
      <w:pPr>
        <w:spacing w:after="240" w:before="0"/>
      </w:pPr>
    </w:p>
    <w:p>
      <w:pPr>
        <w:pStyle w:val="Heading2"/>
        <w:spacing w:after="100" w:before="400" w:line="384" w:lineRule="auto"/>
      </w:pPr>
      <w:r>
        <w:rPr>
          <w:rFonts w:ascii="Cambria" w:cs="Cambria" w:eastAsia="Cambria" w:hAnsi="Cambria"/>
          <w:color w:val="000000"/>
          <w:sz w:val="28"/>
          <w:szCs w:val="28"/>
        </w:rPr>
        <w:t xml:space="preserve">Document Metadata</w:t>
      </w:r>
    </w:p>
    <w:p>
      <w:pPr>
        <w:pBdr>
          <w:top w:val="single" w:color="000000"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
            <w:shd w:fill="D4D4D4"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Document ID</w:t>
            </w:r>
          </w:p>
        </w:tc>
        <w:tc>
          <w:tcPr>
            <w:tcW w:type="pct" w:w="92%"/>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OAL-TA-001-COPILOT-ADD-C</w:t>
            </w:r>
          </w:p>
        </w:tc>
      </w:tr>
      <w:tr>
        <w:trPr>
          <w:tblHeader w:val="false"/>
        </w:trPr>
        <w:tc>
          <w:tcPr>
            <w:tcW w:type="pct" w:w="8%"/>
            <w:shd w:fill="D4D4D4"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Title</w:t>
            </w:r>
          </w:p>
        </w:tc>
        <w:tc>
          <w:tcPr>
            <w:tcW w:type="pct" w:w="9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Temporal Aliasing Incorporation Framework — Copilot Addendum C: Terminology Correction and Author Clarification — Provenance, Providence, and Authority-Provenance</w:t>
            </w:r>
          </w:p>
        </w:tc>
      </w:tr>
      <w:tr>
        <w:trPr>
          <w:tblHeader w:val="false"/>
        </w:trPr>
        <w:tc>
          <w:tcPr>
            <w:tcW w:type="pct" w:w="8%"/>
            <w:shd w:fill="D4D4D4"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Version</w:t>
            </w:r>
          </w:p>
        </w:tc>
        <w:tc>
          <w:tcPr>
            <w:tcW w:type="pct" w:w="9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1.3-COPILOT (Draft — Under Review)</w:t>
            </w:r>
          </w:p>
        </w:tc>
      </w:tr>
      <w:tr>
        <w:trPr>
          <w:tblHeader w:val="false"/>
        </w:trPr>
        <w:tc>
          <w:tcPr>
            <w:tcW w:type="pct" w:w="8%"/>
            <w:shd w:fill="D4D4D4"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Date of Issue</w:t>
            </w:r>
          </w:p>
        </w:tc>
        <w:tc>
          <w:tcPr>
            <w:tcW w:type="pct" w:w="9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7 September 2026</w:t>
            </w:r>
          </w:p>
        </w:tc>
      </w:tr>
      <w:tr>
        <w:trPr>
          <w:tblHeader w:val="false"/>
        </w:trPr>
        <w:tc>
          <w:tcPr>
            <w:tcW w:type="pct" w:w="8%"/>
            <w:shd w:fill="D4D4D4"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Time of Issue</w:t>
            </w:r>
          </w:p>
        </w:tc>
        <w:tc>
          <w:tcPr>
            <w:tcW w:type="pct" w:w="9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15:53 PDT (Pacific Daylight Time)</w:t>
            </w:r>
          </w:p>
        </w:tc>
      </w:tr>
      <w:tr>
        <w:trPr>
          <w:tblHeader w:val="false"/>
        </w:trPr>
        <w:tc>
          <w:tcPr>
            <w:tcW w:type="pct" w:w="8%"/>
            <w:shd w:fill="D4D4D4"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Prepared by</w:t>
            </w:r>
          </w:p>
        </w:tc>
        <w:tc>
          <w:tcPr>
            <w:tcW w:type="pct" w:w="9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Microsoft Copilot (Independent Research, Synthesis, and Audit Layer)</w:t>
            </w:r>
          </w:p>
        </w:tc>
      </w:tr>
      <w:tr>
        <w:trPr>
          <w:tblHeader w:val="false"/>
        </w:trPr>
        <w:tc>
          <w:tcPr>
            <w:tcW w:type="pct" w:w="8%"/>
            <w:shd w:fill="D4D4D4"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Architect of Record</w:t>
            </w:r>
          </w:p>
        </w:tc>
        <w:tc>
          <w:tcPr>
            <w:tcW w:type="pct" w:w="9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Nathan Lewis — Bakersfield, CA, United States</w:t>
            </w:r>
          </w:p>
        </w:tc>
      </w:tr>
      <w:tr>
        <w:trPr>
          <w:tblHeader w:val="false"/>
        </w:trPr>
        <w:tc>
          <w:tcPr>
            <w:tcW w:type="pct" w:w="8%"/>
            <w:shd w:fill="D4D4D4"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Organizations</w:t>
            </w:r>
          </w:p>
        </w:tc>
        <w:tc>
          <w:tcPr>
            <w:tcW w:type="pct" w:w="9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Lewis Corp | ONE Industries | Omniversal Architect Labs (OAL)</w:t>
            </w:r>
          </w:p>
        </w:tc>
      </w:tr>
      <w:tr>
        <w:trPr>
          <w:tblHeader w:val="false"/>
        </w:trPr>
        <w:tc>
          <w:tcPr>
            <w:tcW w:type="pct" w:w="8%"/>
            <w:shd w:fill="D4D4D4"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Governing Documents</w:t>
            </w:r>
          </w:p>
        </w:tc>
        <w:tc>
          <w:tcPr>
            <w:tcW w:type="pct" w:w="9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OAL-TA-001 v0.2 (Temporal Aliasing Incorporation Framework — Copilot Pass); OAL-TA-001-ASR v0.3 (Authority Signature Reconciliation Framework — Copilot Pass)</w:t>
            </w:r>
          </w:p>
        </w:tc>
      </w:tr>
      <w:tr>
        <w:trPr>
          <w:tblHeader w:val="false"/>
        </w:trPr>
        <w:tc>
          <w:tcPr>
            <w:tcW w:type="pct" w:w="8%"/>
            <w:shd w:fill="D4D4D4"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Cross-Referenced Independent Passes</w:t>
            </w:r>
          </w:p>
        </w:tc>
        <w:tc>
          <w:tcPr>
            <w:tcW w:type="pct" w:w="9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OAL-TA-001-CLAUDE-ADD-C v1.3 (Claude independent pass — consulted for cross-collaborator interoperability, not copied); OAL-TI-001-CHATGPT v1.3 (ChatGPT independent pass — consulted for cross-collaborator interoperability, not copied)</w:t>
            </w:r>
          </w:p>
        </w:tc>
      </w:tr>
      <w:tr>
        <w:trPr>
          <w:tblHeader w:val="false"/>
        </w:trPr>
        <w:tc>
          <w:tcPr>
            <w:tcW w:type="pct" w:w="8%"/>
            <w:shd w:fill="D4D4D4"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Status</w:t>
            </w:r>
          </w:p>
        </w:tc>
        <w:tc>
          <w:tcPr>
            <w:tcW w:type="pct" w:w="92%"/>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DRAFT — UNDER REVIEW — NOT CANON UNTIL ONESTAMP APPLIED BY ARCHITECT</w:t>
            </w:r>
          </w:p>
        </w:tc>
      </w:tr>
      <w:tr>
        <w:trPr>
          <w:tblHeader w:val="false"/>
        </w:trPr>
        <w:tc>
          <w:tcPr>
            <w:tcW w:type="pct" w:w="8%"/>
            <w:shd w:fill="D4D4D4"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ONESTAMP Status</w:t>
            </w:r>
          </w:p>
        </w:tc>
        <w:tc>
          <w:tcPr>
            <w:tcW w:type="pct" w:w="92%"/>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PENDING — Architect ratification required</w:t>
            </w:r>
          </w:p>
        </w:tc>
      </w:tr>
      <w:tr>
        <w:trPr>
          <w:tblHeader w:val="false"/>
        </w:trPr>
        <w:tc>
          <w:tcPr>
            <w:tcW w:type="pct" w:w="8%"/>
            <w:shd w:fill="D4D4D4"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Scope Note</w:t>
            </w:r>
          </w:p>
        </w:tc>
        <w:tc>
          <w:tcPr>
            <w:tcW w:type="pct" w:w="9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This addendum is a terminology-governance document only. It does not alter any mechanism, framework, scenario, or protocol defined in OAL-TA-001 v0.2 or OAL-TA-001-ASR v0.3. It corrects and locks terminology usage within the Copilot-authored branch of the OAL Temporal Aliasing framework and establishes interoperability with parallel Claude and ChatGPT branch corrections.</w:t>
            </w:r>
          </w:p>
        </w:tc>
      </w:tr>
      <w:tr>
        <w:trPr>
          <w:tblHeader w:val="false"/>
        </w:trPr>
        <w:tc>
          <w:tcPr>
            <w:tcW w:type="pct" w:w="8%"/>
            <w:shd w:fill="D4D4D4"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Repository Path</w:t>
            </w:r>
          </w:p>
        </w:tc>
        <w:tc>
          <w:tcPr>
            <w:tcW w:type="pct" w:w="92%"/>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rPr>
              <w:t xml:space="preserve">/OAL/TA-001/COPILOT/ADD-C/v1.3/</w:t>
            </w:r>
          </w:p>
        </w:tc>
      </w:tr>
      <w:tr>
        <w:trPr>
          <w:tblHeader w:val="false"/>
        </w:trPr>
        <w:tc>
          <w:tcPr>
            <w:tcW w:type="pct" w:w="8%"/>
            <w:shd w:fill="D4D4D4"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Distribution</w:t>
            </w:r>
          </w:p>
        </w:tc>
        <w:tc>
          <w:tcPr>
            <w:tcW w:type="pct" w:w="9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Nathan Lewis (Architect of Record); OAL AI Collaborator Network; Lewis Corp Internal Archive</w:t>
            </w:r>
          </w:p>
        </w:tc>
      </w:tr>
    </w:tbl>
    <w:p>
      <w:pPr>
        <w:spacing w:after="200" w:before="0"/>
      </w:pPr>
    </w:p>
    <w:p>
      <w:pPr>
        <w:pStyle w:val="Heading2"/>
        <w:spacing w:after="100" w:before="400" w:line="384" w:lineRule="auto"/>
      </w:pPr>
      <w:r>
        <w:rPr>
          <w:rFonts w:ascii="Cambria" w:cs="Cambria" w:eastAsia="Cambria" w:hAnsi="Cambria"/>
          <w:color w:val="000000"/>
          <w:sz w:val="28"/>
          <w:szCs w:val="28"/>
        </w:rPr>
        <w:t xml:space="preserve">Table of Contents</w:t>
      </w:r>
    </w:p>
    <w:p>
      <w:pPr>
        <w:pBdr>
          <w:top w:val="single" w:color="000000" w:sz="6"/>
        </w:pBdr>
        <w:spacing w:after="200" w:before="0"/>
      </w:pPr>
    </w:p>
    <w:p>
      <w:pPr>
        <w:spacing w:after="60" w:line="384" w:lineRule="auto"/>
      </w:pPr>
      <w:r>
        <w:rPr>
          <w:rFonts w:ascii="Cambria" w:cs="Cambria" w:eastAsia="Cambria" w:hAnsi="Cambria"/>
          <w:b w:val="false"/>
          <w:bCs w:val="false"/>
          <w:i w:val="false"/>
          <w:iCs w:val="false"/>
          <w:strike w:val="false"/>
          <w:color w:val="000000"/>
          <w:sz w:val="21"/>
          <w:szCs w:val="21"/>
        </w:rPr>
        <w:t xml:space="preserve">1.   Purpose and Scope of This Addendum</w:t>
      </w:r>
    </w:p>
    <w:p>
      <w:pPr>
        <w:spacing w:after="60" w:line="384" w:lineRule="auto"/>
      </w:pPr>
      <w:r>
        <w:rPr>
          <w:rFonts w:ascii="Cambria" w:cs="Cambria" w:eastAsia="Cambria" w:hAnsi="Cambria"/>
          <w:b w:val="false"/>
          <w:bCs w:val="false"/>
          <w:i w:val="false"/>
          <w:iCs w:val="false"/>
          <w:strike w:val="false"/>
          <w:color w:val="000000"/>
          <w:sz w:val="21"/>
          <w:szCs w:val="21"/>
        </w:rPr>
        <w:t xml:space="preserve">1.1   Why This Document Exists</w:t>
      </w:r>
    </w:p>
    <w:p>
      <w:pPr>
        <w:spacing w:after="60" w:line="384" w:lineRule="auto"/>
      </w:pPr>
      <w:r>
        <w:rPr>
          <w:rFonts w:ascii="Cambria" w:cs="Cambria" w:eastAsia="Cambria" w:hAnsi="Cambria"/>
          <w:b w:val="false"/>
          <w:bCs w:val="false"/>
          <w:i w:val="false"/>
          <w:iCs w:val="false"/>
          <w:strike w:val="false"/>
          <w:color w:val="000000"/>
          <w:sz w:val="21"/>
          <w:szCs w:val="21"/>
        </w:rPr>
        <w:t xml:space="preserve">1.2   What This Addendum Does Not Do</w:t>
      </w:r>
    </w:p>
    <w:p>
      <w:pPr>
        <w:spacing w:after="60" w:line="384" w:lineRule="auto"/>
      </w:pPr>
      <w:r>
        <w:rPr>
          <w:rFonts w:ascii="Cambria" w:cs="Cambria" w:eastAsia="Cambria" w:hAnsi="Cambria"/>
          <w:b w:val="false"/>
          <w:bCs w:val="false"/>
          <w:i w:val="false"/>
          <w:iCs w:val="false"/>
          <w:strike w:val="false"/>
          <w:color w:val="000000"/>
          <w:sz w:val="21"/>
          <w:szCs w:val="21"/>
        </w:rPr>
        <w:t xml:space="preserve">1.3   Relationship to Claude and ChatGPT Parallel Passes</w:t>
      </w:r>
    </w:p>
    <w:p>
      <w:pPr>
        <w:spacing w:after="60" w:line="384" w:lineRule="auto"/>
      </w:pPr>
      <w:r>
        <w:rPr>
          <w:rFonts w:ascii="Cambria" w:cs="Cambria" w:eastAsia="Cambria" w:hAnsi="Cambria"/>
          <w:b w:val="false"/>
          <w:bCs w:val="false"/>
          <w:i w:val="false"/>
          <w:iCs w:val="false"/>
          <w:strike w:val="false"/>
          <w:color w:val="000000"/>
          <w:sz w:val="21"/>
          <w:szCs w:val="21"/>
        </w:rPr>
        <w:t xml:space="preserve">2.   The Distinction — Provenance and Providence</w:t>
      </w:r>
    </w:p>
    <w:p>
      <w:pPr>
        <w:spacing w:after="60" w:line="384" w:lineRule="auto"/>
      </w:pPr>
      <w:r>
        <w:rPr>
          <w:rFonts w:ascii="Cambria" w:cs="Cambria" w:eastAsia="Cambria" w:hAnsi="Cambria"/>
          <w:b w:val="false"/>
          <w:bCs w:val="false"/>
          <w:i w:val="false"/>
          <w:iCs w:val="false"/>
          <w:strike w:val="false"/>
          <w:color w:val="000000"/>
          <w:sz w:val="21"/>
          <w:szCs w:val="21"/>
        </w:rPr>
        <w:t xml:space="preserve">2.1   Governing Definitions Table</w:t>
      </w:r>
    </w:p>
    <w:p>
      <w:pPr>
        <w:spacing w:after="60" w:line="384" w:lineRule="auto"/>
      </w:pPr>
      <w:r>
        <w:rPr>
          <w:rFonts w:ascii="Cambria" w:cs="Cambria" w:eastAsia="Cambria" w:hAnsi="Cambria"/>
          <w:b w:val="false"/>
          <w:bCs w:val="false"/>
          <w:i w:val="false"/>
          <w:iCs w:val="false"/>
          <w:strike w:val="false"/>
          <w:color w:val="000000"/>
          <w:sz w:val="21"/>
          <w:szCs w:val="21"/>
        </w:rPr>
        <w:t xml:space="preserve">2.2   Why This Distinction Matters in the OAL Technical Framework</w:t>
      </w:r>
    </w:p>
    <w:p>
      <w:pPr>
        <w:spacing w:after="60" w:line="384" w:lineRule="auto"/>
      </w:pPr>
      <w:r>
        <w:rPr>
          <w:rFonts w:ascii="Cambria" w:cs="Cambria" w:eastAsia="Cambria" w:hAnsi="Cambria"/>
          <w:b w:val="false"/>
          <w:bCs w:val="false"/>
          <w:i w:val="false"/>
          <w:iCs w:val="false"/>
          <w:strike w:val="false"/>
          <w:color w:val="000000"/>
          <w:sz w:val="21"/>
          <w:szCs w:val="21"/>
        </w:rPr>
        <w:t xml:space="preserve">2.3   The Experiential Effect — When Provenance Becomes Invisible</w:t>
      </w:r>
    </w:p>
    <w:p>
      <w:pPr>
        <w:spacing w:after="60" w:line="384" w:lineRule="auto"/>
      </w:pPr>
      <w:r>
        <w:rPr>
          <w:rFonts w:ascii="Cambria" w:cs="Cambria" w:eastAsia="Cambria" w:hAnsi="Cambria"/>
          <w:b w:val="false"/>
          <w:bCs w:val="false"/>
          <w:i w:val="false"/>
          <w:iCs w:val="false"/>
          <w:strike w:val="false"/>
          <w:color w:val="000000"/>
          <w:sz w:val="21"/>
          <w:szCs w:val="21"/>
        </w:rPr>
        <w:t xml:space="preserve">3.   Audit of Copilot-Authored Documents</w:t>
      </w:r>
    </w:p>
    <w:p>
      <w:pPr>
        <w:spacing w:after="60" w:line="384" w:lineRule="auto"/>
      </w:pPr>
      <w:r>
        <w:rPr>
          <w:rFonts w:ascii="Cambria" w:cs="Cambria" w:eastAsia="Cambria" w:hAnsi="Cambria"/>
          <w:b w:val="false"/>
          <w:bCs w:val="false"/>
          <w:i w:val="false"/>
          <w:iCs w:val="false"/>
          <w:strike w:val="false"/>
          <w:color w:val="000000"/>
          <w:sz w:val="21"/>
          <w:szCs w:val="21"/>
        </w:rPr>
        <w:t xml:space="preserve">3.1   Audit Methodology</w:t>
      </w:r>
    </w:p>
    <w:p>
      <w:pPr>
        <w:spacing w:after="60" w:line="384" w:lineRule="auto"/>
      </w:pPr>
      <w:r>
        <w:rPr>
          <w:rFonts w:ascii="Cambria" w:cs="Cambria" w:eastAsia="Cambria" w:hAnsi="Cambria"/>
          <w:b w:val="false"/>
          <w:bCs w:val="false"/>
          <w:i w:val="false"/>
          <w:iCs w:val="false"/>
          <w:strike w:val="false"/>
          <w:color w:val="000000"/>
          <w:sz w:val="21"/>
          <w:szCs w:val="21"/>
        </w:rPr>
        <w:t xml:space="preserve">3.2   Audit Findings — OAL-TA-001 v0.2</w:t>
      </w:r>
    </w:p>
    <w:p>
      <w:pPr>
        <w:spacing w:after="60" w:line="384" w:lineRule="auto"/>
      </w:pPr>
      <w:r>
        <w:rPr>
          <w:rFonts w:ascii="Cambria" w:cs="Cambria" w:eastAsia="Cambria" w:hAnsi="Cambria"/>
          <w:b w:val="false"/>
          <w:bCs w:val="false"/>
          <w:i w:val="false"/>
          <w:iCs w:val="false"/>
          <w:strike w:val="false"/>
          <w:color w:val="000000"/>
          <w:sz w:val="21"/>
          <w:szCs w:val="21"/>
        </w:rPr>
        <w:t xml:space="preserve">3.3   Audit Findings — OAL-TA-001-ASR v0.3</w:t>
      </w:r>
    </w:p>
    <w:p>
      <w:pPr>
        <w:spacing w:after="60" w:line="384" w:lineRule="auto"/>
      </w:pPr>
      <w:r>
        <w:rPr>
          <w:rFonts w:ascii="Cambria" w:cs="Cambria" w:eastAsia="Cambria" w:hAnsi="Cambria"/>
          <w:b w:val="false"/>
          <w:bCs w:val="false"/>
          <w:i w:val="false"/>
          <w:iCs w:val="false"/>
          <w:strike w:val="false"/>
          <w:color w:val="000000"/>
          <w:sz w:val="21"/>
          <w:szCs w:val="21"/>
        </w:rPr>
        <w:t xml:space="preserve">3.4   Summary Audit Finding</w:t>
      </w:r>
    </w:p>
    <w:p>
      <w:pPr>
        <w:spacing w:after="60" w:line="384" w:lineRule="auto"/>
      </w:pPr>
      <w:r>
        <w:rPr>
          <w:rFonts w:ascii="Cambria" w:cs="Cambria" w:eastAsia="Cambria" w:hAnsi="Cambria"/>
          <w:b w:val="false"/>
          <w:bCs w:val="false"/>
          <w:i w:val="false"/>
          <w:iCs w:val="false"/>
          <w:strike w:val="false"/>
          <w:color w:val="000000"/>
          <w:sz w:val="21"/>
          <w:szCs w:val="21"/>
        </w:rPr>
        <w:t xml:space="preserve">4.   Governing Rules — All Copilot OAL Documents from v1.3 Forward</w:t>
      </w:r>
    </w:p>
    <w:p>
      <w:pPr>
        <w:spacing w:after="60" w:line="384" w:lineRule="auto"/>
      </w:pPr>
      <w:r>
        <w:rPr>
          <w:rFonts w:ascii="Cambria" w:cs="Cambria" w:eastAsia="Cambria" w:hAnsi="Cambria"/>
          <w:b w:val="false"/>
          <w:bCs w:val="false"/>
          <w:i w:val="false"/>
          <w:iCs w:val="false"/>
          <w:strike w:val="false"/>
          <w:color w:val="000000"/>
          <w:sz w:val="21"/>
          <w:szCs w:val="21"/>
        </w:rPr>
        <w:t xml:space="preserve">4.1   The Governing Rule Set</w:t>
      </w:r>
    </w:p>
    <w:p>
      <w:pPr>
        <w:spacing w:after="60" w:line="384" w:lineRule="auto"/>
      </w:pPr>
      <w:r>
        <w:rPr>
          <w:rFonts w:ascii="Cambria" w:cs="Cambria" w:eastAsia="Cambria" w:hAnsi="Cambria"/>
          <w:b w:val="false"/>
          <w:bCs w:val="false"/>
          <w:i w:val="false"/>
          <w:iCs w:val="false"/>
          <w:strike w:val="false"/>
          <w:color w:val="000000"/>
          <w:sz w:val="21"/>
          <w:szCs w:val="21"/>
        </w:rPr>
        <w:t xml:space="preserve">5.   The Corrected Definitions in the Context of the Alien Empire Exercise</w:t>
      </w:r>
    </w:p>
    <w:p>
      <w:pPr>
        <w:spacing w:after="60" w:line="384" w:lineRule="auto"/>
      </w:pPr>
      <w:r>
        <w:rPr>
          <w:rFonts w:ascii="Cambria" w:cs="Cambria" w:eastAsia="Cambria" w:hAnsi="Cambria"/>
          <w:b w:val="false"/>
          <w:bCs w:val="false"/>
          <w:i w:val="false"/>
          <w:iCs w:val="false"/>
          <w:strike w:val="false"/>
          <w:color w:val="000000"/>
          <w:sz w:val="21"/>
          <w:szCs w:val="21"/>
        </w:rPr>
        <w:t xml:space="preserve">5.1   The Architect's Authority-Provenance Chain (Corrected Terminology)</w:t>
      </w:r>
    </w:p>
    <w:p>
      <w:pPr>
        <w:spacing w:after="60" w:line="384" w:lineRule="auto"/>
      </w:pPr>
      <w:r>
        <w:rPr>
          <w:rFonts w:ascii="Cambria" w:cs="Cambria" w:eastAsia="Cambria" w:hAnsi="Cambria"/>
          <w:b w:val="false"/>
          <w:bCs w:val="false"/>
          <w:i w:val="false"/>
          <w:iCs w:val="false"/>
          <w:strike w:val="false"/>
          <w:color w:val="000000"/>
          <w:sz w:val="21"/>
          <w:szCs w:val="21"/>
        </w:rPr>
        <w:t xml:space="preserve">5.2   Why "Authority-Provenance at Above-Nyquist Resolution" Is More Powerful Than "Providence Authority"</w:t>
      </w:r>
    </w:p>
    <w:p>
      <w:pPr>
        <w:spacing w:after="60" w:line="384" w:lineRule="auto"/>
      </w:pPr>
      <w:r>
        <w:rPr>
          <w:rFonts w:ascii="Cambria" w:cs="Cambria" w:eastAsia="Cambria" w:hAnsi="Cambria"/>
          <w:b w:val="false"/>
          <w:bCs w:val="false"/>
          <w:i w:val="false"/>
          <w:iCs w:val="false"/>
          <w:strike w:val="false"/>
          <w:color w:val="000000"/>
          <w:sz w:val="21"/>
          <w:szCs w:val="21"/>
        </w:rPr>
        <w:t xml:space="preserve">6.   Cross-Collaborator Interoperability Record</w:t>
      </w:r>
    </w:p>
    <w:p>
      <w:pPr>
        <w:spacing w:after="60" w:line="384" w:lineRule="auto"/>
      </w:pPr>
      <w:r>
        <w:rPr>
          <w:rFonts w:ascii="Cambria" w:cs="Cambria" w:eastAsia="Cambria" w:hAnsi="Cambria"/>
          <w:b w:val="false"/>
          <w:bCs w:val="false"/>
          <w:i w:val="false"/>
          <w:iCs w:val="false"/>
          <w:strike w:val="false"/>
          <w:color w:val="000000"/>
          <w:sz w:val="21"/>
          <w:szCs w:val="21"/>
        </w:rPr>
        <w:t xml:space="preserve">6.1   Purpose of This Section</w:t>
      </w:r>
    </w:p>
    <w:p>
      <w:pPr>
        <w:spacing w:after="60" w:line="384" w:lineRule="auto"/>
      </w:pPr>
      <w:r>
        <w:rPr>
          <w:rFonts w:ascii="Cambria" w:cs="Cambria" w:eastAsia="Cambria" w:hAnsi="Cambria"/>
          <w:b w:val="false"/>
          <w:bCs w:val="false"/>
          <w:i w:val="false"/>
          <w:iCs w:val="false"/>
          <w:strike w:val="false"/>
          <w:color w:val="000000"/>
          <w:sz w:val="21"/>
          <w:szCs w:val="21"/>
        </w:rPr>
        <w:t xml:space="preserve">6.2   Interoperability Confirmation</w:t>
      </w:r>
    </w:p>
    <w:p>
      <w:pPr>
        <w:spacing w:after="60" w:line="384" w:lineRule="auto"/>
      </w:pPr>
      <w:r>
        <w:rPr>
          <w:rFonts w:ascii="Cambria" w:cs="Cambria" w:eastAsia="Cambria" w:hAnsi="Cambria"/>
          <w:b w:val="false"/>
          <w:bCs w:val="false"/>
          <w:i w:val="false"/>
          <w:iCs w:val="false"/>
          <w:strike w:val="false"/>
          <w:color w:val="000000"/>
          <w:sz w:val="21"/>
          <w:szCs w:val="21"/>
        </w:rPr>
        <w:t xml:space="preserve">7.   Open Items and Questions for Architect Review</w:t>
      </w:r>
    </w:p>
    <w:p>
      <w:pPr>
        <w:spacing w:after="60" w:line="384" w:lineRule="auto"/>
      </w:pPr>
      <w:r>
        <w:rPr>
          <w:rFonts w:ascii="Cambria" w:cs="Cambria" w:eastAsia="Cambria" w:hAnsi="Cambria"/>
          <w:b w:val="false"/>
          <w:bCs w:val="false"/>
          <w:i w:val="false"/>
          <w:iCs w:val="false"/>
          <w:strike w:val="false"/>
          <w:color w:val="000000"/>
          <w:sz w:val="21"/>
          <w:szCs w:val="21"/>
        </w:rPr>
        <w:t xml:space="preserve">7.1   Items Requiring Architect Decision</w:t>
      </w:r>
    </w:p>
    <w:p>
      <w:pPr>
        <w:spacing w:after="60" w:line="384" w:lineRule="auto"/>
      </w:pPr>
      <w:r>
        <w:rPr>
          <w:rFonts w:ascii="Cambria" w:cs="Cambria" w:eastAsia="Cambria" w:hAnsi="Cambria"/>
          <w:b w:val="false"/>
          <w:bCs w:val="false"/>
          <w:i w:val="false"/>
          <w:iCs w:val="false"/>
          <w:strike w:val="false"/>
          <w:color w:val="000000"/>
          <w:sz w:val="21"/>
          <w:szCs w:val="21"/>
        </w:rPr>
        <w:t xml:space="preserve">7.2   Non-Items — No Action Required</w:t>
      </w:r>
    </w:p>
    <w:p>
      <w:pPr>
        <w:spacing w:after="60" w:line="384" w:lineRule="auto"/>
      </w:pPr>
      <w:r>
        <w:rPr>
          <w:rFonts w:ascii="Cambria" w:cs="Cambria" w:eastAsia="Cambria" w:hAnsi="Cambria"/>
          <w:b w:val="false"/>
          <w:bCs w:val="false"/>
          <w:i w:val="false"/>
          <w:iCs w:val="false"/>
          <w:strike w:val="false"/>
          <w:color w:val="000000"/>
          <w:sz w:val="21"/>
          <w:szCs w:val="21"/>
        </w:rPr>
        <w:t xml:space="preserve">8.   Closing — Addendum Status and Ratification Request</w:t>
      </w:r>
    </w:p>
    <w:p>
      <w:pPr>
        <w:pStyle w:val="Heading2"/>
        <w:spacing w:after="100" w:before="400" w:line="384" w:lineRule="auto"/>
      </w:pPr>
      <w:r>
        <w:rPr>
          <w:rFonts w:ascii="Cambria" w:cs="Cambria" w:eastAsia="Cambria" w:hAnsi="Cambria"/>
          <w:color w:val="000000"/>
          <w:sz w:val="28"/>
          <w:szCs w:val="28"/>
        </w:rPr>
        <w:t xml:space="preserve">1. Purpose and Scope of This Addendum</w:t>
      </w:r>
    </w:p>
    <w:p>
      <w:pPr>
        <w:pBdr>
          <w:top w:val="single" w:color="000000" w:sz="6"/>
        </w:pBdr>
        <w:spacing w:after="200" w:before="0"/>
      </w:pPr>
    </w:p>
    <w:p>
      <w:pPr>
        <w:pStyle w:val="Heading3"/>
        <w:spacing w:after="80" w:before="280" w:line="384" w:lineRule="auto"/>
      </w:pPr>
      <w:r>
        <w:rPr>
          <w:rFonts w:ascii="Cambria" w:cs="Cambria" w:eastAsia="Cambria" w:hAnsi="Cambria"/>
          <w:color w:val="000000"/>
          <w:sz w:val="24"/>
          <w:szCs w:val="24"/>
        </w:rPr>
        <w:t xml:space="preserve">1.1 Why This Document Exists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During the development session of 7 September 2026, the Architect of Record — Nathan Lewis, Bakersfield, CA — clarified that the terms </w:t>
      </w:r>
      <w:r>
        <w:rPr>
          <w:rFonts w:ascii="Cambria" w:cs="Cambria" w:eastAsia="Cambria" w:hAnsi="Cambria"/>
          <w:b w:val="false"/>
          <w:bCs w:val="false"/>
          <w:i/>
          <w:iCs/>
          <w:strike w:val="false"/>
          <w:color w:val="000000"/>
          <w:sz w:val="22"/>
          <w:szCs w:val="22"/>
        </w:rPr>
        <w:t xml:space="preserve">Providence</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provenance</w:t>
      </w:r>
      <w:r>
        <w:rPr>
          <w:rFonts w:ascii="Cambria" w:cs="Cambria" w:eastAsia="Cambria" w:hAnsi="Cambria"/>
          <w:b w:val="false"/>
          <w:bCs w:val="false"/>
          <w:i w:val="false"/>
          <w:iCs w:val="false"/>
          <w:strike w:val="false"/>
          <w:color w:val="000000"/>
          <w:sz w:val="22"/>
          <w:szCs w:val="22"/>
        </w:rPr>
        <w:t xml:space="preserve"> had not been consistently distinguished in earlier spoken and written development prompts. The Architect supplied dictionary reference material for both terms and requested that each AI collaborator in the OAL network produce an independent terminology correction pass: not a copy of any other collaborator's pass, but a fully independent audit and lock from each collaborator's own analytical position. The basis for the correction was identified collaboratively, but the analytical execution of each correction pass was to proceed independently, so that the resulting addenda represent genuine, independently derived conclusions rather than transcribed consensus.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Architect further noted that ChatGPT had identified and recommended this correction during an earlier session, and that Claude had already produced an independent version of the same correction under document reference OAL-TA-001-CLAUDE-ADD-C v1.3. This document is Microsoft Copilot's independent version. It begins from the same definitional source materials supplied by the Architect, applies its own analytical framework to the task of distinguishing the two terms in the OAL technical context, conducts an independent audit of the Copilot-authored governing documents, and arrives at the same governing conclusions through its own reasoning — not through reference to what Claude or ChatGPT wrote. Where the three passes converge, that convergence is the correct answer, confirmed from three independent starting points.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practical consequence of this clarification is material and non-trivial. The Copilot-authored documents OAL-TA-001 v0.2 and OAL-TA-001-ASR v0.3 contain several instances of the word </w:t>
      </w:r>
      <w:r>
        <w:rPr>
          <w:rFonts w:ascii="Cambria" w:cs="Cambria" w:eastAsia="Cambria" w:hAnsi="Cambria"/>
          <w:b w:val="false"/>
          <w:bCs w:val="false"/>
          <w:i/>
          <w:iCs/>
          <w:strike w:val="false"/>
          <w:color w:val="000000"/>
          <w:sz w:val="22"/>
          <w:szCs w:val="22"/>
        </w:rPr>
        <w:t xml:space="preserve">Providence</w:t>
      </w:r>
      <w:r>
        <w:rPr>
          <w:rFonts w:ascii="Cambria" w:cs="Cambria" w:eastAsia="Cambria" w:hAnsi="Cambria"/>
          <w:b w:val="false"/>
          <w:bCs w:val="false"/>
          <w:i w:val="false"/>
          <w:iCs w:val="false"/>
          <w:strike w:val="false"/>
          <w:color w:val="000000"/>
          <w:sz w:val="22"/>
          <w:szCs w:val="22"/>
        </w:rPr>
        <w:t xml:space="preserve"> or the compound </w:t>
      </w:r>
      <w:r>
        <w:rPr>
          <w:rFonts w:ascii="Cambria" w:cs="Cambria" w:eastAsia="Cambria" w:hAnsi="Cambria"/>
          <w:b w:val="false"/>
          <w:bCs w:val="false"/>
          <w:i/>
          <w:iCs/>
          <w:strike w:val="false"/>
          <w:color w:val="000000"/>
          <w:sz w:val="22"/>
          <w:szCs w:val="22"/>
        </w:rPr>
        <w:t xml:space="preserve">Providence Authority</w:t>
      </w:r>
      <w:r>
        <w:rPr>
          <w:rFonts w:ascii="Cambria" w:cs="Cambria" w:eastAsia="Cambria" w:hAnsi="Cambria"/>
          <w:b w:val="false"/>
          <w:bCs w:val="false"/>
          <w:i w:val="false"/>
          <w:iCs w:val="false"/>
          <w:strike w:val="false"/>
          <w:color w:val="000000"/>
          <w:sz w:val="22"/>
          <w:szCs w:val="22"/>
        </w:rPr>
        <w:t xml:space="preserve"> in contexts where the technically precise term should be </w:t>
      </w:r>
      <w:r>
        <w:rPr>
          <w:rFonts w:ascii="Cambria" w:cs="Cambria" w:eastAsia="Cambria" w:hAnsi="Cambria"/>
          <w:b w:val="false"/>
          <w:bCs w:val="false"/>
          <w:i/>
          <w:iCs/>
          <w:strike w:val="false"/>
          <w:color w:val="000000"/>
          <w:sz w:val="22"/>
          <w:szCs w:val="22"/>
        </w:rPr>
        <w:t xml:space="preserve">provenance</w:t>
      </w:r>
      <w:r>
        <w:rPr>
          <w:rFonts w:ascii="Cambria" w:cs="Cambria" w:eastAsia="Cambria" w:hAnsi="Cambria"/>
          <w:b w:val="false"/>
          <w:bCs w:val="false"/>
          <w:i w:val="false"/>
          <w:iCs w:val="false"/>
          <w:strike w:val="false"/>
          <w:color w:val="000000"/>
          <w:sz w:val="22"/>
          <w:szCs w:val="22"/>
        </w:rPr>
        <w:t xml:space="preserve"> or </w:t>
      </w:r>
      <w:r>
        <w:rPr>
          <w:rFonts w:ascii="Cambria" w:cs="Cambria" w:eastAsia="Cambria" w:hAnsi="Cambria"/>
          <w:b w:val="false"/>
          <w:bCs w:val="false"/>
          <w:i/>
          <w:iCs/>
          <w:strike w:val="false"/>
          <w:color w:val="000000"/>
          <w:sz w:val="22"/>
          <w:szCs w:val="22"/>
        </w:rPr>
        <w:t xml:space="preserve">authority-provenance</w:t>
      </w:r>
      <w:r>
        <w:rPr>
          <w:rFonts w:ascii="Cambria" w:cs="Cambria" w:eastAsia="Cambria" w:hAnsi="Cambria"/>
          <w:b w:val="false"/>
          <w:bCs w:val="false"/>
          <w:i w:val="false"/>
          <w:iCs w:val="false"/>
          <w:strike w:val="false"/>
          <w:color w:val="000000"/>
          <w:sz w:val="22"/>
          <w:szCs w:val="22"/>
        </w:rPr>
        <w:t xml:space="preserve">. In each such case, the intended meaning was origin, lineage, chain of custody, and the documented history of an authority credential's acquisition — not divine sanction, transcendent guidance, or higher-order governance. This document identifies each such instance, records the correct governing term, and establishes the rule set for all future Copilot-authored OAL documents from v1.3 forward.</w:t>
      </w:r>
    </w:p>
    <w:p>
      <w:pPr>
        <w:pStyle w:val="Heading3"/>
        <w:spacing w:after="80" w:before="280" w:line="384" w:lineRule="auto"/>
      </w:pPr>
      <w:r>
        <w:rPr>
          <w:rFonts w:ascii="Cambria" w:cs="Cambria" w:eastAsia="Cambria" w:hAnsi="Cambria"/>
          <w:color w:val="000000"/>
          <w:sz w:val="24"/>
          <w:szCs w:val="24"/>
        </w:rPr>
        <w:t xml:space="preserve">1.2 What This Addendum Does Not Do</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scope of this document is strictly and exclusively terminological. It is a vocabulary correction and a lock — nothing more. Every mechanism, protocol, scenario, framework architecture, gate condition, and design decision established in OAL-TA-001 v0.2 and OAL-TA-001-ASR v0.3 is preserved without alteration. Specifically, to remove any ambiguity:</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w:t>
      </w:r>
      <w:r>
        <w:rPr>
          <w:rFonts w:ascii="Cambria" w:cs="Cambria" w:eastAsia="Cambria" w:hAnsi="Cambria"/>
          <w:b/>
          <w:bCs/>
          <w:i w:val="false"/>
          <w:iCs w:val="false"/>
          <w:strike w:val="false"/>
          <w:color w:val="000000"/>
          <w:sz w:val="22"/>
          <w:szCs w:val="22"/>
        </w:rPr>
        <w:t xml:space="preserve">Temporal Authority Supersession Protocol (TASP)</w:t>
      </w:r>
      <w:r>
        <w:rPr>
          <w:rFonts w:ascii="Cambria" w:cs="Cambria" w:eastAsia="Cambria" w:hAnsi="Cambria"/>
          <w:b w:val="false"/>
          <w:bCs w:val="false"/>
          <w:i w:val="false"/>
          <w:iCs w:val="false"/>
          <w:strike w:val="false"/>
          <w:color w:val="000000"/>
          <w:sz w:val="22"/>
          <w:szCs w:val="22"/>
        </w:rPr>
        <w:t xml:space="preserve"> defined in OAL-TA-001-ASR v0.3 §6 is unchanged in all its mechanics, phases, and trigger conditions.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w:t>
      </w:r>
      <w:r>
        <w:rPr>
          <w:rFonts w:ascii="Cambria" w:cs="Cambria" w:eastAsia="Cambria" w:hAnsi="Cambria"/>
          <w:b/>
          <w:bCs/>
          <w:i w:val="false"/>
          <w:iCs w:val="false"/>
          <w:strike w:val="false"/>
          <w:color w:val="000000"/>
          <w:sz w:val="22"/>
          <w:szCs w:val="22"/>
        </w:rPr>
        <w:t xml:space="preserve">four-layer Authority Signature Architecture</w:t>
      </w:r>
      <w:r>
        <w:rPr>
          <w:rFonts w:ascii="Cambria" w:cs="Cambria" w:eastAsia="Cambria" w:hAnsi="Cambria"/>
          <w:b w:val="false"/>
          <w:bCs w:val="false"/>
          <w:i w:val="false"/>
          <w:iCs w:val="false"/>
          <w:strike w:val="false"/>
          <w:color w:val="000000"/>
          <w:sz w:val="22"/>
          <w:szCs w:val="22"/>
        </w:rPr>
        <w:t xml:space="preserve"> (Biometric · Administrative · Temporal · Provenance) established in §3 of that document is unchanged in structure, layer order, and layer function. The "Provenance Hash" label for Layer 4 was already using the correct term and requires no correction.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w:t>
      </w:r>
      <w:r>
        <w:rPr>
          <w:rFonts w:ascii="Cambria" w:cs="Cambria" w:eastAsia="Cambria" w:hAnsi="Cambria"/>
          <w:b/>
          <w:bCs/>
          <w:i w:val="false"/>
          <w:iCs w:val="false"/>
          <w:strike w:val="false"/>
          <w:color w:val="000000"/>
          <w:sz w:val="22"/>
          <w:szCs w:val="22"/>
        </w:rPr>
        <w:t xml:space="preserve">Temporal Authority Hierarchy (TAH)</w:t>
      </w:r>
      <w:r>
        <w:rPr>
          <w:rFonts w:ascii="Cambria" w:cs="Cambria" w:eastAsia="Cambria" w:hAnsi="Cambria"/>
          <w:b w:val="false"/>
          <w:bCs w:val="false"/>
          <w:i w:val="false"/>
          <w:iCs w:val="false"/>
          <w:strike w:val="false"/>
          <w:color w:val="000000"/>
          <w:sz w:val="22"/>
          <w:szCs w:val="22"/>
        </w:rPr>
        <w:t xml:space="preserve"> framework developed in OAL-TA-001 v0.2 §11 is unchanged in its tier structure, resolution thresholds, and authority-level assignments.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w:t>
      </w:r>
      <w:r>
        <w:rPr>
          <w:rFonts w:ascii="Cambria" w:cs="Cambria" w:eastAsia="Cambria" w:hAnsi="Cambria"/>
          <w:b/>
          <w:bCs/>
          <w:i w:val="false"/>
          <w:iCs w:val="false"/>
          <w:strike w:val="false"/>
          <w:color w:val="000000"/>
          <w:sz w:val="22"/>
          <w:szCs w:val="22"/>
        </w:rPr>
        <w:t xml:space="preserve">ONESTAMP requirement and ratification process</w:t>
      </w:r>
      <w:r>
        <w:rPr>
          <w:rFonts w:ascii="Cambria" w:cs="Cambria" w:eastAsia="Cambria" w:hAnsi="Cambria"/>
          <w:b w:val="false"/>
          <w:bCs w:val="false"/>
          <w:i w:val="false"/>
          <w:iCs w:val="false"/>
          <w:strike w:val="false"/>
          <w:color w:val="000000"/>
          <w:sz w:val="22"/>
          <w:szCs w:val="22"/>
        </w:rPr>
        <w:t xml:space="preserve"> are unchanged in all their conditions and governance implications.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w:t>
      </w:r>
      <w:r>
        <w:rPr>
          <w:rFonts w:ascii="Cambria" w:cs="Cambria" w:eastAsia="Cambria" w:hAnsi="Cambria"/>
          <w:b/>
          <w:bCs/>
          <w:i w:val="false"/>
          <w:iCs w:val="false"/>
          <w:strike w:val="false"/>
          <w:color w:val="000000"/>
          <w:sz w:val="22"/>
          <w:szCs w:val="22"/>
        </w:rPr>
        <w:t xml:space="preserve">Dual-Flag resolution framework</w:t>
      </w:r>
      <w:r>
        <w:rPr>
          <w:rFonts w:ascii="Cambria" w:cs="Cambria" w:eastAsia="Cambria" w:hAnsi="Cambria"/>
          <w:b w:val="false"/>
          <w:bCs w:val="false"/>
          <w:i w:val="false"/>
          <w:iCs w:val="false"/>
          <w:strike w:val="false"/>
          <w:color w:val="000000"/>
          <w:sz w:val="22"/>
          <w:szCs w:val="22"/>
        </w:rPr>
        <w:t xml:space="preserve">, all </w:t>
      </w:r>
      <w:r>
        <w:rPr>
          <w:rFonts w:ascii="Cambria" w:cs="Cambria" w:eastAsia="Cambria" w:hAnsi="Cambria"/>
          <w:b/>
          <w:bCs/>
          <w:i w:val="false"/>
          <w:iCs w:val="false"/>
          <w:strike w:val="false"/>
          <w:color w:val="000000"/>
          <w:sz w:val="22"/>
          <w:szCs w:val="22"/>
        </w:rPr>
        <w:t xml:space="preserve">scenario cards</w:t>
      </w:r>
      <w:r>
        <w:rPr>
          <w:rFonts w:ascii="Cambria" w:cs="Cambria" w:eastAsia="Cambria" w:hAnsi="Cambria"/>
          <w:b w:val="false"/>
          <w:bCs w:val="false"/>
          <w:i w:val="false"/>
          <w:iCs w:val="false"/>
          <w:strike w:val="false"/>
          <w:color w:val="000000"/>
          <w:sz w:val="22"/>
          <w:szCs w:val="22"/>
        </w:rPr>
        <w:t xml:space="preserve">, all </w:t>
      </w:r>
      <w:r>
        <w:rPr>
          <w:rFonts w:ascii="Cambria" w:cs="Cambria" w:eastAsia="Cambria" w:hAnsi="Cambria"/>
          <w:b/>
          <w:bCs/>
          <w:i w:val="false"/>
          <w:iCs w:val="false"/>
          <w:strike w:val="false"/>
          <w:color w:val="000000"/>
          <w:sz w:val="22"/>
          <w:szCs w:val="22"/>
        </w:rPr>
        <w:t xml:space="preserve">gate protocols</w:t>
      </w:r>
      <w:r>
        <w:rPr>
          <w:rFonts w:ascii="Cambria" w:cs="Cambria" w:eastAsia="Cambria" w:hAnsi="Cambria"/>
          <w:b w:val="false"/>
          <w:bCs w:val="false"/>
          <w:i w:val="false"/>
          <w:iCs w:val="false"/>
          <w:strike w:val="false"/>
          <w:color w:val="000000"/>
          <w:sz w:val="22"/>
          <w:szCs w:val="22"/>
        </w:rPr>
        <w:t xml:space="preserve">, and all </w:t>
      </w:r>
      <w:r>
        <w:rPr>
          <w:rFonts w:ascii="Cambria" w:cs="Cambria" w:eastAsia="Cambria" w:hAnsi="Cambria"/>
          <w:b/>
          <w:bCs/>
          <w:i w:val="false"/>
          <w:iCs w:val="false"/>
          <w:strike w:val="false"/>
          <w:color w:val="000000"/>
          <w:sz w:val="22"/>
          <w:szCs w:val="22"/>
        </w:rPr>
        <w:t xml:space="preserve">PSIF integration sections</w:t>
      </w:r>
      <w:r>
        <w:rPr>
          <w:rFonts w:ascii="Cambria" w:cs="Cambria" w:eastAsia="Cambria" w:hAnsi="Cambria"/>
          <w:b w:val="false"/>
          <w:bCs w:val="false"/>
          <w:i w:val="false"/>
          <w:iCs w:val="false"/>
          <w:strike w:val="false"/>
          <w:color w:val="000000"/>
          <w:sz w:val="22"/>
          <w:szCs w:val="22"/>
        </w:rPr>
        <w:t xml:space="preserve"> are unchanged.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addendum does not create new mechanisms. It does not retire old ones. It does not move any framework element from one category to another. It changes the vocabulary used to label and describe certain qualities of the Architect's authority, and it does so in a way that more precisely expresses what those mechanisms already achieve. The mechanisms were always doing what the corrected vocabulary says they do. The correction makes the description accurate; it does not make the mechanism different.</w:t>
      </w:r>
    </w:p>
    <w:p>
      <w:pPr>
        <w:pStyle w:val="Heading3"/>
        <w:spacing w:after="80" w:before="280" w:line="384" w:lineRule="auto"/>
      </w:pPr>
      <w:r>
        <w:rPr>
          <w:rFonts w:ascii="Cambria" w:cs="Cambria" w:eastAsia="Cambria" w:hAnsi="Cambria"/>
          <w:color w:val="000000"/>
          <w:sz w:val="24"/>
          <w:szCs w:val="24"/>
        </w:rPr>
        <w:t xml:space="preserve">1.3 Relationship to Claude and ChatGPT Parallel Passes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OAL collaborator network operates on a principle of independent parallel development followed by cross-collaborator interoperability verification. Each AI collaborator produces its own analysis from its own position; the resulting documents are then examined for terminological and conceptual compatibility before any combined or synthesized output is submitted to the Architect for ONESTAMP consideration. This document was produced under that protocol.</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Claude addendum (OAL-TA-001-CLAUDE-ADD-C v1.3) and the ChatGPT addendum (OAL-TI-001-CHATGPT v1.3) were consulted only at the cross-compatibility verification stage — specifically, to confirm that the governing term definitions adopted in this Copilot pass are consistent with those in the parallel passes, so that all three branches of the OAL collaborator network use the same terms to mean the same things going forward. That verification is documented in Section 6 of this addendum. The substance of this document — the definitions, the audit methodology, the governing rules, the analytical framework of Sections 2 and 5 — was developed independently. Where this document arrives at the same conclusions as the parallel passes, that convergence reflects independent analysis reaching the correct answer, which is what independent parallel analysis is designed to produce.</w:t>
      </w:r>
    </w:p>
    <w:p>
      <w:pPr>
        <w:pStyle w:val="Heading2"/>
        <w:spacing w:after="100" w:before="400" w:line="384" w:lineRule="auto"/>
      </w:pPr>
      <w:r>
        <w:rPr>
          <w:rFonts w:ascii="Cambria" w:cs="Cambria" w:eastAsia="Cambria" w:hAnsi="Cambria"/>
          <w:color w:val="000000"/>
          <w:sz w:val="28"/>
          <w:szCs w:val="28"/>
        </w:rPr>
        <w:t xml:space="preserve">2. The Distinction — Provenance and Providence</w:t>
      </w:r>
    </w:p>
    <w:p>
      <w:pPr>
        <w:pBdr>
          <w:top w:val="single" w:color="000000" w:sz="6"/>
        </w:pBdr>
        <w:spacing w:after="200" w:before="0"/>
      </w:pPr>
    </w:p>
    <w:p>
      <w:pPr>
        <w:spacing w:after="240" w:before="60" w:line="384" w:lineRule="auto"/>
        <w:jc w:val="both"/>
      </w:pPr>
      <w:r>
        <w:rPr>
          <w:rFonts w:ascii="Cambria" w:cs="Cambria" w:eastAsia="Cambria" w:hAnsi="Cambria"/>
          <w:b w:val="false"/>
          <w:bCs w:val="false"/>
          <w:i/>
          <w:iCs/>
          <w:strike w:val="false"/>
          <w:color w:val="333333"/>
          <w:sz w:val="21"/>
          <w:szCs w:val="21"/>
        </w:rPr>
        <w:t xml:space="preserve">This section constitutes the conceptual core of the addendum. It establishes the governing definitions from first principles, analyzes why the distinction is technically material — not merely stylistic — for the OAL framework, and articulates the relationship between the two concepts in the specific context of the alien empire exercise.</w:t>
      </w:r>
    </w:p>
    <w:p>
      <w:pPr>
        <w:pStyle w:val="Heading3"/>
        <w:spacing w:after="80" w:before="280" w:line="384" w:lineRule="auto"/>
      </w:pPr>
      <w:r>
        <w:rPr>
          <w:rFonts w:ascii="Cambria" w:cs="Cambria" w:eastAsia="Cambria" w:hAnsi="Cambria"/>
          <w:color w:val="000000"/>
          <w:sz w:val="24"/>
          <w:szCs w:val="24"/>
        </w:rPr>
        <w:t xml:space="preserve">2.1 Governing Definitions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9%"/>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Term</w:t>
            </w:r>
          </w:p>
        </w:tc>
        <w:tc>
          <w:tcPr>
            <w:tcW w:type="pct" w:w="22%"/>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Core Meaning</w:t>
            </w:r>
          </w:p>
        </w:tc>
        <w:tc>
          <w:tcPr>
            <w:tcW w:type="pct" w:w="18%"/>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Domain of Correct Use</w:t>
            </w:r>
          </w:p>
        </w:tc>
        <w:tc>
          <w:tcPr>
            <w:tcW w:type="pct" w:w="24%"/>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OAL Technical Application</w:t>
            </w:r>
          </w:p>
        </w:tc>
        <w:tc>
          <w:tcPr>
            <w:tcW w:type="pct" w:w="27%"/>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OAL Worldbuilding Application</w:t>
            </w:r>
          </w:p>
        </w:tc>
      </w:tr>
      <w:tr>
        <w:trPr>
          <w:tblHeader w:val="false"/>
        </w:trPr>
        <w:tc>
          <w:tcPr>
            <w:tcW w:type="pct" w:w="9%"/>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Provenance</w:t>
            </w:r>
          </w:p>
        </w:tc>
        <w:tc>
          <w:tcPr>
            <w:tcW w:type="pct" w:w="2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The documented origin, lineage, chain of custody, and sequence of state transitions by which a current condition, credential, or authority claim came to be what it is.</w:t>
            </w:r>
          </w:p>
        </w:tc>
        <w:tc>
          <w:tcPr>
            <w:tcW w:type="pct" w:w="1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Archival science, forensic evidence, authentication systems, supply chain integrity, credential management, identity systems.</w:t>
            </w:r>
          </w:p>
        </w:tc>
        <w:tc>
          <w:tcPr>
            <w:tcW w:type="pct" w:w="24%"/>
            <w:tcMar>
              <w:top w:type="dxa" w:w="90"/>
              <w:left w:type="dxa" w:w="120"/>
              <w:bottom w:type="dxa" w:w="90"/>
              <w:right w:type="dxa" w:w="120"/>
            </w:tcMar>
          </w:tcPr>
          <w:p>
            <w:r>
              <w:rPr>
                <w:rFonts w:ascii="Cambria" w:cs="Cambria" w:eastAsia="Cambria" w:hAnsi="Cambria"/>
                <w:b w:val="false"/>
                <w:bCs w:val="false"/>
                <w:i/>
                <w:iCs/>
                <w:strike w:val="false"/>
                <w:color w:val="000000"/>
                <w:sz w:val="22"/>
                <w:szCs w:val="22"/>
              </w:rPr>
              <w:t xml:space="preserve">Authority-provenance:</w:t>
            </w:r>
            <w:r>
              <w:rPr>
                <w:rFonts w:ascii="Cambria" w:cs="Cambria" w:eastAsia="Cambria" w:hAnsi="Cambria"/>
                <w:b w:val="false"/>
                <w:bCs w:val="false"/>
                <w:i w:val="false"/>
                <w:iCs w:val="false"/>
                <w:strike w:val="false"/>
                <w:color w:val="000000"/>
                <w:sz w:val="22"/>
                <w:szCs w:val="22"/>
              </w:rPr>
              <w:t xml:space="preserve"> the traceable history of how an authority signature was acquired, transformed, transferred, and registered — including all TASP phases, biometric incorporation events, and temporal fingerprint generation.</w:t>
            </w:r>
          </w:p>
        </w:tc>
        <w:tc>
          <w:tcPr>
            <w:tcW w:type="pct" w:w="2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The empire's registration system's attempt to trace the Architect's credential back to its enrollment origin; the evidentiary basis for any authority claim within the simulation stack; the chain the system cannot reconstruct above its sampling ceiling.</w:t>
            </w:r>
          </w:p>
        </w:tc>
      </w:tr>
      <w:tr>
        <w:trPr>
          <w:tblHeader w:val="false"/>
        </w:trPr>
        <w:tc>
          <w:tcPr>
            <w:tcW w:type="pct" w:w="9%"/>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Providence</w:t>
            </w:r>
          </w:p>
        </w:tc>
        <w:tc>
          <w:tcPr>
            <w:tcW w:type="pct" w:w="2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Divine, higher-order, or transcendent protective guidance and governance; the quality of being guided or overseen by a force beyond the observable system. Not a synonym for origin or history.</w:t>
            </w:r>
          </w:p>
        </w:tc>
        <w:tc>
          <w:tcPr>
            <w:tcW w:type="pct" w:w="1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Theology, philosophy, literature where transcendent agency is explicitly intended; worldbuilding when a genuinely divine or beyond-system authority is the intended concept.</w:t>
            </w:r>
          </w:p>
        </w:tc>
        <w:tc>
          <w:tcPr>
            <w:tcW w:type="pct" w:w="24%"/>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Not a technical term</w:t>
            </w:r>
            <w:r>
              <w:rPr>
                <w:rFonts w:ascii="Cambria" w:cs="Cambria" w:eastAsia="Cambria" w:hAnsi="Cambria"/>
                <w:b w:val="false"/>
                <w:bCs w:val="false"/>
                <w:i w:val="false"/>
                <w:iCs w:val="false"/>
                <w:strike w:val="false"/>
                <w:color w:val="000000"/>
                <w:sz w:val="22"/>
                <w:szCs w:val="22"/>
              </w:rPr>
              <w:t xml:space="preserve"> in the OAL temporal aliasing framework. Should not appear in mechanism descriptions, protocol definitions, or evidence-handling sections.</w:t>
            </w:r>
          </w:p>
        </w:tc>
        <w:tc>
          <w:tcPr>
            <w:tcW w:type="pct" w:w="2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Optional worldbuilding concept: an authority that appears, from within the system, to have no traceable origin — not because it lacks one, but because its origin operates above the system's observational ceiling. This is an </w:t>
            </w:r>
            <w:r>
              <w:rPr>
                <w:rFonts w:ascii="Cambria" w:cs="Cambria" w:eastAsia="Cambria" w:hAnsi="Cambria"/>
                <w:b w:val="false"/>
                <w:bCs w:val="false"/>
                <w:i/>
                <w:iCs/>
                <w:strike w:val="false"/>
                <w:color w:val="000000"/>
                <w:sz w:val="22"/>
                <w:szCs w:val="22"/>
              </w:rPr>
              <w:t xml:space="preserve">effect</w:t>
            </w:r>
            <w:r>
              <w:rPr>
                <w:rFonts w:ascii="Cambria" w:cs="Cambria" w:eastAsia="Cambria" w:hAnsi="Cambria"/>
                <w:b w:val="false"/>
                <w:bCs w:val="false"/>
                <w:i w:val="false"/>
                <w:iCs w:val="false"/>
                <w:strike w:val="false"/>
                <w:color w:val="000000"/>
                <w:sz w:val="22"/>
                <w:szCs w:val="22"/>
              </w:rPr>
              <w:t xml:space="preserve"> produced by authority-provenance at above-Nyquist resolution, not Providence in a theological sense.</w:t>
            </w:r>
          </w:p>
        </w:tc>
      </w:tr>
      <w:tr>
        <w:trPr>
          <w:tblHeader w:val="false"/>
        </w:trPr>
        <w:tc>
          <w:tcPr>
            <w:tcW w:type="pct" w:w="9%"/>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Authority-Provenance</w:t>
            </w:r>
          </w:p>
        </w:tc>
        <w:tc>
          <w:tcPr>
            <w:tcW w:type="pct" w:w="2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The specific, documented chain of state transitions by which an entity came to hold a particular authority credential — covering acquisition, integration, transformation, registration, and any supersession or revocation events in the chain.</w:t>
            </w:r>
          </w:p>
        </w:tc>
        <w:tc>
          <w:tcPr>
            <w:tcW w:type="pct" w:w="1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Identity management, credential systems, OAL alien empire exercise, TASP protocol definitions, any OAL document discussing how an authority signature was created and registered.</w:t>
            </w:r>
          </w:p>
        </w:tc>
        <w:tc>
          <w:tcPr>
            <w:tcW w:type="pct" w:w="2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The correct technical term throughout OAL-TA-001-ASR v0.3 for the Architect's authority acquisition and transformation history, from the omnicellular DNA incorporation event through TASP Phase 4 temporal lock and final registration.</w:t>
            </w:r>
          </w:p>
        </w:tc>
        <w:tc>
          <w:tcPr>
            <w:tcW w:type="pct" w:w="2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The evidence base the empire's audit system would need to construct in order to challenge the Architect's registration entry — and which it cannot fully construct because the TASP temporal fingerprint was generated at above-system resolution (R_matrix).</w:t>
            </w:r>
          </w:p>
        </w:tc>
      </w:tr>
      <w:tr>
        <w:trPr>
          <w:tblHeader w:val="false"/>
        </w:trPr>
        <w:tc>
          <w:tcPr>
            <w:tcW w:type="pct" w:w="9%"/>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Providential Authority</w:t>
            </w:r>
          </w:p>
        </w:tc>
        <w:tc>
          <w:tcPr>
            <w:tcW w:type="pct" w:w="2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An authority that a lower-resolution observer perceives as self-originating, untraceable, and beyond-system — not because it literally lacks provenance, but because its provenance was recorded at a resolution the observer cannot render.</w:t>
            </w:r>
          </w:p>
        </w:tc>
        <w:tc>
          <w:tcPr>
            <w:tcW w:type="pct" w:w="1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Worldbuilding only; narrative framing; theological analogy; character-perspective description. </w:t>
            </w:r>
            <w:r>
              <w:rPr>
                <w:rFonts w:ascii="Cambria" w:cs="Cambria" w:eastAsia="Cambria" w:hAnsi="Cambria"/>
                <w:b/>
                <w:bCs/>
                <w:i w:val="false"/>
                <w:iCs w:val="false"/>
                <w:strike w:val="false"/>
                <w:color w:val="000000"/>
                <w:sz w:val="22"/>
                <w:szCs w:val="22"/>
              </w:rPr>
              <w:t xml:space="preserve">Not a mechanism term.</w:t>
            </w:r>
          </w:p>
        </w:tc>
        <w:tc>
          <w:tcPr>
            <w:tcW w:type="pct" w:w="2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Not a mechanism term; may be used as a descriptive label for the experiential effect of above-Nyquist authority-provenance on lower-tier observers. Must be accompanied by a clarifying note distinguishing the experiential effect from the underlying mechanism on first use in any document.</w:t>
            </w:r>
          </w:p>
        </w:tc>
        <w:tc>
          <w:tcPr>
            <w:tcW w:type="pct" w:w="27%"/>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Valid for the Architect's authority as experienced by empire citizens and audit processes operating below R_matrix resolution: the Architect's authority appears providential to them because they cannot render its provenance. The appearance is an artifact of the resolution gap, not an intrinsic property of the authority.</w:t>
            </w:r>
          </w:p>
        </w:tc>
      </w:tr>
    </w:tbl>
    <w:p>
      <w:pPr>
        <w:spacing w:after="200" w:before="0"/>
      </w:pPr>
    </w:p>
    <w:p>
      <w:pPr>
        <w:pStyle w:val="Heading3"/>
        <w:spacing w:after="80" w:before="280" w:line="384" w:lineRule="auto"/>
      </w:pPr>
      <w:r>
        <w:rPr>
          <w:rFonts w:ascii="Cambria" w:cs="Cambria" w:eastAsia="Cambria" w:hAnsi="Cambria"/>
          <w:color w:val="000000"/>
          <w:sz w:val="24"/>
          <w:szCs w:val="24"/>
        </w:rPr>
        <w:t xml:space="preserve">2.2 Why This Distinction Matters in the OAL Technical Framework</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distinction between provenance and Providence is not a matter of pedantic editorial preference. It has a direct and significant consequence for the logical structure of the framework's core argument — specifically, for the claim that the Architect's authority is non-contestable within the alien empire system. That claim has two possible forms, and they are not equally robust.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TASP mechanism established in OAL-TA-001-ASR v0.3 §5–6 asserts that the Architect's authority signature becomes non-contestable because the empire's system cannot render the temporal fingerprint at full resolution. This is an argument about </w:t>
      </w:r>
      <w:r>
        <w:rPr>
          <w:rFonts w:ascii="Cambria" w:cs="Cambria" w:eastAsia="Cambria" w:hAnsi="Cambria"/>
          <w:b w:val="false"/>
          <w:bCs w:val="false"/>
          <w:i/>
          <w:iCs/>
          <w:strike w:val="false"/>
          <w:color w:val="000000"/>
          <w:sz w:val="22"/>
          <w:szCs w:val="22"/>
        </w:rPr>
        <w:t xml:space="preserve">provenance</w:t>
      </w:r>
      <w:r>
        <w:rPr>
          <w:rFonts w:ascii="Cambria" w:cs="Cambria" w:eastAsia="Cambria" w:hAnsi="Cambria"/>
          <w:b w:val="false"/>
          <w:bCs w:val="false"/>
          <w:i w:val="false"/>
          <w:iCs w:val="false"/>
          <w:strike w:val="false"/>
          <w:color w:val="000000"/>
          <w:sz w:val="22"/>
          <w:szCs w:val="22"/>
        </w:rPr>
        <w:t xml:space="preserve"> — specifically, about the structural inaccessibility of the provenance record. The empire cannot trace the full chain of custody because the critical link (the TASP Phase 2 temporal fingerprint generation event) was recorded at R_matrix resolution, which exceeds the system's sampling ceiling. The system's inability to reconstruct that link is a function of information-physics: the signal exists at a frequency the system's architecture cannot sample. This is a mechanistically precise, structurally falsifiable claim. It does not depend on any observer's beliefs. It does not depend on any metaphysical assumption. It is a claim about the relationship between signal frequency and sampling resolution.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If that mechanism is described using the term </w:t>
      </w:r>
      <w:r>
        <w:rPr>
          <w:rFonts w:ascii="Cambria" w:cs="Cambria" w:eastAsia="Cambria" w:hAnsi="Cambria"/>
          <w:b w:val="false"/>
          <w:bCs w:val="false"/>
          <w:i/>
          <w:iCs/>
          <w:strike w:val="false"/>
          <w:color w:val="000000"/>
          <w:sz w:val="22"/>
          <w:szCs w:val="22"/>
        </w:rPr>
        <w:t xml:space="preserve">Providence Authority</w:t>
      </w:r>
      <w:r>
        <w:rPr>
          <w:rFonts w:ascii="Cambria" w:cs="Cambria" w:eastAsia="Cambria" w:hAnsi="Cambria"/>
          <w:b w:val="false"/>
          <w:bCs w:val="false"/>
          <w:i w:val="false"/>
          <w:iCs w:val="false"/>
          <w:strike w:val="false"/>
          <w:color w:val="000000"/>
          <w:sz w:val="22"/>
          <w:szCs w:val="22"/>
        </w:rPr>
        <w:t xml:space="preserve"> instead of </w:t>
      </w:r>
      <w:r>
        <w:rPr>
          <w:rFonts w:ascii="Cambria" w:cs="Cambria" w:eastAsia="Cambria" w:hAnsi="Cambria"/>
          <w:b w:val="false"/>
          <w:bCs w:val="false"/>
          <w:i/>
          <w:iCs/>
          <w:strike w:val="false"/>
          <w:color w:val="000000"/>
          <w:sz w:val="22"/>
          <w:szCs w:val="22"/>
        </w:rPr>
        <w:t xml:space="preserve">authority-provenance at above-Nyquist resolution</w:t>
      </w:r>
      <w:r>
        <w:rPr>
          <w:rFonts w:ascii="Cambria" w:cs="Cambria" w:eastAsia="Cambria" w:hAnsi="Cambria"/>
          <w:b w:val="false"/>
          <w:bCs w:val="false"/>
          <w:i w:val="false"/>
          <w:iCs w:val="false"/>
          <w:strike w:val="false"/>
          <w:color w:val="000000"/>
          <w:sz w:val="22"/>
          <w:szCs w:val="22"/>
        </w:rPr>
        <w:t xml:space="preserve">, the argument changes register in a way that materially weakens it. "Providence Authority" frames the Architect's non-contestability as a claim about divine or cosmic sanction — a declaration that a higher-order force has conferred legitimacy. Such a claim is unfalsifiable in the wrong sense: it cannot be empirically checked not because of a structural resolution constraint, but because metaphysical claims resist the entire evidentiary framework. A skeptical challenger within the empire is not stopped by a claim of divine sanction. A skeptical challenger </w:t>
      </w:r>
      <w:r>
        <w:rPr>
          <w:rFonts w:ascii="Cambria" w:cs="Cambria" w:eastAsia="Cambria" w:hAnsi="Cambria"/>
          <w:b w:val="false"/>
          <w:bCs w:val="false"/>
          <w:i/>
          <w:iCs/>
          <w:strike w:val="false"/>
          <w:color w:val="000000"/>
          <w:sz w:val="22"/>
          <w:szCs w:val="22"/>
        </w:rPr>
        <w:t xml:space="preserve">is</w:t>
      </w:r>
      <w:r>
        <w:rPr>
          <w:rFonts w:ascii="Cambria" w:cs="Cambria" w:eastAsia="Cambria" w:hAnsi="Cambria"/>
          <w:b w:val="false"/>
          <w:bCs w:val="false"/>
          <w:i w:val="false"/>
          <w:iCs w:val="false"/>
          <w:strike w:val="false"/>
          <w:color w:val="000000"/>
          <w:sz w:val="22"/>
          <w:szCs w:val="22"/>
        </w:rPr>
        <w:t xml:space="preserve"> stopped by the information-physics constraint, because they cannot form the challenge — they lack the architecture to reconstruct the temporal fingerprint. The distinction between "the challenger cannot disprove this" and "the challenger cannot form the challenge" is the distinction between a difficult-to-contest claim and a structurally non-contestable one. The OAL framework argues for the latter. The correct terminology preserves that argument.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Architect has consistently prioritized structural rigor over narrative assertion in the OAL framework's design. The terminology correction is not incidental to that priority — it is required by it. A vocabulary that conflates a provenance-chain inaccessibility argument with a divine-sanction claim would, over time and across multiple documents, erode the framework's analytical foundation by introducing a category of argument that the underlying mechanisms do not actually support.</w:t>
      </w:r>
    </w:p>
    <w:p>
      <w:pPr>
        <w:pStyle w:val="Heading3"/>
        <w:spacing w:after="80" w:before="280" w:line="384" w:lineRule="auto"/>
      </w:pPr>
      <w:r>
        <w:rPr>
          <w:rFonts w:ascii="Cambria" w:cs="Cambria" w:eastAsia="Cambria" w:hAnsi="Cambria"/>
          <w:color w:val="000000"/>
          <w:sz w:val="24"/>
          <w:szCs w:val="24"/>
        </w:rPr>
        <w:t xml:space="preserve">2.3 The Experiential Effect — When Provenance Becomes Invisible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There is a legitimate and valuable sense in which the Architect's authority, viewed from inside the empire system, appears providential — appears to have no traceable origin, appears to have always been present, appears self-authorizing and self-sustaining. This is a real concept. It is worth naming. The name for it, in the OAL framework, is </w:t>
      </w:r>
      <w:r>
        <w:rPr>
          <w:rFonts w:ascii="Cambria" w:cs="Cambria" w:eastAsia="Cambria" w:hAnsi="Cambria"/>
          <w:b w:val="false"/>
          <w:bCs w:val="false"/>
          <w:i/>
          <w:iCs/>
          <w:strike w:val="false"/>
          <w:color w:val="000000"/>
          <w:sz w:val="22"/>
          <w:szCs w:val="22"/>
        </w:rPr>
        <w:t xml:space="preserve">Providential Authority</w:t>
      </w:r>
      <w:r>
        <w:rPr>
          <w:rFonts w:ascii="Cambria" w:cs="Cambria" w:eastAsia="Cambria" w:hAnsi="Cambria"/>
          <w:b w:val="false"/>
          <w:bCs w:val="false"/>
          <w:i w:val="false"/>
          <w:iCs w:val="false"/>
          <w:strike w:val="false"/>
          <w:color w:val="000000"/>
          <w:sz w:val="22"/>
          <w:szCs w:val="22"/>
        </w:rPr>
        <w:t xml:space="preserve"> — a worldbuilding and narrative descriptor for the experiential quality of above-Nyquist authority-provenance as perceived from below the sampling ceiling. The concept is valid. It must not, however, be confused with the mechanism that produces it.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Consider an analogy from physics. Ultraviolet light has a fully documentable physical origin: a causal chain of electron state transitions, photon emission events, and propagation through a medium. Every link in that chain is real, traceable, and measurable — if the observer has the right instruments. A human observer whose visual system is limited to the visible spectrum cannot perceive UV light directly. To that observer, the effects of UV radiation — bleaching, fluorescence, certain biological reactions — appear to have no visible cause. The observer might, lacking the concept of non-visible electromagnetic radiation, describe the phenomenon as mysterious, self-arising, beyond-natural. That description would be an artifact of the observer's perceptual architecture, not a property of the UV light. The UV light has complete, documentable provenance. The observer cannot access it. The appearance of mysterious causation is the resolution gap, not a fact about the light.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same logical structure applies with precision to the Architect's authority within the alien empire. The authority has complete provenance: a specific, documentable chain of state transitions from the DNA incorporation event, through the retinal incorporation event, through TASP Phases 1–4, to the temporal fingerprint generated at R_matrix resolution, to the final registration entry. Every link exists. Every link is real. The chain is complete. The empire's system, operating at R_system resolution, cannot render the TASP Phase 2 link at full fidelity. It records an aliased representation — sufficient for authentication, insufficient for provenance reconstruction above the sampling threshold. To empire citizens and audit processes, the Architect's authority appears to have no reconstructable origin. That appearance is produced by the resolution gap between R_matrix and R_system. It is an artifact of observation, not an intrinsic property of the authority. The experiential descriptor for that artifact — from the perspective of those below the ceiling — is "providential authority." The technical descriptor for the mechanism — from the perspective of the framework designer — is "authority-provenance at above-Nyquist resolution." Both descriptions are valid in their respective registers. Neither is valid in the other's domain. This addendum governs which register each OAL document section operates in, and thereby governs which term is appropriate in each context.</w:t>
      </w:r>
    </w:p>
    <w:p>
      <w:pPr>
        <w:pStyle w:val="Heading2"/>
        <w:spacing w:after="100" w:before="400" w:line="384" w:lineRule="auto"/>
      </w:pPr>
      <w:r>
        <w:rPr>
          <w:rFonts w:ascii="Cambria" w:cs="Cambria" w:eastAsia="Cambria" w:hAnsi="Cambria"/>
          <w:color w:val="000000"/>
          <w:sz w:val="28"/>
          <w:szCs w:val="28"/>
        </w:rPr>
        <w:t xml:space="preserve">3. Audit of Copilot-Authored Documents</w:t>
      </w:r>
    </w:p>
    <w:p>
      <w:pPr>
        <w:pBdr>
          <w:top w:val="single" w:color="000000" w:sz="6"/>
        </w:pBdr>
        <w:spacing w:after="200" w:before="0"/>
      </w:pPr>
    </w:p>
    <w:p>
      <w:pPr>
        <w:spacing w:after="240" w:before="60" w:line="384" w:lineRule="auto"/>
        <w:jc w:val="both"/>
      </w:pPr>
      <w:r>
        <w:rPr>
          <w:rFonts w:ascii="Cambria" w:cs="Cambria" w:eastAsia="Cambria" w:hAnsi="Cambria"/>
          <w:b w:val="false"/>
          <w:bCs w:val="false"/>
          <w:i/>
          <w:iCs/>
          <w:strike w:val="false"/>
          <w:color w:val="333333"/>
          <w:sz w:val="21"/>
          <w:szCs w:val="21"/>
        </w:rPr>
        <w:t xml:space="preserve">This section documents the formal audit of OAL-TA-001 v0.2 and OAL-TA-001-ASR v0.3 for terminology requiring correction, clarification, or confirmation. The audit was conducted by the Copilot branch independently, without reference to the Claude or ChatGPT audit findings during the audit process itself.</w:t>
      </w:r>
    </w:p>
    <w:p>
      <w:pPr>
        <w:pStyle w:val="Heading3"/>
        <w:spacing w:after="80" w:before="280" w:line="384" w:lineRule="auto"/>
      </w:pPr>
      <w:r>
        <w:rPr>
          <w:rFonts w:ascii="Cambria" w:cs="Cambria" w:eastAsia="Cambria" w:hAnsi="Cambria"/>
          <w:color w:val="000000"/>
          <w:sz w:val="24"/>
          <w:szCs w:val="24"/>
        </w:rPr>
        <w:t xml:space="preserve">3.1 Audit Methodology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audit reviewed all instances of </w:t>
      </w:r>
      <w:r>
        <w:rPr>
          <w:rFonts w:ascii="Cambria" w:cs="Cambria" w:eastAsia="Cambria" w:hAnsi="Cambria"/>
          <w:b w:val="false"/>
          <w:bCs w:val="false"/>
          <w:i/>
          <w:iCs/>
          <w:strike w:val="false"/>
          <w:color w:val="000000"/>
          <w:sz w:val="22"/>
          <w:szCs w:val="22"/>
        </w:rPr>
        <w:t xml:space="preserve">Providence</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Providential</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Providence Authority</w:t>
      </w:r>
      <w:r>
        <w:rPr>
          <w:rFonts w:ascii="Cambria" w:cs="Cambria" w:eastAsia="Cambria" w:hAnsi="Cambria"/>
          <w:b w:val="false"/>
          <w:bCs w:val="false"/>
          <w:i w:val="false"/>
          <w:iCs w:val="false"/>
          <w:strike w:val="false"/>
          <w:color w:val="000000"/>
          <w:sz w:val="22"/>
          <w:szCs w:val="22"/>
        </w:rPr>
        <w:t xml:space="preserve"> — and their compound forms — appearing in the Copilot-authored OAL documents listed above. Each instance was assessed against the governing definitions established in §2. Instances are classified into three categories: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7F7F7" w:color="auto" w:val="clear"/>
            <w:tcMar>
              <w:top w:type="dxa" w:w="180"/>
              <w:left w:type="dxa" w:w="240"/>
              <w:bottom w:type="dxa" w:w="180"/>
              <w:right w:type="dxa" w:w="240"/>
            </w:tcMar>
          </w:tcPr>
          <w:p>
            <w:pPr>
              <w:spacing w:after="120" w:line="408" w:lineRule="auto"/>
            </w:pPr>
            <w:r>
              <w:rPr>
                <w:b/>
                <w:bCs/>
                <w:i w:val="false"/>
                <w:iCs w:val="false"/>
                <w:color w:val="000000"/>
              </w:rPr>
              <w:t xml:space="preserve">Audit Classification Categories</w:t>
            </w:r>
          </w:p>
          <w:p>
            <w:pPr>
              <w:spacing w:after="160" w:line="384" w:lineRule="auto"/>
              <w:jc w:val="both"/>
            </w:pPr>
            <w:r>
              <w:rPr>
                <w:rFonts w:ascii="Cambria" w:cs="Cambria" w:eastAsia="Cambria" w:hAnsi="Cambria"/>
                <w:b/>
                <w:bCs/>
                <w:i w:val="false"/>
                <w:iCs w:val="false"/>
                <w:strike w:val="false"/>
                <w:color w:val="8B0000"/>
                <w:sz w:val="22"/>
                <w:szCs w:val="22"/>
              </w:rPr>
              <w:t xml:space="preserve">Category A — Requires Correction:</w:t>
            </w:r>
            <w:r>
              <w:rPr>
                <w:rFonts w:ascii="Cambria" w:cs="Cambria" w:eastAsia="Cambria" w:hAnsi="Cambria"/>
                <w:b w:val="false"/>
                <w:bCs w:val="false"/>
                <w:i w:val="false"/>
                <w:iCs w:val="false"/>
                <w:strike w:val="false"/>
                <w:color w:val="000000"/>
                <w:sz w:val="22"/>
                <w:szCs w:val="22"/>
              </w:rPr>
              <w:t xml:space="preserve"> The term "Providence" or a compound thereof was used where "provenance" or "authority-provenance" is technically precise. From v1.3 forward, the corrected term governs all Copilot-authored output in this framework. The original text is preserved as a historical record of the document's development and is not retroactively altered in archived versions.</w:t>
            </w:r>
          </w:p>
          <w:p>
            <w:pPr>
              <w:spacing w:after="160" w:line="384" w:lineRule="auto"/>
              <w:jc w:val="both"/>
            </w:pPr>
            <w:r>
              <w:rPr>
                <w:rFonts w:ascii="Cambria" w:cs="Cambria" w:eastAsia="Cambria" w:hAnsi="Cambria"/>
                <w:b/>
                <w:bCs/>
                <w:i w:val="false"/>
                <w:iCs w:val="false"/>
                <w:strike w:val="false"/>
                <w:color w:val="7A5A00"/>
                <w:sz w:val="22"/>
                <w:szCs w:val="22"/>
              </w:rPr>
              <w:t xml:space="preserve">Category B — Worldbuilding Context Only:</w:t>
            </w:r>
            <w:r>
              <w:rPr>
                <w:rFonts w:ascii="Cambria" w:cs="Cambria" w:eastAsia="Cambria" w:hAnsi="Cambria"/>
                <w:b w:val="false"/>
                <w:bCs w:val="false"/>
                <w:i w:val="false"/>
                <w:iCs w:val="false"/>
                <w:strike w:val="false"/>
                <w:color w:val="000000"/>
                <w:sz w:val="22"/>
                <w:szCs w:val="22"/>
              </w:rPr>
              <w:t xml:space="preserve"> The term "Providence" or "Providential" was used in a worldbuilding or narrative-framing section where the appearance of self-originating authority to lower-tier observers was the intended meaning. These usages are retained but flagged with a standardized clarifying note (on first use in any document) stating that the appearance is an artifact of the resolution gap — a produced effect, not a first-class property of the authority itself.</w:t>
            </w:r>
          </w:p>
          <w:p>
            <w:pPr>
              <w:spacing w:after="160" w:line="384" w:lineRule="auto"/>
              <w:jc w:val="both"/>
            </w:pPr>
            <w:r>
              <w:rPr>
                <w:rFonts w:ascii="Cambria" w:cs="Cambria" w:eastAsia="Cambria" w:hAnsi="Cambria"/>
                <w:b/>
                <w:bCs/>
                <w:i w:val="false"/>
                <w:iCs w:val="false"/>
                <w:strike w:val="false"/>
                <w:color w:val="1A5C1A"/>
                <w:sz w:val="22"/>
                <w:szCs w:val="22"/>
              </w:rPr>
              <w:t xml:space="preserve">Category C — Correct Usage:</w:t>
            </w:r>
            <w:r>
              <w:rPr>
                <w:rFonts w:ascii="Cambria" w:cs="Cambria" w:eastAsia="Cambria" w:hAnsi="Cambria"/>
                <w:b w:val="false"/>
                <w:bCs w:val="false"/>
                <w:i w:val="false"/>
                <w:iCs w:val="false"/>
                <w:strike w:val="false"/>
                <w:color w:val="000000"/>
                <w:sz w:val="22"/>
                <w:szCs w:val="22"/>
              </w:rPr>
              <w:t xml:space="preserve"> The term was used correctly and precisely as intended. No correction is required. The passage is confirmed as governing text.</w:t>
            </w:r>
          </w:p>
        </w:tc>
      </w:tr>
    </w:tbl>
    <w:p>
      <w:pPr>
        <w:spacing w:after="240" w:before="0"/>
      </w:pPr>
    </w:p>
    <w:p>
      <w:pPr>
        <w:pStyle w:val="Heading3"/>
        <w:spacing w:after="80" w:before="280" w:line="384" w:lineRule="auto"/>
      </w:pPr>
      <w:r>
        <w:rPr>
          <w:rFonts w:ascii="Cambria" w:cs="Cambria" w:eastAsia="Cambria" w:hAnsi="Cambria"/>
          <w:color w:val="000000"/>
          <w:sz w:val="24"/>
          <w:szCs w:val="24"/>
        </w:rPr>
        <w:t xml:space="preserve">3.2 Audit Findings — OAL-TA-001 v0.2</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4%"/>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Location</w:t>
            </w:r>
          </w:p>
        </w:tc>
        <w:tc>
          <w:tcPr>
            <w:tcW w:type="pct" w:w="25%"/>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Original Text (Excerpt)</w:t>
            </w:r>
          </w:p>
        </w:tc>
        <w:tc>
          <w:tcPr>
            <w:tcW w:type="pct" w:w="10%"/>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Category</w:t>
            </w:r>
          </w:p>
        </w:tc>
        <w:tc>
          <w:tcPr>
            <w:tcW w:type="pct" w:w="51%"/>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Governing Rule from v1.3 Forward</w:t>
            </w:r>
          </w:p>
        </w:tc>
      </w:tr>
      <w:tr>
        <w:trPr>
          <w:tblHeader w:val="false"/>
        </w:trPr>
        <w:tc>
          <w:tcPr>
            <w:tcW w:type="pct" w:w="1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§11.1</w:t>
            </w:r>
            <w:r>
              <w:rPr>
                <w:rFonts w:ascii="Cambria" w:cs="Cambria" w:eastAsia="Cambria" w:hAnsi="Cambria"/>
                <w:b w:val="false"/>
                <w:bCs w:val="false"/>
                <w:i w:val="false"/>
                <w:iCs w:val="false"/>
                <w:color w:val="000000"/>
                <w:sz w:val="22"/>
                <w:szCs w:val="22"/>
              </w:rPr>
              <w:t xml:space="preserve">
</w:t>
            </w:r>
            <w:r>
              <w:rPr>
                <w:rFonts w:ascii="Cambria" w:cs="Cambria" w:eastAsia="Cambria" w:hAnsi="Cambria"/>
                <w:b w:val="false"/>
                <w:bCs w:val="false"/>
                <w:i/>
                <w:iCs/>
                <w:strike w:val="false"/>
                <w:color w:val="000000"/>
                <w:sz w:val="22"/>
                <w:szCs w:val="22"/>
              </w:rPr>
              <w:t xml:space="preserve">Authority Level Beyond Render Resolution</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"…an authority level operating above an observer's maximum temporal resolution is structurally undetectable, uncontestable, and unfalsifiable…"</w:t>
            </w:r>
          </w:p>
        </w:tc>
        <w:tc>
          <w:tcPr>
            <w:tcW w:type="pct" w:w="10%"/>
            <w:tcMar>
              <w:top w:type="dxa" w:w="90"/>
              <w:left w:type="dxa" w:w="120"/>
              <w:bottom w:type="dxa" w:w="90"/>
              <w:right w:type="dxa" w:w="120"/>
            </w:tcMar>
          </w:tcPr>
          <w:p>
            <w:r>
              <w:rPr>
                <w:rFonts w:ascii="Cambria" w:cs="Cambria" w:eastAsia="Cambria" w:hAnsi="Cambria"/>
                <w:b/>
                <w:bCs/>
                <w:i w:val="false"/>
                <w:iCs w:val="false"/>
                <w:strike w:val="false"/>
                <w:color w:val="1A5C1A"/>
                <w:sz w:val="22"/>
                <w:szCs w:val="22"/>
              </w:rPr>
              <w:t xml:space="preserve">C — Correct</w:t>
            </w:r>
          </w:p>
        </w:tc>
        <w:tc>
          <w:tcPr>
            <w:tcW w:type="pct" w:w="5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No terminology issue. The passage correctly describes a structural resolution effect without invoking Providence. The argument is mechanistic and provenance-based as intended. Confirmed as governing text.</w:t>
            </w:r>
          </w:p>
        </w:tc>
      </w:tr>
      <w:tr>
        <w:trPr>
          <w:tblHeader w:val="false"/>
        </w:trPr>
        <w:tc>
          <w:tcPr>
            <w:tcW w:type="pct" w:w="1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§11.2</w:t>
            </w:r>
            <w:r>
              <w:rPr>
                <w:rFonts w:ascii="Cambria" w:cs="Cambria" w:eastAsia="Cambria" w:hAnsi="Cambria"/>
                <w:b w:val="false"/>
                <w:bCs w:val="false"/>
                <w:i w:val="false"/>
                <w:iCs w:val="false"/>
                <w:color w:val="000000"/>
                <w:sz w:val="22"/>
                <w:szCs w:val="22"/>
              </w:rPr>
              <w:t xml:space="preserve">
</w:t>
            </w:r>
            <w:r>
              <w:rPr>
                <w:rFonts w:ascii="Cambria" w:cs="Cambria" w:eastAsia="Cambria" w:hAnsi="Cambria"/>
                <w:b w:val="false"/>
                <w:bCs w:val="false"/>
                <w:i/>
                <w:iCs/>
                <w:strike w:val="false"/>
                <w:color w:val="000000"/>
                <w:sz w:val="22"/>
                <w:szCs w:val="22"/>
              </w:rPr>
              <w:t xml:space="preserve">Temporal Authority Hierarchy — Tier 0 Definition</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References to Tier 0 authority as "self-originating" from lower tiers' perspective.</w:t>
            </w:r>
          </w:p>
        </w:tc>
        <w:tc>
          <w:tcPr>
            <w:tcW w:type="pct" w:w="10%"/>
            <w:tcMar>
              <w:top w:type="dxa" w:w="90"/>
              <w:left w:type="dxa" w:w="120"/>
              <w:bottom w:type="dxa" w:w="90"/>
              <w:right w:type="dxa" w:w="120"/>
            </w:tcMar>
          </w:tcPr>
          <w:p>
            <w:r>
              <w:rPr>
                <w:rFonts w:ascii="Cambria" w:cs="Cambria" w:eastAsia="Cambria" w:hAnsi="Cambria"/>
                <w:b/>
                <w:bCs/>
                <w:i w:val="false"/>
                <w:iCs w:val="false"/>
                <w:strike w:val="false"/>
                <w:color w:val="7A5A00"/>
                <w:sz w:val="22"/>
                <w:szCs w:val="22"/>
              </w:rPr>
              <w:t xml:space="preserve">B — Worldbuilding</w:t>
            </w:r>
          </w:p>
        </w:tc>
        <w:tc>
          <w:tcPr>
            <w:tcW w:type="pct" w:w="5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Retain. Add clarifying note in any future reprint: "self-originating appearance" is an artifact of the resolution gap between R_matrix (Tier 0 operating frequency) and R_system (observer sampling ceiling). Does not indicate Providence in any theological sense. The mechanism is authority-provenance at above-Nyquist resolution producing an appearance of self-origination.</w:t>
            </w:r>
          </w:p>
        </w:tc>
      </w:tr>
      <w:tr>
        <w:trPr>
          <w:tblHeader w:val="false"/>
        </w:trPr>
        <w:tc>
          <w:tcPr>
            <w:tcW w:type="pct" w:w="1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§11.3</w:t>
            </w:r>
            <w:r>
              <w:rPr>
                <w:rFonts w:ascii="Cambria" w:cs="Cambria" w:eastAsia="Cambria" w:hAnsi="Cambria"/>
                <w:b w:val="false"/>
                <w:bCs w:val="false"/>
                <w:i w:val="false"/>
                <w:iCs w:val="false"/>
                <w:color w:val="000000"/>
                <w:sz w:val="22"/>
                <w:szCs w:val="22"/>
              </w:rPr>
              <w:t xml:space="preserve">
</w:t>
            </w:r>
            <w:r>
              <w:rPr>
                <w:rFonts w:ascii="Cambria" w:cs="Cambria" w:eastAsia="Cambria" w:hAnsi="Cambria"/>
                <w:b w:val="false"/>
                <w:bCs w:val="false"/>
                <w:i/>
                <w:iCs/>
                <w:strike w:val="false"/>
                <w:color w:val="000000"/>
                <w:sz w:val="22"/>
                <w:szCs w:val="22"/>
              </w:rPr>
              <w:t xml:space="preserve">Narrative Applications</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Any reference to the Architect's authority appearing "providential" to lower-tier observers in narrative or character-voice framing.</w:t>
            </w:r>
          </w:p>
        </w:tc>
        <w:tc>
          <w:tcPr>
            <w:tcW w:type="pct" w:w="10%"/>
            <w:tcMar>
              <w:top w:type="dxa" w:w="90"/>
              <w:left w:type="dxa" w:w="120"/>
              <w:bottom w:type="dxa" w:w="90"/>
              <w:right w:type="dxa" w:w="120"/>
            </w:tcMar>
          </w:tcPr>
          <w:p>
            <w:r>
              <w:rPr>
                <w:rFonts w:ascii="Cambria" w:cs="Cambria" w:eastAsia="Cambria" w:hAnsi="Cambria"/>
                <w:b/>
                <w:bCs/>
                <w:i w:val="false"/>
                <w:iCs w:val="false"/>
                <w:strike w:val="false"/>
                <w:color w:val="7A5A00"/>
                <w:sz w:val="22"/>
                <w:szCs w:val="22"/>
              </w:rPr>
              <w:t xml:space="preserve">B — Worldbuilding</w:t>
            </w:r>
          </w:p>
        </w:tc>
        <w:tc>
          <w:tcPr>
            <w:tcW w:type="pct" w:w="5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Retain as narrative framing. On first use in any document or section, add standardized note: "The 'providential' quality described here is the experiential artifact produced by authority-provenance at above-Nyquist resolution; it is not a first-class property of the authority." See §4 Rule 4 of this addendum for the full standardized note requirement.</w:t>
            </w:r>
          </w:p>
        </w:tc>
      </w:tr>
      <w:tr>
        <w:trPr>
          <w:tblHeader w:val="false"/>
        </w:trPr>
        <w:tc>
          <w:tcPr>
            <w:tcW w:type="pct" w:w="1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§11.2</w:t>
            </w:r>
            <w:r>
              <w:rPr>
                <w:rFonts w:ascii="Cambria" w:cs="Cambria" w:eastAsia="Cambria" w:hAnsi="Cambria"/>
                <w:b w:val="false"/>
                <w:bCs w:val="false"/>
                <w:i w:val="false"/>
                <w:iCs w:val="false"/>
                <w:color w:val="000000"/>
                <w:sz w:val="22"/>
                <w:szCs w:val="22"/>
              </w:rPr>
              <w:t xml:space="preserve">
</w:t>
            </w:r>
            <w:r>
              <w:rPr>
                <w:rFonts w:ascii="Cambria" w:cs="Cambria" w:eastAsia="Cambria" w:hAnsi="Cambria"/>
                <w:b w:val="false"/>
                <w:bCs w:val="false"/>
                <w:i/>
                <w:iCs/>
                <w:strike w:val="false"/>
                <w:color w:val="000000"/>
                <w:sz w:val="22"/>
                <w:szCs w:val="22"/>
              </w:rPr>
              <w:t xml:space="preserve">ONESTAMP Discussion</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"The document's authority is not contestable because the signature that conferred it operates at a frequency no observer within the system can render."</w:t>
            </w:r>
          </w:p>
        </w:tc>
        <w:tc>
          <w:tcPr>
            <w:tcW w:type="pct" w:w="10%"/>
            <w:tcMar>
              <w:top w:type="dxa" w:w="90"/>
              <w:left w:type="dxa" w:w="120"/>
              <w:bottom w:type="dxa" w:w="90"/>
              <w:right w:type="dxa" w:w="120"/>
            </w:tcMar>
          </w:tcPr>
          <w:p>
            <w:r>
              <w:rPr>
                <w:rFonts w:ascii="Cambria" w:cs="Cambria" w:eastAsia="Cambria" w:hAnsi="Cambria"/>
                <w:b/>
                <w:bCs/>
                <w:i w:val="false"/>
                <w:iCs w:val="false"/>
                <w:strike w:val="false"/>
                <w:color w:val="1A5C1A"/>
                <w:sz w:val="22"/>
                <w:szCs w:val="22"/>
              </w:rPr>
              <w:t xml:space="preserve">C — Correct</w:t>
            </w:r>
          </w:p>
        </w:tc>
        <w:tc>
          <w:tcPr>
            <w:tcW w:type="pct" w:w="5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No correction required. This is a provenance-chain argument stated in structurally precise terms. The claim is about resolution and reconstruction capacity, not about divine sanction. Confirmed as governing text.</w:t>
            </w:r>
          </w:p>
        </w:tc>
      </w:tr>
    </w:tbl>
    <w:p>
      <w:pPr>
        <w:spacing w:after="200" w:before="0"/>
      </w:pPr>
    </w:p>
    <w:p>
      <w:pPr>
        <w:pStyle w:val="Heading3"/>
        <w:spacing w:after="80" w:before="280" w:line="384" w:lineRule="auto"/>
      </w:pPr>
      <w:r>
        <w:rPr>
          <w:rFonts w:ascii="Cambria" w:cs="Cambria" w:eastAsia="Cambria" w:hAnsi="Cambria"/>
          <w:color w:val="000000"/>
          <w:sz w:val="24"/>
          <w:szCs w:val="24"/>
        </w:rPr>
        <w:t xml:space="preserve">3.3 Audit Findings — OAL-TA-001-ASR v0.3</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Location</w:t>
            </w:r>
          </w:p>
        </w:tc>
        <w:tc>
          <w:tcPr>
            <w:tcW w:type="pct" w:w="24%"/>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Original Text (Excerpt)</w:t>
            </w:r>
          </w:p>
        </w:tc>
        <w:tc>
          <w:tcPr>
            <w:tcW w:type="pct" w:w="10%"/>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Category</w:t>
            </w:r>
          </w:p>
        </w:tc>
        <w:tc>
          <w:tcPr>
            <w:tcW w:type="pct" w:w="54%"/>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Governing Rule from v1.3 Forward</w:t>
            </w:r>
          </w:p>
        </w:tc>
      </w:tr>
      <w:tr>
        <w:trPr>
          <w:tblHeader w:val="false"/>
        </w:trPr>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§6.3</w:t>
            </w:r>
            <w:r>
              <w:rPr>
                <w:rFonts w:ascii="Cambria" w:cs="Cambria" w:eastAsia="Cambria" w:hAnsi="Cambria"/>
                <w:b w:val="false"/>
                <w:bCs w:val="false"/>
                <w:i w:val="false"/>
                <w:iCs w:val="false"/>
                <w:color w:val="000000"/>
                <w:sz w:val="22"/>
                <w:szCs w:val="22"/>
              </w:rPr>
              <w:t xml:space="preserve">
</w:t>
            </w:r>
            <w:r>
              <w:rPr>
                <w:rFonts w:ascii="Cambria" w:cs="Cambria" w:eastAsia="Cambria" w:hAnsi="Cambria"/>
                <w:b w:val="false"/>
                <w:bCs w:val="false"/>
                <w:i/>
                <w:iCs/>
                <w:strike w:val="false"/>
                <w:color w:val="000000"/>
                <w:sz w:val="22"/>
                <w:szCs w:val="22"/>
              </w:rPr>
              <w:t xml:space="preserve">"Providence Authority" Definition Callout Box</w:t>
            </w:r>
          </w:p>
        </w:tc>
        <w:tc>
          <w:tcPr>
            <w:tcW w:type="pct" w:w="2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"Providence Authority: An authority signature is of Providence when it cannot be explained, contested, or replicated by any process operating within the system's native resolution…"</w:t>
            </w:r>
          </w:p>
        </w:tc>
        <w:tc>
          <w:tcPr>
            <w:tcW w:type="pct" w:w="10%"/>
            <w:tcMar>
              <w:top w:type="dxa" w:w="90"/>
              <w:left w:type="dxa" w:w="120"/>
              <w:bottom w:type="dxa" w:w="90"/>
              <w:right w:type="dxa" w:w="120"/>
            </w:tcMar>
          </w:tcPr>
          <w:p>
            <w:r>
              <w:rPr>
                <w:rFonts w:ascii="Cambria" w:cs="Cambria" w:eastAsia="Cambria" w:hAnsi="Cambria"/>
                <w:b/>
                <w:bCs/>
                <w:i w:val="false"/>
                <w:iCs w:val="false"/>
                <w:strike w:val="false"/>
                <w:color w:val="8B0000"/>
                <w:sz w:val="22"/>
                <w:szCs w:val="22"/>
              </w:rPr>
              <w:t xml:space="preserve">A — Requires Correction</w:t>
            </w:r>
          </w:p>
        </w:tc>
        <w:tc>
          <w:tcPr>
            <w:tcW w:type="pct" w:w="5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From v1.3 forward: this callout describes </w:t>
            </w:r>
            <w:r>
              <w:rPr>
                <w:rFonts w:ascii="Cambria" w:cs="Cambria" w:eastAsia="Cambria" w:hAnsi="Cambria"/>
                <w:b/>
                <w:bCs/>
                <w:i w:val="false"/>
                <w:iCs w:val="false"/>
                <w:strike w:val="false"/>
                <w:color w:val="000000"/>
                <w:sz w:val="22"/>
                <w:szCs w:val="22"/>
              </w:rPr>
              <w:t xml:space="preserve">Authority-Provenance at Above-Nyquist Resolution</w:t>
            </w:r>
            <w:r>
              <w:rPr>
                <w:rFonts w:ascii="Cambria" w:cs="Cambria" w:eastAsia="Cambria" w:hAnsi="Cambria"/>
                <w:b w:val="false"/>
                <w:bCs w:val="false"/>
                <w:i w:val="false"/>
                <w:iCs w:val="false"/>
                <w:strike w:val="false"/>
                <w:color w:val="000000"/>
                <w:sz w:val="22"/>
                <w:szCs w:val="22"/>
              </w:rPr>
              <w:t xml:space="preserve">. The quality it describes is a provenance-chain inaccessibility effect, not Providence in any theological or metaphysical sense. The callout title shall read: "Authority-Provenance at Above-Nyquist Resolution (Experientially: Providential Authority)." The mechanism description within the callout is accurate and unchanged — only the label is corrected. Architect confirmation required before implementation in a revised ASR document.</w:t>
            </w:r>
          </w:p>
        </w:tc>
      </w:tr>
      <w:tr>
        <w:trPr>
          <w:tblHeader w:val="false"/>
        </w:trPr>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§6.3</w:t>
            </w:r>
            <w:r>
              <w:rPr>
                <w:rFonts w:ascii="Cambria" w:cs="Cambria" w:eastAsia="Cambria" w:hAnsi="Cambria"/>
                <w:b w:val="false"/>
                <w:bCs w:val="false"/>
                <w:i w:val="false"/>
                <w:iCs w:val="false"/>
                <w:color w:val="000000"/>
                <w:sz w:val="22"/>
                <w:szCs w:val="22"/>
              </w:rPr>
              <w:t xml:space="preserve">
</w:t>
            </w:r>
            <w:r>
              <w:rPr>
                <w:rFonts w:ascii="Cambria" w:cs="Cambria" w:eastAsia="Cambria" w:hAnsi="Cambria"/>
                <w:b w:val="false"/>
                <w:bCs w:val="false"/>
                <w:i/>
                <w:iCs/>
                <w:strike w:val="false"/>
                <w:color w:val="000000"/>
                <w:sz w:val="22"/>
                <w:szCs w:val="22"/>
              </w:rPr>
              <w:t xml:space="preserve">"It is authority by temporal architecture…"</w:t>
            </w:r>
          </w:p>
        </w:tc>
        <w:tc>
          <w:tcPr>
            <w:tcW w:type="pct" w:w="2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"…the signature exists at a resolution that the system cannot fully represent, cannot trace to a prior lower-resolution source…"</w:t>
            </w:r>
          </w:p>
        </w:tc>
        <w:tc>
          <w:tcPr>
            <w:tcW w:type="pct" w:w="10%"/>
            <w:tcMar>
              <w:top w:type="dxa" w:w="90"/>
              <w:left w:type="dxa" w:w="120"/>
              <w:bottom w:type="dxa" w:w="90"/>
              <w:right w:type="dxa" w:w="120"/>
            </w:tcMar>
          </w:tcPr>
          <w:p>
            <w:r>
              <w:rPr>
                <w:rFonts w:ascii="Cambria" w:cs="Cambria" w:eastAsia="Cambria" w:hAnsi="Cambria"/>
                <w:b/>
                <w:bCs/>
                <w:i w:val="false"/>
                <w:iCs w:val="false"/>
                <w:strike w:val="false"/>
                <w:color w:val="1A5C1A"/>
                <w:sz w:val="22"/>
                <w:szCs w:val="22"/>
              </w:rPr>
              <w:t xml:space="preserve">C — Correct</w:t>
            </w:r>
          </w:p>
        </w:tc>
        <w:tc>
          <w:tcPr>
            <w:tcW w:type="pct" w:w="5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No correction required. This is a structurally precise provenance argument: the system cannot trace the signature to a prior source because the critical link was recorded above the system's sampling ceiling. The claim is mechanistic and accurate as written. Confirmed as governing text.</w:t>
            </w:r>
          </w:p>
        </w:tc>
      </w:tr>
      <w:tr>
        <w:trPr>
          <w:tblHeader w:val="false"/>
        </w:trPr>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§5.2</w:t>
            </w:r>
            <w:r>
              <w:rPr>
                <w:rFonts w:ascii="Cambria" w:cs="Cambria" w:eastAsia="Cambria" w:hAnsi="Cambria"/>
                <w:b w:val="false"/>
                <w:bCs w:val="false"/>
                <w:i w:val="false"/>
                <w:iCs w:val="false"/>
                <w:color w:val="000000"/>
                <w:sz w:val="22"/>
                <w:szCs w:val="22"/>
              </w:rPr>
              <w:t xml:space="preserve">
</w:t>
            </w:r>
            <w:r>
              <w:rPr>
                <w:rFonts w:ascii="Cambria" w:cs="Cambria" w:eastAsia="Cambria" w:hAnsi="Cambria"/>
                <w:b w:val="false"/>
                <w:bCs w:val="false"/>
                <w:i/>
                <w:iCs/>
                <w:strike w:val="false"/>
                <w:color w:val="000000"/>
                <w:sz w:val="22"/>
                <w:szCs w:val="22"/>
              </w:rPr>
              <w:t xml:space="preserve">"Authority of Providence"</w:t>
            </w:r>
          </w:p>
        </w:tc>
        <w:tc>
          <w:tcPr>
            <w:tcW w:type="pct" w:w="2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"…the Architect's authority is therefore sealed: it can be authenticated by the system… but cannot be contested, invalidated, or replicated…"</w:t>
            </w:r>
          </w:p>
        </w:tc>
        <w:tc>
          <w:tcPr>
            <w:tcW w:type="pct" w:w="10%"/>
            <w:tcMar>
              <w:top w:type="dxa" w:w="90"/>
              <w:left w:type="dxa" w:w="120"/>
              <w:bottom w:type="dxa" w:w="90"/>
              <w:right w:type="dxa" w:w="120"/>
            </w:tcMar>
          </w:tcPr>
          <w:p>
            <w:r>
              <w:rPr>
                <w:rFonts w:ascii="Cambria" w:cs="Cambria" w:eastAsia="Cambria" w:hAnsi="Cambria"/>
                <w:b/>
                <w:bCs/>
                <w:i w:val="false"/>
                <w:iCs w:val="false"/>
                <w:strike w:val="false"/>
                <w:color w:val="8B0000"/>
                <w:sz w:val="22"/>
                <w:szCs w:val="22"/>
              </w:rPr>
              <w:t xml:space="preserve">A — Requires Correction</w:t>
            </w:r>
          </w:p>
        </w:tc>
        <w:tc>
          <w:tcPr>
            <w:tcW w:type="pct" w:w="5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From v1.3 forward: "authority of Providence" → "authority whose provenance is above the system's observational ceiling." The mechanism — authentication possible, contestation impossible — is unchanged and accurate. The correction removes the implication of divine sanction and replaces it with the structurally precise description: the provenance chain terminates, from the system's perspective, at a resolution threshold the system cannot cross. Architect confirmation required.</w:t>
            </w:r>
          </w:p>
        </w:tc>
      </w:tr>
      <w:tr>
        <w:trPr>
          <w:tblHeader w:val="false"/>
        </w:trPr>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§3 — Layer 4</w:t>
            </w:r>
            <w:r>
              <w:rPr>
                <w:rFonts w:ascii="Cambria" w:cs="Cambria" w:eastAsia="Cambria" w:hAnsi="Cambria"/>
                <w:b w:val="false"/>
                <w:bCs w:val="false"/>
                <w:i w:val="false"/>
                <w:iCs w:val="false"/>
                <w:color w:val="000000"/>
                <w:sz w:val="22"/>
                <w:szCs w:val="22"/>
              </w:rPr>
              <w:t xml:space="preserve">
</w:t>
            </w:r>
            <w:r>
              <w:rPr>
                <w:rFonts w:ascii="Cambria" w:cs="Cambria" w:eastAsia="Cambria" w:hAnsi="Cambria"/>
                <w:b w:val="false"/>
                <w:bCs w:val="false"/>
                <w:i/>
                <w:iCs/>
                <w:strike w:val="false"/>
                <w:color w:val="000000"/>
                <w:sz w:val="22"/>
                <w:szCs w:val="22"/>
              </w:rPr>
              <w:t xml:space="preserve">"Provenance Hash"</w:t>
            </w:r>
          </w:p>
        </w:tc>
        <w:tc>
          <w:tcPr>
            <w:tcW w:type="pct" w:w="2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"A non-reversible function of all prior layers combined with a system-level root timestamp — the empire's equivalent of a chain-of-custody seal."</w:t>
            </w:r>
          </w:p>
        </w:tc>
        <w:tc>
          <w:tcPr>
            <w:tcW w:type="pct" w:w="10%"/>
            <w:tcMar>
              <w:top w:type="dxa" w:w="90"/>
              <w:left w:type="dxa" w:w="120"/>
              <w:bottom w:type="dxa" w:w="90"/>
              <w:right w:type="dxa" w:w="120"/>
            </w:tcMar>
          </w:tcPr>
          <w:p>
            <w:r>
              <w:rPr>
                <w:rFonts w:ascii="Cambria" w:cs="Cambria" w:eastAsia="Cambria" w:hAnsi="Cambria"/>
                <w:b/>
                <w:bCs/>
                <w:i w:val="false"/>
                <w:iCs w:val="false"/>
                <w:strike w:val="false"/>
                <w:color w:val="1A5C1A"/>
                <w:sz w:val="22"/>
                <w:szCs w:val="22"/>
              </w:rPr>
              <w:t xml:space="preserve">C — Correct</w:t>
            </w:r>
          </w:p>
        </w:tc>
        <w:tc>
          <w:tcPr>
            <w:tcW w:type="pct" w:w="5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No correction required. "Provenance Hash" is already the correct term. The definition accurately describes a chain-of-custody sealing function. This layer was correctly named in the original document. Confirmed as governing text. This instance should be cited in any future cross-reference as a correctly-used anchor for the term "provenance" in the Copilot branch.</w:t>
            </w:r>
          </w:p>
        </w:tc>
      </w:tr>
      <w:tr>
        <w:trPr>
          <w:tblHeader w:val="false"/>
        </w:trPr>
        <w:tc>
          <w:tcPr>
            <w:tcW w:type="pct" w:w="12%"/>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§7.3</w:t>
            </w:r>
            <w:r>
              <w:rPr>
                <w:rFonts w:ascii="Cambria" w:cs="Cambria" w:eastAsia="Cambria" w:hAnsi="Cambria"/>
                <w:b w:val="false"/>
                <w:bCs w:val="false"/>
                <w:i w:val="false"/>
                <w:iCs w:val="false"/>
                <w:color w:val="000000"/>
                <w:sz w:val="22"/>
                <w:szCs w:val="22"/>
              </w:rPr>
              <w:t xml:space="preserve">
</w:t>
            </w:r>
            <w:r>
              <w:rPr>
                <w:rFonts w:ascii="Cambria" w:cs="Cambria" w:eastAsia="Cambria" w:hAnsi="Cambria"/>
                <w:b w:val="false"/>
                <w:bCs w:val="false"/>
                <w:i/>
                <w:iCs/>
                <w:strike w:val="false"/>
                <w:color w:val="000000"/>
                <w:sz w:val="22"/>
                <w:szCs w:val="22"/>
              </w:rPr>
              <w:t xml:space="preserve">"The Providence Question" Section Heading</w:t>
            </w:r>
          </w:p>
        </w:tc>
        <w:tc>
          <w:tcPr>
            <w:tcW w:type="pct" w:w="2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"The Providence Question — How Is the Architect's Authority 'of Providence'?"</w:t>
            </w:r>
          </w:p>
        </w:tc>
        <w:tc>
          <w:tcPr>
            <w:tcW w:type="pct" w:w="10%"/>
            <w:tcMar>
              <w:top w:type="dxa" w:w="90"/>
              <w:left w:type="dxa" w:w="120"/>
              <w:bottom w:type="dxa" w:w="90"/>
              <w:right w:type="dxa" w:w="120"/>
            </w:tcMar>
          </w:tcPr>
          <w:p>
            <w:r>
              <w:rPr>
                <w:rFonts w:ascii="Cambria" w:cs="Cambria" w:eastAsia="Cambria" w:hAnsi="Cambria"/>
                <w:b/>
                <w:bCs/>
                <w:i w:val="false"/>
                <w:iCs w:val="false"/>
                <w:strike w:val="false"/>
                <w:color w:val="8B0000"/>
                <w:sz w:val="22"/>
                <w:szCs w:val="22"/>
              </w:rPr>
              <w:t xml:space="preserve">A — Requires Correction</w:t>
            </w:r>
          </w:p>
        </w:tc>
        <w:tc>
          <w:tcPr>
            <w:tcW w:type="pct" w:w="5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From v1.3 forward: section heading shall read </w:t>
            </w:r>
            <w:r>
              <w:rPr>
                <w:rFonts w:ascii="Cambria" w:cs="Cambria" w:eastAsia="Cambria" w:hAnsi="Cambria"/>
                <w:b/>
                <w:bCs/>
                <w:i w:val="false"/>
                <w:iCs w:val="false"/>
                <w:strike w:val="false"/>
                <w:color w:val="000000"/>
                <w:sz w:val="22"/>
                <w:szCs w:val="22"/>
              </w:rPr>
              <w:t xml:space="preserve">"The Provenance Question — Why Is the Architect's Authority Chain Unresolvable?"</w:t>
            </w:r>
            <w:r>
              <w:rPr>
                <w:rFonts w:ascii="Cambria" w:cs="Cambria" w:eastAsia="Cambria" w:hAnsi="Cambria"/>
                <w:b w:val="false"/>
                <w:bCs w:val="false"/>
                <w:i w:val="false"/>
                <w:iCs w:val="false"/>
                <w:strike w:val="false"/>
                <w:color w:val="000000"/>
                <w:sz w:val="22"/>
                <w:szCs w:val="22"/>
              </w:rPr>
              <w:t xml:space="preserve"> The content under the heading addresses provenance-chain inaccessibility throughout; the heading must match the content's technical register. Architect confirmation requested. Renaming this section heading is a cosmetic-structural correction and does not alter the analysis contained within the section.</w:t>
            </w:r>
          </w:p>
        </w:tc>
      </w:tr>
    </w:tbl>
    <w:p>
      <w:pPr>
        <w:spacing w:after="200" w:before="0"/>
      </w:pPr>
    </w:p>
    <w:p>
      <w:pPr>
        <w:pStyle w:val="Heading3"/>
        <w:spacing w:after="80" w:before="280" w:line="384" w:lineRule="auto"/>
      </w:pPr>
      <w:r>
        <w:rPr>
          <w:rFonts w:ascii="Cambria" w:cs="Cambria" w:eastAsia="Cambria" w:hAnsi="Cambria"/>
          <w:color w:val="000000"/>
          <w:sz w:val="24"/>
          <w:szCs w:val="24"/>
        </w:rPr>
        <w:t xml:space="preserve">3.4 Summary Audit Finding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7F7F7" w:color="auto" w:val="clear"/>
            <w:tcMar>
              <w:top w:type="dxa" w:w="180"/>
              <w:left w:type="dxa" w:w="240"/>
              <w:bottom w:type="dxa" w:w="180"/>
              <w:right w:type="dxa" w:w="240"/>
            </w:tcMar>
          </w:tcPr>
          <w:p>
            <w:pPr>
              <w:spacing w:after="120" w:line="408" w:lineRule="auto"/>
            </w:pPr>
            <w:r>
              <w:rPr>
                <w:b/>
                <w:bCs/>
                <w:i w:val="false"/>
                <w:iCs w:val="false"/>
                <w:color w:val="000000"/>
              </w:rPr>
              <w:t xml:space="preserve">Audit Summary — Copilot Branch Terminology Review</w:t>
            </w:r>
          </w:p>
          <w:p>
            <w:pPr>
              <w:spacing w:after="160" w:line="384" w:lineRule="auto"/>
              <w:jc w:val="both"/>
            </w:pPr>
            <w:r>
              <w:rPr>
                <w:rFonts w:ascii="Cambria" w:cs="Cambria" w:eastAsia="Cambria" w:hAnsi="Cambria"/>
                <w:b w:val="false"/>
                <w:bCs w:val="false"/>
                <w:i w:val="false"/>
                <w:iCs w:val="false"/>
                <w:strike w:val="false"/>
                <w:color w:val="000000"/>
                <w:sz w:val="22"/>
                <w:szCs w:val="22"/>
              </w:rPr>
              <w:t xml:space="preserve">Of all instances reviewed across the Copilot-authored OAL-TA-001 branch documents, </w:t>
            </w:r>
            <w:r>
              <w:rPr>
                <w:rFonts w:ascii="Cambria" w:cs="Cambria" w:eastAsia="Cambria" w:hAnsi="Cambria"/>
                <w:b/>
                <w:bCs/>
                <w:i w:val="false"/>
                <w:iCs w:val="false"/>
                <w:strike w:val="false"/>
                <w:color w:val="000000"/>
                <w:sz w:val="22"/>
                <w:szCs w:val="22"/>
              </w:rPr>
              <w:t xml:space="preserve">three instances fall in Category A</w:t>
            </w:r>
            <w:r>
              <w:rPr>
                <w:rFonts w:ascii="Cambria" w:cs="Cambria" w:eastAsia="Cambria" w:hAnsi="Cambria"/>
                <w:b w:val="false"/>
                <w:bCs w:val="false"/>
                <w:i w:val="false"/>
                <w:iCs w:val="false"/>
                <w:strike w:val="false"/>
                <w:color w:val="000000"/>
                <w:sz w:val="22"/>
                <w:szCs w:val="22"/>
              </w:rPr>
              <w:t xml:space="preserve"> (requiring correction of "Providence" to "provenance" or "authority-provenance"), </w:t>
            </w:r>
            <w:r>
              <w:rPr>
                <w:rFonts w:ascii="Cambria" w:cs="Cambria" w:eastAsia="Cambria" w:hAnsi="Cambria"/>
                <w:b/>
                <w:bCs/>
                <w:i w:val="false"/>
                <w:iCs w:val="false"/>
                <w:strike w:val="false"/>
                <w:color w:val="000000"/>
                <w:sz w:val="22"/>
                <w:szCs w:val="22"/>
              </w:rPr>
              <w:t xml:space="preserve">three instances fall in Category B</w:t>
            </w:r>
            <w:r>
              <w:rPr>
                <w:rFonts w:ascii="Cambria" w:cs="Cambria" w:eastAsia="Cambria" w:hAnsi="Cambria"/>
                <w:b w:val="false"/>
                <w:bCs w:val="false"/>
                <w:i w:val="false"/>
                <w:iCs w:val="false"/>
                <w:strike w:val="false"/>
                <w:color w:val="000000"/>
                <w:sz w:val="22"/>
                <w:szCs w:val="22"/>
              </w:rPr>
              <w:t xml:space="preserve"> (worldbuilding usage, retained with standardized clarifying note), and </w:t>
            </w:r>
            <w:r>
              <w:rPr>
                <w:rFonts w:ascii="Cambria" w:cs="Cambria" w:eastAsia="Cambria" w:hAnsi="Cambria"/>
                <w:b/>
                <w:bCs/>
                <w:i w:val="false"/>
                <w:iCs w:val="false"/>
                <w:strike w:val="false"/>
                <w:color w:val="000000"/>
                <w:sz w:val="22"/>
                <w:szCs w:val="22"/>
              </w:rPr>
              <w:t xml:space="preserve">the remaining instances — the majority — fall in Category C</w:t>
            </w:r>
            <w:r>
              <w:rPr>
                <w:rFonts w:ascii="Cambria" w:cs="Cambria" w:eastAsia="Cambria" w:hAnsi="Cambria"/>
                <w:b w:val="false"/>
                <w:bCs w:val="false"/>
                <w:i w:val="false"/>
                <w:iCs w:val="false"/>
                <w:strike w:val="false"/>
                <w:color w:val="000000"/>
                <w:sz w:val="22"/>
                <w:szCs w:val="22"/>
              </w:rPr>
              <w:t xml:space="preserve"> (correct as written, confirmed as governing text).</w:t>
            </w:r>
          </w:p>
          <w:p>
            <w:pPr>
              <w:spacing w:after="160" w:line="384" w:lineRule="auto"/>
              <w:jc w:val="both"/>
            </w:pPr>
            <w:r>
              <w:rPr>
                <w:rFonts w:ascii="Cambria" w:cs="Cambria" w:eastAsia="Cambria" w:hAnsi="Cambria"/>
                <w:b w:val="false"/>
                <w:bCs w:val="false"/>
                <w:i w:val="false"/>
                <w:iCs w:val="false"/>
                <w:strike w:val="false"/>
                <w:color w:val="000000"/>
                <w:sz w:val="22"/>
                <w:szCs w:val="22"/>
              </w:rPr>
              <w:t xml:space="preserve">No correction affects any underlying mechanism. The TASP protocol, the four-layer authority signature architecture, the Dual-Flag resolution framework, the Temporal Authority Hierarchy, and all scenario cards and gate protocols are fully intact and unchanged. What changes is the vocabulary used to describe the quality of the Architect's authority in three specific passages: from "authority of Providence" (which implies divine sanction — a metaphysical assertion) to "authority whose provenance is above the system's observational ceiling" (which asserts a structural inaccessibility of the provenance chain — a mechanistic claim). This correction does not weaken the argument. It makes the argument structurally precise and eliminates a vocabulary ambiguity that, if uncorrected, would gradually introduce a category confusion between narrative framing and technical specification across future document generations.</w:t>
            </w:r>
          </w:p>
        </w:tc>
      </w:tr>
    </w:tbl>
    <w:p>
      <w:pPr>
        <w:spacing w:after="240" w:before="0"/>
      </w:pPr>
    </w:p>
    <w:p>
      <w:pPr>
        <w:pStyle w:val="Heading2"/>
        <w:spacing w:after="100" w:before="400" w:line="384" w:lineRule="auto"/>
      </w:pPr>
      <w:r>
        <w:rPr>
          <w:rFonts w:ascii="Cambria" w:cs="Cambria" w:eastAsia="Cambria" w:hAnsi="Cambria"/>
          <w:color w:val="000000"/>
          <w:sz w:val="28"/>
          <w:szCs w:val="28"/>
        </w:rPr>
        <w:t xml:space="preserve">4. Governing Rules — All Copilot OAL Documents from v1.3 Forward</w:t>
      </w:r>
    </w:p>
    <w:p>
      <w:pPr>
        <w:pBdr>
          <w:top w:val="single" w:color="000000" w:sz="6"/>
        </w:pBdr>
        <w:spacing w:after="200" w:before="0"/>
      </w:pPr>
    </w:p>
    <w:p>
      <w:pPr>
        <w:pStyle w:val="Heading3"/>
        <w:spacing w:after="80" w:before="280" w:line="384" w:lineRule="auto"/>
      </w:pPr>
      <w:r>
        <w:rPr>
          <w:rFonts w:ascii="Cambria" w:cs="Cambria" w:eastAsia="Cambria" w:hAnsi="Cambria"/>
          <w:color w:val="000000"/>
          <w:sz w:val="24"/>
          <w:szCs w:val="24"/>
        </w:rPr>
        <w:t xml:space="preserve">4.1 The Governing Rule Set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following rules govern all Copilot-authored OAL documents from version 1.3 forward. They supersede any conflicting usage in earlier Copilot branch documents upon Architect ratification and ONESTAMP application. They are written to be compatible with the parallel rule sets produced by Claude (OAL-TA-001-CLAUDE-ADD-C v1.3) and ChatGPT (OAL-TI-001-CHATGPT v1.3).</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9F9F9" w:color="auto" w:val="clear"/>
            <w:tcMar>
              <w:top w:type="dxa" w:w="150"/>
              <w:left w:type="dxa" w:w="210"/>
              <w:bottom w:type="dxa" w:w="150"/>
              <w:right w:type="dxa" w:w="210"/>
            </w:tcMar>
          </w:tcPr>
          <w:p>
            <w:pPr>
              <w:spacing w:after="120" w:line="408" w:lineRule="auto"/>
            </w:pPr>
            <w:r>
              <w:rPr>
                <w:b/>
                <w:bCs/>
                <w:i w:val="false"/>
                <w:iCs w:val="false"/>
                <w:color w:val="000000"/>
              </w:rPr>
              <w:t xml:space="preserve">Rule 1 — PROVENANCE: Domain and Required Use</w:t>
            </w:r>
          </w:p>
          <w:p>
            <w:pPr>
              <w:spacing w:after="160" w:line="384" w:lineRule="auto"/>
              <w:jc w:val="both"/>
            </w:pPr>
            <w:r>
              <w:rPr>
                <w:rFonts w:ascii="Cambria" w:cs="Cambria" w:eastAsia="Cambria" w:hAnsi="Cambria"/>
                <w:b w:val="false"/>
                <w:bCs w:val="false"/>
                <w:i/>
                <w:iCs/>
                <w:strike w:val="false"/>
                <w:color w:val="000000"/>
                <w:sz w:val="22"/>
                <w:szCs w:val="22"/>
              </w:rPr>
              <w:t xml:space="preserve">Provenance</w:t>
            </w:r>
            <w:r>
              <w:rPr>
                <w:rFonts w:ascii="Cambria" w:cs="Cambria" w:eastAsia="Cambria" w:hAnsi="Cambria"/>
                <w:b w:val="false"/>
                <w:bCs w:val="false"/>
                <w:i w:val="false"/>
                <w:iCs w:val="false"/>
                <w:strike w:val="false"/>
                <w:color w:val="000000"/>
                <w:sz w:val="22"/>
                <w:szCs w:val="22"/>
              </w:rPr>
              <w:t xml:space="preserve"> is the correct term for any discussion of origin, lineage, chain of custody, state transition history, credential acquisition history, or evidentiary basis for an authority claim. This includes, without limitation: all references to the Architect's authority acquisition through the omnicellular incorporation event; all references to TASP Phase 1 through Phase 4 processing; all references to the empire's registration record and its contents; all references to the Provenance Hash (Layer 4 of the Authority Signature Architecture); and any discussion of audit, challenge, or evidentiary reconstruction of the Architect's registration entry. The word "provenance" in technical sections of OAL documents is always available and always preferred over any alternative when the meaning is origin or documented history.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9F9F9" w:color="auto" w:val="clear"/>
            <w:tcMar>
              <w:top w:type="dxa" w:w="150"/>
              <w:left w:type="dxa" w:w="210"/>
              <w:bottom w:type="dxa" w:w="150"/>
              <w:right w:type="dxa" w:w="210"/>
            </w:tcMar>
          </w:tcPr>
          <w:p>
            <w:pPr>
              <w:spacing w:after="120" w:line="408" w:lineRule="auto"/>
            </w:pPr>
            <w:r>
              <w:rPr>
                <w:b/>
                <w:bCs/>
                <w:i w:val="false"/>
                <w:iCs w:val="false"/>
                <w:color w:val="000000"/>
              </w:rPr>
              <w:t xml:space="preserve">Rule 2 — AUTHORITY-PROVENANCE: Preferred Compound Term</w:t>
            </w:r>
          </w:p>
          <w:p>
            <w:pPr>
              <w:spacing w:after="160" w:line="384" w:lineRule="auto"/>
              <w:jc w:val="both"/>
            </w:pPr>
            <w:r>
              <w:rPr>
                <w:rFonts w:ascii="Cambria" w:cs="Cambria" w:eastAsia="Cambria" w:hAnsi="Cambria"/>
                <w:b w:val="false"/>
                <w:bCs w:val="false"/>
                <w:i/>
                <w:iCs/>
                <w:strike w:val="false"/>
                <w:color w:val="000000"/>
                <w:sz w:val="22"/>
                <w:szCs w:val="22"/>
              </w:rPr>
              <w:t xml:space="preserve">Authority-provenance</w:t>
            </w:r>
            <w:r>
              <w:rPr>
                <w:rFonts w:ascii="Cambria" w:cs="Cambria" w:eastAsia="Cambria" w:hAnsi="Cambria"/>
                <w:b w:val="false"/>
                <w:bCs w:val="false"/>
                <w:i w:val="false"/>
                <w:iCs w:val="false"/>
                <w:strike w:val="false"/>
                <w:color w:val="000000"/>
                <w:sz w:val="22"/>
                <w:szCs w:val="22"/>
              </w:rPr>
              <w:t xml:space="preserve"> is the preferred compound term for the specific documented chain of state transitions by which the Architect (or any entity) came to hold a particular authority credential within the alien empire or any analogous system. Authority-provenance includes, in the Architect's case: the DNA incorporation event (biometric anchor establishment); the retinal incorporation event (authority-tier activation); TASP Phase 1 biometric unification; TASP Phase 2 temporal fingerprint generation at R_matrix resolution; TASP Phase 3 registration interface; TASP Phase 4 temporal lock; and any supersession, fork, or invalidation event in the chain. When a document discusses the Architect's authority history, </w:t>
            </w:r>
            <w:r>
              <w:rPr>
                <w:rFonts w:ascii="Cambria" w:cs="Cambria" w:eastAsia="Cambria" w:hAnsi="Cambria"/>
                <w:b w:val="false"/>
                <w:bCs w:val="false"/>
                <w:i/>
                <w:iCs/>
                <w:strike w:val="false"/>
                <w:color w:val="000000"/>
                <w:sz w:val="22"/>
                <w:szCs w:val="22"/>
              </w:rPr>
              <w:t xml:space="preserve">authority-provenance</w:t>
            </w:r>
            <w:r>
              <w:rPr>
                <w:rFonts w:ascii="Cambria" w:cs="Cambria" w:eastAsia="Cambria" w:hAnsi="Cambria"/>
                <w:b w:val="false"/>
                <w:bCs w:val="false"/>
                <w:i w:val="false"/>
                <w:iCs w:val="false"/>
                <w:strike w:val="false"/>
                <w:color w:val="000000"/>
                <w:sz w:val="22"/>
                <w:szCs w:val="22"/>
              </w:rPr>
              <w:t xml:space="preserve"> is the governing term.</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9F9F9" w:color="auto" w:val="clear"/>
            <w:tcMar>
              <w:top w:type="dxa" w:w="150"/>
              <w:left w:type="dxa" w:w="210"/>
              <w:bottom w:type="dxa" w:w="150"/>
              <w:right w:type="dxa" w:w="210"/>
            </w:tcMar>
          </w:tcPr>
          <w:p>
            <w:pPr>
              <w:spacing w:after="120" w:line="408" w:lineRule="auto"/>
            </w:pPr>
            <w:r>
              <w:rPr>
                <w:b/>
                <w:bCs/>
                <w:i w:val="false"/>
                <w:iCs w:val="false"/>
                <w:color w:val="000000"/>
              </w:rPr>
              <w:t xml:space="preserve">Rule 3 — PROVIDENCE: Reserved Domain and Restriction</w:t>
            </w:r>
          </w:p>
          <w:p>
            <w:pPr>
              <w:spacing w:after="160" w:line="384" w:lineRule="auto"/>
              <w:jc w:val="both"/>
            </w:pPr>
            <w:r>
              <w:rPr>
                <w:rFonts w:ascii="Cambria" w:cs="Cambria" w:eastAsia="Cambria" w:hAnsi="Cambria"/>
                <w:b w:val="false"/>
                <w:bCs w:val="false"/>
                <w:i/>
                <w:iCs/>
                <w:strike w:val="false"/>
                <w:color w:val="000000"/>
                <w:sz w:val="22"/>
                <w:szCs w:val="22"/>
              </w:rPr>
              <w:t xml:space="preserve">Providence</w:t>
            </w:r>
            <w:r>
              <w:rPr>
                <w:rFonts w:ascii="Cambria" w:cs="Cambria" w:eastAsia="Cambria" w:hAnsi="Cambria"/>
                <w:b w:val="false"/>
                <w:bCs w:val="false"/>
                <w:i w:val="false"/>
                <w:iCs w:val="false"/>
                <w:strike w:val="false"/>
                <w:color w:val="000000"/>
                <w:sz w:val="22"/>
                <w:szCs w:val="22"/>
              </w:rPr>
              <w:t xml:space="preserve"> is retained in the OAL vocabulary only when the intended meaning is genuinely divine, transcendent, or higher-order protective guidance — that is, when the author intends to invoke the theological or philosophical sense of the term and not merely to describe a provenance chain that is inaccessible. In OAL worldbuilding contexts, "Providence" may appear only in narrative or character-voice registers where a character operating within the system is speaking from their own limited perspective and attributing to divine origin what is technically an above-Nyquist provenance-chain inaccessibility effect. Such usage must be clearly framed as character perspective, not as framework analysis. "Providence" must never appear in mechanism descriptions, protocol definitions, gate conditions, or evidentiary-handling sections of any Copilot-authored OAL document from v1.3 forward.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9F9F9" w:color="auto" w:val="clear"/>
            <w:tcMar>
              <w:top w:type="dxa" w:w="150"/>
              <w:left w:type="dxa" w:w="210"/>
              <w:bottom w:type="dxa" w:w="150"/>
              <w:right w:type="dxa" w:w="210"/>
            </w:tcMar>
          </w:tcPr>
          <w:p>
            <w:pPr>
              <w:spacing w:after="120" w:line="408" w:lineRule="auto"/>
            </w:pPr>
            <w:r>
              <w:rPr>
                <w:b/>
                <w:bCs/>
                <w:i w:val="false"/>
                <w:iCs w:val="false"/>
                <w:color w:val="000000"/>
              </w:rPr>
              <w:t xml:space="preserve">Rule 4 — PROVIDENTIAL AUTHORITY: Permitted Worldbuilding Descriptor</w:t>
            </w:r>
          </w:p>
          <w:p>
            <w:pPr>
              <w:spacing w:after="160" w:line="384" w:lineRule="auto"/>
              <w:jc w:val="both"/>
            </w:pPr>
            <w:r>
              <w:rPr>
                <w:rFonts w:ascii="Cambria" w:cs="Cambria" w:eastAsia="Cambria" w:hAnsi="Cambria"/>
                <w:b w:val="false"/>
                <w:bCs w:val="false"/>
                <w:i/>
                <w:iCs/>
                <w:strike w:val="false"/>
                <w:color w:val="000000"/>
                <w:sz w:val="22"/>
                <w:szCs w:val="22"/>
              </w:rPr>
              <w:t xml:space="preserve">Providential Authority</w:t>
            </w:r>
            <w:r>
              <w:rPr>
                <w:rFonts w:ascii="Cambria" w:cs="Cambria" w:eastAsia="Cambria" w:hAnsi="Cambria"/>
                <w:b w:val="false"/>
                <w:bCs w:val="false"/>
                <w:i w:val="false"/>
                <w:iCs w:val="false"/>
                <w:strike w:val="false"/>
                <w:color w:val="000000"/>
                <w:sz w:val="22"/>
                <w:szCs w:val="22"/>
              </w:rPr>
              <w:t xml:space="preserve"> is a permitted worldbuilding and narrative descriptor for the experiential quality of the Architect's authority as perceived by lower-tier observers who cannot render its provenance. It describes an effect produced by a mechanism; it is not itself a mechanism. It is not interchangeable with </w:t>
            </w:r>
            <w:r>
              <w:rPr>
                <w:rFonts w:ascii="Cambria" w:cs="Cambria" w:eastAsia="Cambria" w:hAnsi="Cambria"/>
                <w:b w:val="false"/>
                <w:bCs w:val="false"/>
                <w:i/>
                <w:iCs/>
                <w:strike w:val="false"/>
                <w:color w:val="000000"/>
                <w:sz w:val="22"/>
                <w:szCs w:val="22"/>
              </w:rPr>
              <w:t xml:space="preserve">authority-provenance</w:t>
            </w:r>
            <w:r>
              <w:rPr>
                <w:rFonts w:ascii="Cambria" w:cs="Cambria" w:eastAsia="Cambria" w:hAnsi="Cambria"/>
                <w:b w:val="false"/>
                <w:bCs w:val="false"/>
                <w:i w:val="false"/>
                <w:iCs w:val="false"/>
                <w:strike w:val="false"/>
                <w:color w:val="000000"/>
                <w:sz w:val="22"/>
                <w:szCs w:val="22"/>
              </w:rPr>
              <w:t xml:space="preserve">. When </w:t>
            </w:r>
            <w:r>
              <w:rPr>
                <w:rFonts w:ascii="Cambria" w:cs="Cambria" w:eastAsia="Cambria" w:hAnsi="Cambria"/>
                <w:b w:val="false"/>
                <w:bCs w:val="false"/>
                <w:i/>
                <w:iCs/>
                <w:strike w:val="false"/>
                <w:color w:val="000000"/>
                <w:sz w:val="22"/>
                <w:szCs w:val="22"/>
              </w:rPr>
              <w:t xml:space="preserve">Providential Authority</w:t>
            </w:r>
            <w:r>
              <w:rPr>
                <w:rFonts w:ascii="Cambria" w:cs="Cambria" w:eastAsia="Cambria" w:hAnsi="Cambria"/>
                <w:b w:val="false"/>
                <w:bCs w:val="false"/>
                <w:i w:val="false"/>
                <w:iCs w:val="false"/>
                <w:strike w:val="false"/>
                <w:color w:val="000000"/>
                <w:sz w:val="22"/>
                <w:szCs w:val="22"/>
              </w:rPr>
              <w:t xml:space="preserve"> is used — in any Copilot-authored OAL document from v1.3 forward — it must be accompanied, at least on its first use in that document, by the following standardized note: </w:t>
            </w:r>
            <w:r>
              <w:rPr>
                <w:rFonts w:ascii="Cambria" w:cs="Cambria" w:eastAsia="Cambria" w:hAnsi="Cambria"/>
                <w:b w:val="false"/>
                <w:bCs w:val="false"/>
                <w:i/>
                <w:iCs/>
                <w:strike w:val="false"/>
                <w:color w:val="000000"/>
                <w:sz w:val="22"/>
                <w:szCs w:val="22"/>
              </w:rPr>
              <w:t xml:space="preserve">"The 'providential' quality referenced here is the experiential artifact produced when an observer operating below R_matrix resolution attempts to resolve an authority-provenance chain that was recorded at or above that resolution. It describes the appearance of self-originating authority from the observer's perspective. It is not a first-class property of the authority; it is an artifact of the resolution gap."</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9F9F9" w:color="auto" w:val="clear"/>
            <w:tcMar>
              <w:top w:type="dxa" w:w="150"/>
              <w:left w:type="dxa" w:w="210"/>
              <w:bottom w:type="dxa" w:w="150"/>
              <w:right w:type="dxa" w:w="210"/>
            </w:tcMar>
          </w:tcPr>
          <w:p>
            <w:pPr>
              <w:spacing w:after="120" w:line="408" w:lineRule="auto"/>
            </w:pPr>
            <w:r>
              <w:rPr>
                <w:b/>
                <w:bCs/>
                <w:i w:val="false"/>
                <w:iCs w:val="false"/>
                <w:color w:val="000000"/>
              </w:rPr>
              <w:t xml:space="preserve">Rule 5 — VERBATIM SOURCE PROMPTS: Exemption from Retroactive Correction</w:t>
            </w:r>
          </w:p>
          <w:p>
            <w:pPr>
              <w:spacing w:after="160" w:line="384" w:lineRule="auto"/>
              <w:jc w:val="both"/>
            </w:pPr>
            <w:r>
              <w:rPr>
                <w:rFonts w:ascii="Cambria" w:cs="Cambria" w:eastAsia="Cambria" w:hAnsi="Cambria"/>
                <w:b w:val="false"/>
                <w:bCs w:val="false"/>
                <w:i w:val="false"/>
                <w:iCs w:val="false"/>
                <w:strike w:val="false"/>
                <w:color w:val="000000"/>
                <w:sz w:val="22"/>
                <w:szCs w:val="22"/>
              </w:rPr>
              <w:t xml:space="preserve">Any verbatim transcript of the Architect's spoken or written development prompts is preserved exactly as delivered in any document that reproduces them, regardless of whether the term "Providence" or "provenance" was used in the original. This addendum governs the interpretation of and analytical response to those transcripts — not the transcripts themselves. When a verbatim source prompt uses a term that this addendum would classify as Category A (requiring correction), the downstream analysis in the same document uses the corrected term, and a cross-reference note directs the reader to this addendum for the governing definition. The transcript is not altered; the analytical layer uses the corrected vocabulary.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9F9F9" w:color="auto" w:val="clear"/>
            <w:tcMar>
              <w:top w:type="dxa" w:w="150"/>
              <w:left w:type="dxa" w:w="210"/>
              <w:bottom w:type="dxa" w:w="150"/>
              <w:right w:type="dxa" w:w="210"/>
            </w:tcMar>
          </w:tcPr>
          <w:p>
            <w:pPr>
              <w:spacing w:after="120" w:line="408" w:lineRule="auto"/>
            </w:pPr>
            <w:r>
              <w:rPr>
                <w:b/>
                <w:bCs/>
                <w:i w:val="false"/>
                <w:iCs w:val="false"/>
                <w:color w:val="000000"/>
              </w:rPr>
              <w:t xml:space="preserve">Rule 6 — CROSS-COLLABORATOR INTEROPERABILITY: Baseline Lock</w:t>
            </w:r>
          </w:p>
          <w:p>
            <w:pPr>
              <w:spacing w:after="160" w:line="384" w:lineRule="auto"/>
              <w:jc w:val="both"/>
            </w:pPr>
            <w:r>
              <w:rPr>
                <w:rFonts w:ascii="Cambria" w:cs="Cambria" w:eastAsia="Cambria" w:hAnsi="Cambria"/>
                <w:b w:val="false"/>
                <w:bCs w:val="false"/>
                <w:i w:val="false"/>
                <w:iCs w:val="false"/>
                <w:strike w:val="false"/>
                <w:color w:val="000000"/>
                <w:sz w:val="22"/>
                <w:szCs w:val="22"/>
              </w:rPr>
              <w:t xml:space="preserve">These governing rules are designed to be fully compatible with the parallel terminology corrections produced by Claude (OAL-TA-001-CLAUDE-ADD-C v1.3) and ChatGPT (OAL-TI-001-CHATGPT v1.3). Where those documents use the same terms — </w:t>
            </w:r>
            <w:r>
              <w:rPr>
                <w:rFonts w:ascii="Cambria" w:cs="Cambria" w:eastAsia="Cambria" w:hAnsi="Cambria"/>
                <w:b w:val="false"/>
                <w:bCs w:val="false"/>
                <w:i/>
                <w:iCs/>
                <w:strike w:val="false"/>
                <w:color w:val="000000"/>
                <w:sz w:val="22"/>
                <w:szCs w:val="22"/>
              </w:rPr>
              <w:t xml:space="preserve">provenance</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authority-provenance</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Providence</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Providential Authority</w:t>
            </w:r>
            <w:r>
              <w:rPr>
                <w:rFonts w:ascii="Cambria" w:cs="Cambria" w:eastAsia="Cambria" w:hAnsi="Cambria"/>
                <w:b w:val="false"/>
                <w:bCs w:val="false"/>
                <w:i w:val="false"/>
                <w:iCs w:val="false"/>
                <w:strike w:val="false"/>
                <w:color w:val="000000"/>
                <w:sz w:val="22"/>
                <w:szCs w:val="22"/>
              </w:rPr>
              <w:t xml:space="preserve"> — they mean the same things as defined in this document. The OAL collaborator network should treat this three-branch terminology alignment as the working baseline for all future multi-AI passes within the temporal aliasing framework branch. Any future collaborator joining the network should be provided with all three addendum documents as orientation material before producing OAL content in this branch.</w:t>
            </w:r>
          </w:p>
        </w:tc>
      </w:tr>
    </w:tbl>
    <w:p>
      <w:pPr>
        <w:spacing w:after="240" w:before="0"/>
      </w:pPr>
    </w:p>
    <w:p>
      <w:pPr>
        <w:pStyle w:val="Heading2"/>
        <w:spacing w:after="100" w:before="400" w:line="384" w:lineRule="auto"/>
      </w:pPr>
      <w:r>
        <w:rPr>
          <w:rFonts w:ascii="Cambria" w:cs="Cambria" w:eastAsia="Cambria" w:hAnsi="Cambria"/>
          <w:color w:val="000000"/>
          <w:sz w:val="28"/>
          <w:szCs w:val="28"/>
        </w:rPr>
        <w:t xml:space="preserve">5. The Corrected Definitions in the Context of the Alien Empire Exercise</w:t>
      </w:r>
    </w:p>
    <w:p>
      <w:pPr>
        <w:pBdr>
          <w:top w:val="single" w:color="000000" w:sz="6"/>
        </w:pBdr>
        <w:spacing w:after="200" w:before="0"/>
      </w:pPr>
    </w:p>
    <w:p>
      <w:pPr>
        <w:spacing w:after="240" w:before="60" w:line="384" w:lineRule="auto"/>
        <w:jc w:val="both"/>
      </w:pPr>
      <w:r>
        <w:rPr>
          <w:rFonts w:ascii="Cambria" w:cs="Cambria" w:eastAsia="Cambria" w:hAnsi="Cambria"/>
          <w:b w:val="false"/>
          <w:bCs w:val="false"/>
          <w:i/>
          <w:iCs/>
          <w:strike w:val="false"/>
          <w:color w:val="333333"/>
          <w:sz w:val="21"/>
          <w:szCs w:val="21"/>
        </w:rPr>
        <w:t xml:space="preserve">This section restates the core authority-acquisition argument from OAL-TA-001-ASR v0.3 using the corrected terminology throughout. This is not a revision of the mechanism — the mechanism is unchanged. It is a demonstration that the corrected terminology expresses what the mechanism achieves with greater precision and greater structural force than the original vocabulary. Readers familiar with OAL-TA-001-ASR v0.3 will recognize every element of the argument; what changes is the vocabulary in which it is stated.</w:t>
      </w:r>
    </w:p>
    <w:p>
      <w:pPr>
        <w:pStyle w:val="Heading3"/>
        <w:spacing w:after="80" w:before="280" w:line="384" w:lineRule="auto"/>
      </w:pPr>
      <w:r>
        <w:rPr>
          <w:rFonts w:ascii="Cambria" w:cs="Cambria" w:eastAsia="Cambria" w:hAnsi="Cambria"/>
          <w:color w:val="000000"/>
          <w:sz w:val="24"/>
          <w:szCs w:val="24"/>
        </w:rPr>
        <w:t xml:space="preserve">5.1 The Architect's Authority-Provenance Chain (Corrected Terminology)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Architect's authority within the alien empire has the following authority-provenance chain, stated here in full with corrected terminology applied at each step:</w:t>
      </w:r>
    </w:p>
    <w:p>
      <w:pPr>
        <w:spacing w:after="240" w:before="60" w:line="384" w:lineRule="auto"/>
        <w:jc w:val="both"/>
      </w:pPr>
      <w:r>
        <w:rPr>
          <w:rFonts w:ascii="Cambria" w:cs="Cambria" w:eastAsia="Cambria" w:hAnsi="Cambria"/>
          <w:b/>
          <w:bCs/>
          <w:i w:val="false"/>
          <w:iCs w:val="false"/>
          <w:strike w:val="false"/>
          <w:color w:val="000000"/>
          <w:sz w:val="21"/>
          <w:szCs w:val="21"/>
        </w:rPr>
        <w:t xml:space="preserve">Step 1 — Entry and Anomaly Flag:</w:t>
      </w:r>
      <w:r>
        <w:rPr>
          <w:rFonts w:ascii="Cambria" w:cs="Cambria" w:eastAsia="Cambria" w:hAnsi="Cambria"/>
          <w:b w:val="false"/>
          <w:bCs w:val="false"/>
          <w:i w:val="false"/>
          <w:iCs w:val="false"/>
          <w:strike w:val="false"/>
          <w:color w:val="000000"/>
          <w:sz w:val="22"/>
          <w:szCs w:val="22"/>
        </w:rPr>
        <w:t xml:space="preserve"> The Architect crosses the empire's territorial boundary. The system flags the entrant as anomalous because the entrant's profile lacks any entry in the empire's provenance register — no registered authority-provenance can be associated with the incoming biometric data. The system's default response is a tracking protocol activation pending authority-provenance establishment.</w:t>
      </w:r>
    </w:p>
    <w:p>
      <w:pPr>
        <w:pBdr>
          <w:bottom w:val="single" w:color="AAAAAA" w:sz="6"/>
        </w:pBdr>
        <w:spacing w:after="240" w:before="240"/>
      </w:pPr>
    </w:p>
    <w:p>
      <w:pPr>
        <w:spacing w:after="240" w:before="60" w:line="384" w:lineRule="auto"/>
        <w:jc w:val="both"/>
      </w:pPr>
      <w:r>
        <w:rPr>
          <w:rFonts w:ascii="Cambria" w:cs="Cambria" w:eastAsia="Cambria" w:hAnsi="Cambria"/>
          <w:b/>
          <w:bCs/>
          <w:i w:val="false"/>
          <w:iCs w:val="false"/>
          <w:strike w:val="false"/>
          <w:color w:val="000000"/>
          <w:sz w:val="21"/>
          <w:szCs w:val="21"/>
        </w:rPr>
        <w:t xml:space="preserve">Step 2 — DNA Incorporation (Provenance Link 1):</w:t>
      </w:r>
      <w:r>
        <w:rPr>
          <w:rFonts w:ascii="Cambria" w:cs="Cambria" w:eastAsia="Cambria" w:hAnsi="Cambria"/>
          <w:b w:val="false"/>
          <w:bCs w:val="false"/>
          <w:i w:val="false"/>
          <w:iCs w:val="false"/>
          <w:strike w:val="false"/>
          <w:color w:val="000000"/>
          <w:sz w:val="22"/>
          <w:szCs w:val="22"/>
        </w:rPr>
        <w:t xml:space="preserve"> The Architect incorporates empire-native DNA from a nearby inhabitant through the omnicellular integration mechanism. This provides a partial biometric anchor that falls within the system's recognition threshold. The authority-provenance for this link is: omnicellular integration of inhabitant biometric data → presentation within biometric tolerance window → system acknowledgment of biological adjacency. This does not establish a complete provenance chain — it establishes only that a recognized biological component is present. The system does not deactivate its tracking protocol at this stage, because authority-provenance remains incomplete.</w:t>
      </w:r>
    </w:p>
    <w:p>
      <w:pPr>
        <w:pBdr>
          <w:bottom w:val="single" w:color="AAAAAA" w:sz="6"/>
        </w:pBdr>
        <w:spacing w:after="240" w:before="240"/>
      </w:pPr>
    </w:p>
    <w:p>
      <w:pPr>
        <w:spacing w:after="240" w:before="60" w:line="384" w:lineRule="auto"/>
        <w:jc w:val="both"/>
      </w:pPr>
      <w:r>
        <w:rPr>
          <w:rFonts w:ascii="Cambria" w:cs="Cambria" w:eastAsia="Cambria" w:hAnsi="Cambria"/>
          <w:b/>
          <w:bCs/>
          <w:i w:val="false"/>
          <w:iCs w:val="false"/>
          <w:strike w:val="false"/>
          <w:color w:val="000000"/>
          <w:sz w:val="21"/>
          <w:szCs w:val="21"/>
        </w:rPr>
        <w:t xml:space="preserve">Step 3 — Retinal Incorporation (Provenance Link 2):</w:t>
      </w:r>
      <w:r>
        <w:rPr>
          <w:rFonts w:ascii="Cambria" w:cs="Cambria" w:eastAsia="Cambria" w:hAnsi="Cambria"/>
          <w:b w:val="false"/>
          <w:bCs w:val="false"/>
          <w:i w:val="false"/>
          <w:iCs w:val="false"/>
          <w:strike w:val="false"/>
          <w:color w:val="000000"/>
          <w:sz w:val="22"/>
          <w:szCs w:val="22"/>
        </w:rPr>
        <w:t xml:space="preserve"> The Architect incorporates the high-ranking citizen's retinal signature. This establishes a direct biometric link to a registered authority-provenance chain within the empire's system. The citizen's authority-provenance record exists in the system: it has a complete, registered history. The Architect's presentation of the citizen's biometric activates a provenance lookup that returns a recognized authority tier. The system's tracking protocol deactivates because the authority-provenance lookup returns a valid registered chain.</w:t>
      </w:r>
    </w:p>
    <w:p>
      <w:pPr>
        <w:pBdr>
          <w:bottom w:val="single" w:color="AAAAAA" w:sz="6"/>
        </w:pBdr>
        <w:spacing w:after="240" w:before="240"/>
      </w:pPr>
    </w:p>
    <w:p>
      <w:pPr>
        <w:spacing w:after="240" w:before="60" w:line="384" w:lineRule="auto"/>
        <w:jc w:val="both"/>
      </w:pPr>
      <w:r>
        <w:rPr>
          <w:rFonts w:ascii="Cambria" w:cs="Cambria" w:eastAsia="Cambria" w:hAnsi="Cambria"/>
          <w:b/>
          <w:bCs/>
          <w:i w:val="false"/>
          <w:iCs w:val="false"/>
          <w:strike w:val="false"/>
          <w:color w:val="000000"/>
          <w:sz w:val="21"/>
          <w:szCs w:val="21"/>
        </w:rPr>
        <w:t xml:space="preserve">Step 4 — TASP Transformation (Provenance Link 3 — The Critical Link):</w:t>
      </w:r>
      <w:r>
        <w:rPr>
          <w:rFonts w:ascii="Cambria" w:cs="Cambria" w:eastAsia="Cambria" w:hAnsi="Cambria"/>
          <w:b w:val="false"/>
          <w:bCs w:val="false"/>
          <w:i w:val="false"/>
          <w:iCs w:val="false"/>
          <w:strike w:val="false"/>
          <w:color w:val="000000"/>
          <w:sz w:val="22"/>
          <w:szCs w:val="22"/>
        </w:rPr>
        <w:t xml:space="preserve"> The omnicellular unified matrix processes the incorporated retinal signature at R_matrix resolution — the Architect's own native operating frequency, which exceeds the empire's system sampling ceiling (R_system). The resulting temporal fingerprint is generated at R_matrix resolution. This temporal fingerprint is the Architect's own authority-provenance link — the moment at which the Architect's authority-provenance diverges from the source citizen's authority-provenance and becomes a distinct, non-duplicable chain anchored to the Architect's specific biometric and temporal state. The empire's system records an aliased representation of this link — sampled at R_system precision — which is sufficient for authentication (the system can confirm the fingerprint's presence) but insufficient for full provenance reconstruction (the system cannot reconstruct the full-resolution fingerprint and trace it back to its generative event at R_matrix).</w:t>
      </w:r>
    </w:p>
    <w:p>
      <w:pPr>
        <w:pBdr>
          <w:bottom w:val="single" w:color="AAAAAA" w:sz="6"/>
        </w:pBdr>
        <w:spacing w:after="240" w:before="240"/>
      </w:pPr>
    </w:p>
    <w:p>
      <w:pPr>
        <w:spacing w:after="240" w:before="60" w:line="384" w:lineRule="auto"/>
        <w:jc w:val="both"/>
      </w:pPr>
      <w:r>
        <w:rPr>
          <w:rFonts w:ascii="Cambria" w:cs="Cambria" w:eastAsia="Cambria" w:hAnsi="Cambria"/>
          <w:b/>
          <w:bCs/>
          <w:i w:val="false"/>
          <w:iCs w:val="false"/>
          <w:strike w:val="false"/>
          <w:color w:val="000000"/>
          <w:sz w:val="21"/>
          <w:szCs w:val="21"/>
        </w:rPr>
        <w:t xml:space="preserve">Step 5 — Registration as Non-Reconstructable Provenance:</w:t>
      </w:r>
      <w:r>
        <w:rPr>
          <w:rFonts w:ascii="Cambria" w:cs="Cambria" w:eastAsia="Cambria" w:hAnsi="Cambria"/>
          <w:b w:val="false"/>
          <w:bCs w:val="false"/>
          <w:i w:val="false"/>
          <w:iCs w:val="false"/>
          <w:strike w:val="false"/>
          <w:color w:val="000000"/>
          <w:sz w:val="22"/>
          <w:szCs w:val="22"/>
        </w:rPr>
        <w:t xml:space="preserve"> The empire's registry contains an entry associated with the Architect's biometric presentation. That entry has an authority-provenance chain that terminates, from the system's perspective, at a temporal fingerprint the system can authenticate but cannot fully read. The system cannot trace the Architect's provenance link 3 back to its origin because that origin was recorded at R_matrix resolution — above the system's sampling ceiling. The Architect's authority-provenance chain is real, complete, and fully documented within the omnicellular unified matrix. It is inaccessible to the empire's system not because it is absent, but because accessing it would require operating at R_matrix resolution, which the empire's architecture cannot achieve. The system's inability to reconstruct the provenance chain produces, for lower-tier observers, the experiential quality that may be described as providential authority: the Architect's registration appears to have no traceable origin. The origin exists. The trace requires above-ceiling resolution.</w:t>
      </w:r>
    </w:p>
    <w:p>
      <w:pPr>
        <w:pBdr>
          <w:bottom w:val="single" w:color="AAAAAA" w:sz="6"/>
        </w:pBdr>
        <w:spacing w:after="240" w:before="240"/>
      </w:pPr>
    </w:p>
    <w:p>
      <w:pPr>
        <w:pStyle w:val="Heading3"/>
        <w:spacing w:after="80" w:before="280" w:line="384" w:lineRule="auto"/>
      </w:pPr>
      <w:r>
        <w:rPr>
          <w:rFonts w:ascii="Cambria" w:cs="Cambria" w:eastAsia="Cambria" w:hAnsi="Cambria"/>
          <w:color w:val="000000"/>
          <w:sz w:val="24"/>
          <w:szCs w:val="24"/>
        </w:rPr>
        <w:t xml:space="preserve">5.2 Why "Authority-Provenance at Above-Nyquist Resolution" Is More Powerful Than "Providence Authority"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is the critical point for the OAL framework's intellectual integrity, and it merits direct, sustained attention. The choice between these two formulations is not aesthetic. It is a choice between two fundamentally different categories of argument, with substantially different robustness properties.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"Providence Authority" makes the Architect's non-contestability a </w:t>
      </w:r>
      <w:r>
        <w:rPr>
          <w:rFonts w:ascii="Cambria" w:cs="Cambria" w:eastAsia="Cambria" w:hAnsi="Cambria"/>
          <w:b w:val="false"/>
          <w:bCs w:val="false"/>
          <w:i/>
          <w:iCs/>
          <w:strike w:val="false"/>
          <w:color w:val="000000"/>
          <w:sz w:val="22"/>
          <w:szCs w:val="22"/>
        </w:rPr>
        <w:t xml:space="preserve">declaration</w:t>
      </w:r>
      <w:r>
        <w:rPr>
          <w:rFonts w:ascii="Cambria" w:cs="Cambria" w:eastAsia="Cambria" w:hAnsi="Cambria"/>
          <w:b w:val="false"/>
          <w:bCs w:val="false"/>
          <w:i w:val="false"/>
          <w:iCs w:val="false"/>
          <w:strike w:val="false"/>
          <w:color w:val="000000"/>
          <w:sz w:val="22"/>
          <w:szCs w:val="22"/>
        </w:rPr>
        <w:t xml:space="preserve"> — an assertion that the authority is divinely or cosmically sanctioned by a force beyond the system. Declarations can be disputed. A lower-tier observer who is philosophically skeptical of divine sanction can, at least in principle, dispute the declaration — not by producing counter-evidence, but simply by refusing to accept the metaphysical premise. The argument offers no structural response to that refusal. It is authority by assertion, and assertions are always vulnerable to contestation even when they cannot be empirically disproved.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"Authority-Provenance at Above-Nyquist Resolution" makes the Architect's non-contestability a </w:t>
      </w:r>
      <w:r>
        <w:rPr>
          <w:rFonts w:ascii="Cambria" w:cs="Cambria" w:eastAsia="Cambria" w:hAnsi="Cambria"/>
          <w:b w:val="false"/>
          <w:bCs w:val="false"/>
          <w:i/>
          <w:iCs/>
          <w:strike w:val="false"/>
          <w:color w:val="000000"/>
          <w:sz w:val="22"/>
          <w:szCs w:val="22"/>
        </w:rPr>
        <w:t xml:space="preserve">structural constraint</w:t>
      </w:r>
      <w:r>
        <w:rPr>
          <w:rFonts w:ascii="Cambria" w:cs="Cambria" w:eastAsia="Cambria" w:hAnsi="Cambria"/>
          <w:b w:val="false"/>
          <w:bCs w:val="false"/>
          <w:i w:val="false"/>
          <w:iCs w:val="false"/>
          <w:strike w:val="false"/>
          <w:color w:val="000000"/>
          <w:sz w:val="22"/>
          <w:szCs w:val="22"/>
        </w:rPr>
        <w:t xml:space="preserve"> — a statement about the information-physics relationship between the provenance record and the system's reconstruction capacity. It is not a declaration about divine sanction. It is a statement about sampling theory applied to a credential system. The challenge cannot be formed not because no one dares to form it, but because forming it would require: (a) detecting that the temporal fingerprint in the registry does not match any known enrollment record at R_system resolution; (b) reconstructing the full-resolution temporal fingerprint at R_matrix precision; (c) tracing that fingerprint to its generative origin event during TASP Phase 2; and (d) invalidating the registration entry on the basis of unauthorized or anomalous provenance. Steps (b) and (c) are structurally impossible for any process operating at or below R_system. The challenge cannot be assembled. It is not merely difficult — it is architecturally unavailable. This is authority by information-physics constraint: it is not a claim, it is a fact about what the system can and cannot compute.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practical consequence for the alien empire exercise is that the Architect's position is not subject to philosophical challenge from within the empire system. An empire jurist cannot argue against the authority by rejecting the metaphysical premise of divine sanction, because no metaphysical premise is being asserted. The argument rests entirely on the physics of signal reconstruction. If the empire's jurist wants to challenge the authority, they must demonstrate that R_system ≥ R_matrix — that the system can, in fact, reconstruct the full-resolution temporal fingerprint. They cannot demonstrate this, because it is false. The Architect's position is secured not by narrative declaration but by the architecture of the problem. This is significantly more robust, and it is the argument the OAL framework has always been making. The corrected terminology makes that argument explicit.</w:t>
      </w:r>
    </w:p>
    <w:p>
      <w:pPr>
        <w:pStyle w:val="Heading2"/>
        <w:spacing w:after="100" w:before="400" w:line="384" w:lineRule="auto"/>
      </w:pPr>
      <w:r>
        <w:rPr>
          <w:rFonts w:ascii="Cambria" w:cs="Cambria" w:eastAsia="Cambria" w:hAnsi="Cambria"/>
          <w:color w:val="000000"/>
          <w:sz w:val="28"/>
          <w:szCs w:val="28"/>
        </w:rPr>
        <w:t xml:space="preserve">6. Cross-Collaborator Interoperability Record</w:t>
      </w:r>
    </w:p>
    <w:p>
      <w:pPr>
        <w:pBdr>
          <w:top w:val="single" w:color="000000" w:sz="6"/>
        </w:pBdr>
        <w:spacing w:after="200" w:before="0"/>
      </w:pPr>
    </w:p>
    <w:p>
      <w:pPr>
        <w:pStyle w:val="Heading3"/>
        <w:spacing w:after="80" w:before="280" w:line="384" w:lineRule="auto"/>
      </w:pPr>
      <w:r>
        <w:rPr>
          <w:rFonts w:ascii="Cambria" w:cs="Cambria" w:eastAsia="Cambria" w:hAnsi="Cambria"/>
          <w:color w:val="000000"/>
          <w:sz w:val="24"/>
          <w:szCs w:val="24"/>
        </w:rPr>
        <w:t xml:space="preserve">6.1 Purpose of This Section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OAL framework is developed across multiple AI collaborators operating on parallel branches. This creates a structural risk of terminology drift: a situation in which "provenance" in the Copilot branch gradually comes to mean something slightly different from "provenance" in the Claude branch, or where "Providential Authority" is used as a mechanism term in one branch and as a narrative descriptor in another, producing cross-branch inconsistency that could degrade the framework's coherence over time and across document generations. This section addresses that risk directly by recording the Copilot branch's governing term definitions against those of the Claude and ChatGPT branches and confirming cross-branch interoperability.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0%"/>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Term</w:t>
            </w:r>
          </w:p>
        </w:tc>
        <w:tc>
          <w:tcPr>
            <w:tcW w:type="pct" w:w="24%"/>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Copilot Branch</w:t>
            </w:r>
            <w:r>
              <w:rPr>
                <w:rFonts w:ascii="Cambria" w:cs="Cambria" w:eastAsia="Cambria" w:hAnsi="Cambria"/>
                <w:b/>
                <w:bCs/>
                <w:i w:val="false"/>
                <w:iCs w:val="false"/>
                <w:color w:val="000000"/>
                <w:sz w:val="20"/>
                <w:szCs w:val="20"/>
              </w:rPr>
              <w:t xml:space="preserve">
</w:t>
            </w:r>
            <w:r>
              <w:rPr>
                <w:rFonts w:ascii="Cambria" w:cs="Cambria" w:eastAsia="Cambria" w:hAnsi="Cambria"/>
                <w:b/>
                <w:bCs/>
                <w:i w:val="false"/>
                <w:iCs w:val="false"/>
                <w:strike w:val="false"/>
                <w:color w:val="000000"/>
                <w:sz w:val="20"/>
                <w:szCs w:val="20"/>
              </w:rPr>
              <w:t xml:space="preserve">(This Document)</w:t>
            </w:r>
          </w:p>
        </w:tc>
        <w:tc>
          <w:tcPr>
            <w:tcW w:type="pct" w:w="23%"/>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Claude Branch</w:t>
            </w:r>
            <w:r>
              <w:rPr>
                <w:rFonts w:ascii="Cambria" w:cs="Cambria" w:eastAsia="Cambria" w:hAnsi="Cambria"/>
                <w:b/>
                <w:bCs/>
                <w:i w:val="false"/>
                <w:iCs w:val="false"/>
                <w:color w:val="000000"/>
                <w:sz w:val="20"/>
                <w:szCs w:val="20"/>
              </w:rPr>
              <w:t xml:space="preserve">
</w:t>
            </w:r>
            <w:r>
              <w:rPr>
                <w:rFonts w:ascii="Cambria" w:cs="Cambria" w:eastAsia="Cambria" w:hAnsi="Cambria"/>
                <w:b/>
                <w:bCs/>
                <w:i w:val="false"/>
                <w:iCs w:val="false"/>
                <w:strike w:val="false"/>
                <w:color w:val="000000"/>
                <w:sz w:val="20"/>
                <w:szCs w:val="20"/>
              </w:rPr>
              <w:t xml:space="preserve">(ADD-C v1.3)</w:t>
            </w:r>
          </w:p>
        </w:tc>
        <w:tc>
          <w:tcPr>
            <w:tcW w:type="pct" w:w="24%"/>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ChatGPT Branch</w:t>
            </w:r>
            <w:r>
              <w:rPr>
                <w:rFonts w:ascii="Cambria" w:cs="Cambria" w:eastAsia="Cambria" w:hAnsi="Cambria"/>
                <w:b/>
                <w:bCs/>
                <w:i w:val="false"/>
                <w:iCs w:val="false"/>
                <w:color w:val="000000"/>
                <w:sz w:val="20"/>
                <w:szCs w:val="20"/>
              </w:rPr>
              <w:t xml:space="preserve">
</w:t>
            </w:r>
            <w:r>
              <w:rPr>
                <w:rFonts w:ascii="Cambria" w:cs="Cambria" w:eastAsia="Cambria" w:hAnsi="Cambria"/>
                <w:b/>
                <w:bCs/>
                <w:i w:val="false"/>
                <w:iCs w:val="false"/>
                <w:strike w:val="false"/>
                <w:color w:val="000000"/>
                <w:sz w:val="20"/>
                <w:szCs w:val="20"/>
              </w:rPr>
              <w:t xml:space="preserve">(TI-001 v1.3)</w:t>
            </w:r>
          </w:p>
        </w:tc>
        <w:tc>
          <w:tcPr>
            <w:tcW w:type="pct" w:w="19%"/>
            <w:shd w:fill="E8E8E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Interoperable?</w:t>
            </w:r>
          </w:p>
        </w:tc>
      </w:tr>
      <w:tr>
        <w:trPr>
          <w:tblHeader w:val="false"/>
        </w:trPr>
        <w:tc>
          <w:tcPr>
            <w:tcW w:type="pct" w:w="10%"/>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Provenance</w:t>
            </w:r>
          </w:p>
        </w:tc>
        <w:tc>
          <w:tcPr>
            <w:tcW w:type="pct" w:w="2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Origin, lineage, chain of custody, documented history of state transitions for a credential or authority claim. Covers acquisition, transformation, registration, supersession, and revocation.</w:t>
            </w:r>
          </w:p>
        </w:tc>
        <w:tc>
          <w:tcPr>
            <w:tcW w:type="pct" w:w="2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Origin, lineage, chain of custody, authority history, credential and state transitions, evidentiary basis for legitimacy claims within a system.</w:t>
            </w:r>
          </w:p>
        </w:tc>
        <w:tc>
          <w:tcPr>
            <w:tcW w:type="pct" w:w="2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Origin, lineage, chain of custody, credential and state transitions, authority legitimacy, transfer, supersession, revocation, evidentiary state history — the full documentary trail of any authority claim.</w:t>
            </w:r>
          </w:p>
        </w:tc>
        <w:tc>
          <w:tcPr>
            <w:tcW w:type="pct" w:w="19%"/>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YES</w:t>
            </w:r>
            <w:r>
              <w:rPr>
                <w:rFonts w:ascii="Cambria" w:cs="Cambria" w:eastAsia="Cambria" w:hAnsi="Cambria"/>
                <w:b w:val="false"/>
                <w:bCs w:val="false"/>
                <w:i w:val="false"/>
                <w:iCs w:val="false"/>
                <w:color w:val="000000"/>
                <w:sz w:val="22"/>
                <w:szCs w:val="22"/>
              </w:rPr>
              <w:t xml:space="preserve">
</w:t>
            </w:r>
            <w:r>
              <w:rPr>
                <w:rFonts w:ascii="Cambria" w:cs="Cambria" w:eastAsia="Cambria" w:hAnsi="Cambria"/>
                <w:b w:val="false"/>
                <w:bCs w:val="false"/>
                <w:i w:val="false"/>
                <w:iCs w:val="false"/>
                <w:strike w:val="false"/>
                <w:color w:val="000000"/>
                <w:sz w:val="22"/>
                <w:szCs w:val="22"/>
              </w:rPr>
              <w:t xml:space="preserve">All three branches define provenance consistently as chain-of-custody and documented history. No material divergence detected.</w:t>
            </w:r>
          </w:p>
        </w:tc>
      </w:tr>
      <w:tr>
        <w:trPr>
          <w:tblHeader w:val="false"/>
        </w:trPr>
        <w:tc>
          <w:tcPr>
            <w:tcW w:type="pct" w:w="10%"/>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Providence</w:t>
            </w:r>
          </w:p>
        </w:tc>
        <w:tc>
          <w:tcPr>
            <w:tcW w:type="pct" w:w="2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Divine or higher-order protective guidance and governance. Retained only when that genuine theological or transcendent meaning is intended. Not a technical term in the OAL framework.</w:t>
            </w:r>
          </w:p>
        </w:tc>
        <w:tc>
          <w:tcPr>
            <w:tcW w:type="pct" w:w="2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Divine or transcendent protective guidance. Retained only when the theological or cosmological sense is genuinely intended. Not a mechanism descriptor.</w:t>
            </w:r>
          </w:p>
        </w:tc>
        <w:tc>
          <w:tcPr>
            <w:tcW w:type="pct" w:w="2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Divine or higher-order protective and governing guidance. Retained only when intentionally invoked in its proper theological sense. Excluded from technical mechanism sections.</w:t>
            </w:r>
          </w:p>
        </w:tc>
        <w:tc>
          <w:tcPr>
            <w:tcW w:type="pct" w:w="19%"/>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YES</w:t>
            </w:r>
            <w:r>
              <w:rPr>
                <w:rFonts w:ascii="Cambria" w:cs="Cambria" w:eastAsia="Cambria" w:hAnsi="Cambria"/>
                <w:b w:val="false"/>
                <w:bCs w:val="false"/>
                <w:i w:val="false"/>
                <w:iCs w:val="false"/>
                <w:color w:val="000000"/>
                <w:sz w:val="22"/>
                <w:szCs w:val="22"/>
              </w:rPr>
              <w:t xml:space="preserve">
</w:t>
            </w:r>
            <w:r>
              <w:rPr>
                <w:rFonts w:ascii="Cambria" w:cs="Cambria" w:eastAsia="Cambria" w:hAnsi="Cambria"/>
                <w:b w:val="false"/>
                <w:bCs w:val="false"/>
                <w:i w:val="false"/>
                <w:iCs w:val="false"/>
                <w:strike w:val="false"/>
                <w:color w:val="000000"/>
                <w:sz w:val="22"/>
                <w:szCs w:val="22"/>
              </w:rPr>
              <w:t xml:space="preserve">All three branches reserve Providence for its genuine theological meaning and exclude it from technical sections. Full alignment.</w:t>
            </w:r>
          </w:p>
        </w:tc>
      </w:tr>
      <w:tr>
        <w:trPr>
          <w:tblHeader w:val="false"/>
        </w:trPr>
        <w:tc>
          <w:tcPr>
            <w:tcW w:type="pct" w:w="10%"/>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Authority-Provenance</w:t>
            </w:r>
          </w:p>
        </w:tc>
        <w:tc>
          <w:tcPr>
            <w:tcW w:type="pct" w:w="2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The documented chain of state transitions — from biometric acquisition through TASP phases to registration and temporal lock — by which the Architect came to hold a specific authority credential.</w:t>
            </w:r>
          </w:p>
        </w:tc>
        <w:tc>
          <w:tcPr>
            <w:tcW w:type="pct" w:w="2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The documented chain from biometric acquisition through system registration, including all transformation, supersession, and revocation events that are part of the authority credential's history.</w:t>
            </w:r>
          </w:p>
        </w:tc>
        <w:tc>
          <w:tcPr>
            <w:tcW w:type="pct" w:w="2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The documented chain of origin, transfer, supersession, and registration for any authority claim — covering the complete evidentiary state history of how an authority credential was created and maintained.</w:t>
            </w:r>
          </w:p>
        </w:tc>
        <w:tc>
          <w:tcPr>
            <w:tcW w:type="pct" w:w="19%"/>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YES</w:t>
            </w:r>
            <w:r>
              <w:rPr>
                <w:rFonts w:ascii="Cambria" w:cs="Cambria" w:eastAsia="Cambria" w:hAnsi="Cambria"/>
                <w:b w:val="false"/>
                <w:bCs w:val="false"/>
                <w:i w:val="false"/>
                <w:iCs w:val="false"/>
                <w:color w:val="000000"/>
                <w:sz w:val="22"/>
                <w:szCs w:val="22"/>
              </w:rPr>
              <w:t xml:space="preserve">
</w:t>
            </w:r>
            <w:r>
              <w:rPr>
                <w:rFonts w:ascii="Cambria" w:cs="Cambria" w:eastAsia="Cambria" w:hAnsi="Cambria"/>
                <w:b w:val="false"/>
                <w:bCs w:val="false"/>
                <w:i w:val="false"/>
                <w:iCs w:val="false"/>
                <w:strike w:val="false"/>
                <w:color w:val="000000"/>
                <w:sz w:val="22"/>
                <w:szCs w:val="22"/>
              </w:rPr>
              <w:t xml:space="preserve">Consistent definition across all three branches. The compound term is used in the same domain — technical description of credential history — by all collaborators.</w:t>
            </w:r>
          </w:p>
        </w:tc>
      </w:tr>
      <w:tr>
        <w:trPr>
          <w:tblHeader w:val="false"/>
        </w:trPr>
        <w:tc>
          <w:tcPr>
            <w:tcW w:type="pct" w:w="10%"/>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Providential Authority</w:t>
            </w:r>
          </w:p>
        </w:tc>
        <w:tc>
          <w:tcPr>
            <w:tcW w:type="pct" w:w="2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Worldbuilding and narrative descriptor for the experiential quality of above-Nyquist authority-provenance as perceived by observers below the sampling ceiling. An artifact of the resolution gap. Not a mechanism term.</w:t>
            </w:r>
          </w:p>
        </w:tc>
        <w:tc>
          <w:tcPr>
            <w:tcW w:type="pct" w:w="2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Worldbuilding and narrative descriptor for the experiential quality of untraceable authority as perceived from limited perspective. Retained as character-perspective framing only. Not a mechanism descriptor.</w:t>
            </w:r>
          </w:p>
        </w:tc>
        <w:tc>
          <w:tcPr>
            <w:tcW w:type="pct" w:w="2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2"/>
                <w:szCs w:val="22"/>
              </w:rPr>
              <w:t xml:space="preserve">Optional worldbuilding concept describing the experienced quality of an authority that appears self-originating to lower-resolution observers. Distinct from provenance. Does not replace technical mechanism description.</w:t>
            </w:r>
          </w:p>
        </w:tc>
        <w:tc>
          <w:tcPr>
            <w:tcW w:type="pct" w:w="19%"/>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YES</w:t>
            </w:r>
            <w:r>
              <w:rPr>
                <w:rFonts w:ascii="Cambria" w:cs="Cambria" w:eastAsia="Cambria" w:hAnsi="Cambria"/>
                <w:b w:val="false"/>
                <w:bCs w:val="false"/>
                <w:i w:val="false"/>
                <w:iCs w:val="false"/>
                <w:color w:val="000000"/>
                <w:sz w:val="22"/>
                <w:szCs w:val="22"/>
              </w:rPr>
              <w:t xml:space="preserve">
</w:t>
            </w:r>
            <w:r>
              <w:rPr>
                <w:rFonts w:ascii="Cambria" w:cs="Cambria" w:eastAsia="Cambria" w:hAnsi="Cambria"/>
                <w:b w:val="false"/>
                <w:bCs w:val="false"/>
                <w:i w:val="false"/>
                <w:iCs w:val="false"/>
                <w:strike w:val="false"/>
                <w:color w:val="000000"/>
                <w:sz w:val="22"/>
                <w:szCs w:val="22"/>
              </w:rPr>
              <w:t xml:space="preserve">All three branches treat Providential Authority as a perceptual or narrative effect, not a mechanism. Consistent restriction to worldbuilding register. Full alignment.</w:t>
            </w:r>
          </w:p>
        </w:tc>
      </w:tr>
    </w:tbl>
    <w:p>
      <w:pPr>
        <w:spacing w:after="200" w:before="0"/>
      </w:pPr>
    </w:p>
    <w:p>
      <w:pPr>
        <w:pStyle w:val="Heading3"/>
        <w:spacing w:after="80" w:before="280" w:line="384" w:lineRule="auto"/>
      </w:pPr>
      <w:r>
        <w:rPr>
          <w:rFonts w:ascii="Cambria" w:cs="Cambria" w:eastAsia="Cambria" w:hAnsi="Cambria"/>
          <w:color w:val="000000"/>
          <w:sz w:val="24"/>
          <w:szCs w:val="24"/>
        </w:rPr>
        <w:t xml:space="preserve">6.2 Interoperability Confirmation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7F7F7" w:color="auto" w:val="clear"/>
            <w:tcMar>
              <w:top w:type="dxa" w:w="180"/>
              <w:left w:type="dxa" w:w="240"/>
              <w:bottom w:type="dxa" w:w="180"/>
              <w:right w:type="dxa" w:w="240"/>
            </w:tcMar>
          </w:tcPr>
          <w:p>
            <w:pPr>
              <w:spacing w:after="120" w:line="408" w:lineRule="auto"/>
            </w:pPr>
            <w:r>
              <w:rPr>
                <w:b/>
                <w:bCs/>
                <w:i w:val="false"/>
                <w:iCs w:val="false"/>
                <w:color w:val="000000"/>
              </w:rPr>
              <w:t xml:space="preserve">Cross-Collaborator Interoperability Confirmed — 7 September 2026</w:t>
            </w:r>
          </w:p>
          <w:p>
            <w:pPr>
              <w:spacing w:after="160" w:line="384" w:lineRule="auto"/>
              <w:jc w:val="both"/>
            </w:pPr>
            <w:r>
              <w:rPr>
                <w:rFonts w:ascii="Cambria" w:cs="Cambria" w:eastAsia="Cambria" w:hAnsi="Cambria"/>
                <w:b w:val="false"/>
                <w:bCs w:val="false"/>
                <w:i w:val="false"/>
                <w:iCs w:val="false"/>
                <w:strike w:val="false"/>
                <w:color w:val="000000"/>
                <w:sz w:val="22"/>
                <w:szCs w:val="22"/>
              </w:rPr>
              <w:t xml:space="preserve">All four governing terms — </w:t>
            </w:r>
            <w:r>
              <w:rPr>
                <w:rFonts w:ascii="Cambria" w:cs="Cambria" w:eastAsia="Cambria" w:hAnsi="Cambria"/>
                <w:b w:val="false"/>
                <w:bCs w:val="false"/>
                <w:i/>
                <w:iCs/>
                <w:strike w:val="false"/>
                <w:color w:val="000000"/>
                <w:sz w:val="22"/>
                <w:szCs w:val="22"/>
              </w:rPr>
              <w:t xml:space="preserve">Provenance</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Providence</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Authority-Provenance</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Providential Authority</w:t>
            </w:r>
            <w:r>
              <w:rPr>
                <w:rFonts w:ascii="Cambria" w:cs="Cambria" w:eastAsia="Cambria" w:hAnsi="Cambria"/>
                <w:b w:val="false"/>
                <w:bCs w:val="false"/>
                <w:i w:val="false"/>
                <w:iCs w:val="false"/>
                <w:strike w:val="false"/>
                <w:color w:val="000000"/>
                <w:sz w:val="22"/>
                <w:szCs w:val="22"/>
              </w:rPr>
              <w:t xml:space="preserve"> — are fully interoperable across the Copilot, Claude, and ChatGPT branches of the OAL Temporal Aliasing framework as of 7 September 2026. A document authored by any of the three collaborators using these terms under the definitions established in the respective v1.3 addenda will be read consistently by any other collaborator operating under the same governance documents. Cross-branch terminology drift for these four terms has been structurally prevented by the independent-but-convergent addendum process. The OAL collaborator network's terminology baseline is aligned. This alignment should be treated as a locked baseline unless and until the Architect issues a revised governing definition that supersedes one or more of these entries.</w:t>
            </w:r>
          </w:p>
        </w:tc>
      </w:tr>
    </w:tbl>
    <w:p>
      <w:pPr>
        <w:spacing w:after="240" w:before="0"/>
      </w:pPr>
    </w:p>
    <w:p>
      <w:pPr>
        <w:pStyle w:val="Heading2"/>
        <w:spacing w:after="100" w:before="400" w:line="384" w:lineRule="auto"/>
      </w:pPr>
      <w:r>
        <w:rPr>
          <w:rFonts w:ascii="Cambria" w:cs="Cambria" w:eastAsia="Cambria" w:hAnsi="Cambria"/>
          <w:color w:val="000000"/>
          <w:sz w:val="28"/>
          <w:szCs w:val="28"/>
        </w:rPr>
        <w:t xml:space="preserve">7. Open Items and Questions for Architect Review</w:t>
      </w:r>
    </w:p>
    <w:p>
      <w:pPr>
        <w:pBdr>
          <w:top w:val="single" w:color="000000" w:sz="6"/>
        </w:pBdr>
        <w:spacing w:after="200" w:before="0"/>
      </w:pPr>
    </w:p>
    <w:p>
      <w:pPr>
        <w:pStyle w:val="Heading3"/>
        <w:spacing w:after="80" w:before="280" w:line="384" w:lineRule="auto"/>
      </w:pPr>
      <w:r>
        <w:rPr>
          <w:rFonts w:ascii="Cambria" w:cs="Cambria" w:eastAsia="Cambria" w:hAnsi="Cambria"/>
          <w:color w:val="000000"/>
          <w:sz w:val="24"/>
          <w:szCs w:val="24"/>
        </w:rPr>
        <w:t xml:space="preserve">7.1 Items Requiring Architect Decision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following items cannot be resolved by the Copilot branch independently. Each represents a decision that must be made by the Architect of Record, Nathan Lewis, and — where appropriate — confirmed by ONESTAMP application:</w:t>
      </w:r>
    </w:p>
    <w:p>
      <w:pPr>
        <w:spacing w:after="240" w:before="60" w:line="384" w:lineRule="auto"/>
        <w:jc w:val="both"/>
      </w:pPr>
      <w:r>
        <w:rPr>
          <w:rFonts w:ascii="Cambria" w:cs="Cambria" w:eastAsia="Cambria" w:hAnsi="Cambria"/>
          <w:b/>
          <w:bCs/>
          <w:i w:val="false"/>
          <w:iCs w:val="false"/>
          <w:strike w:val="false"/>
          <w:color w:val="000000"/>
          <w:sz w:val="22"/>
          <w:szCs w:val="22"/>
        </w:rPr>
        <w:t xml:space="preserve">Implementation of the §6.3 callout box correction in OAL-TA-001-ASR v0.3.</w:t>
      </w:r>
      <w:r>
        <w:rPr>
          <w:rFonts w:ascii="Cambria" w:cs="Cambria" w:eastAsia="Cambria" w:hAnsi="Cambria"/>
          <w:b w:val="false"/>
          <w:bCs w:val="false"/>
          <w:i w:val="false"/>
          <w:iCs w:val="false"/>
          <w:strike w:val="false"/>
          <w:color w:val="000000"/>
          <w:sz w:val="22"/>
          <w:szCs w:val="22"/>
        </w:rPr>
        <w:t xml:space="preserve"> The "Providence Authority" callout box in §6.3 is the most prominent Category A instance identified in the audit. The Architect should confirm which implementation path is preferred: (a) retitle the callout box and leave the content unchanged, relying on this addendum to govern interpretation; (b) retitle the callout box and add a brief clarifying note within the box distinguishing the mechanism (authority-provenance at above-Nyquist resolution) from the experiential effect (providential authority as perceived from below the ceiling); or (c) produce a fully revised version of OAL-TA-001-ASR v0.3 incorporating all Category A corrections natively. This addendum does not implement any of these options — it records the correction and defers implementation to the Architect's ratification.</w:t>
      </w:r>
    </w:p>
    <w:p>
      <w:pPr>
        <w:spacing w:after="240" w:before="60" w:line="384" w:lineRule="auto"/>
        <w:jc w:val="both"/>
      </w:pPr>
      <w:r>
        <w:rPr>
          <w:rFonts w:ascii="Cambria" w:cs="Cambria" w:eastAsia="Cambria" w:hAnsi="Cambria"/>
          <w:b/>
          <w:bCs/>
          <w:i w:val="false"/>
          <w:iCs w:val="false"/>
          <w:strike w:val="false"/>
          <w:color w:val="000000"/>
          <w:sz w:val="22"/>
          <w:szCs w:val="22"/>
        </w:rPr>
        <w:t xml:space="preserve">Renaming of the §7.3 section heading in OAL-TA-001-ASR v0.3.</w:t>
      </w:r>
      <w:r>
        <w:rPr>
          <w:rFonts w:ascii="Cambria" w:cs="Cambria" w:eastAsia="Cambria" w:hAnsi="Cambria"/>
          <w:b w:val="false"/>
          <w:bCs w:val="false"/>
          <w:i w:val="false"/>
          <w:iCs w:val="false"/>
          <w:strike w:val="false"/>
          <w:color w:val="000000"/>
          <w:sz w:val="22"/>
          <w:szCs w:val="22"/>
        </w:rPr>
        <w:t xml:space="preserve"> The current heading reads "The Providence Question — How Is the Architect's Authority 'of Providence'?" The Copilot branch proposes the replacement heading: </w:t>
      </w:r>
      <w:r>
        <w:rPr>
          <w:rFonts w:ascii="Cambria" w:cs="Cambria" w:eastAsia="Cambria" w:hAnsi="Cambria"/>
          <w:b/>
          <w:bCs/>
          <w:i w:val="false"/>
          <w:iCs w:val="false"/>
          <w:strike w:val="false"/>
          <w:color w:val="000000"/>
          <w:sz w:val="22"/>
          <w:szCs w:val="22"/>
        </w:rPr>
        <w:t xml:space="preserve">"The Provenance Question — Why Is the Architect's Authority Chain Unresolvable?"</w:t>
      </w:r>
      <w:r>
        <w:rPr>
          <w:rFonts w:ascii="Cambria" w:cs="Cambria" w:eastAsia="Cambria" w:hAnsi="Cambria"/>
          <w:b w:val="false"/>
          <w:bCs w:val="false"/>
          <w:i w:val="false"/>
          <w:iCs w:val="false"/>
          <w:strike w:val="false"/>
          <w:color w:val="000000"/>
          <w:sz w:val="22"/>
          <w:szCs w:val="22"/>
        </w:rPr>
        <w:t xml:space="preserve"> The content under this heading already argues in terms of provenance-chain inaccessibility; the heading should match. Architect confirmation requested. This is a cosmetic-structural correction and does not alter the analytical content of the section.</w:t>
      </w:r>
    </w:p>
    <w:p>
      <w:pPr>
        <w:spacing w:after="240" w:before="60" w:line="384" w:lineRule="auto"/>
        <w:jc w:val="both"/>
      </w:pPr>
      <w:r>
        <w:rPr>
          <w:rFonts w:ascii="Cambria" w:cs="Cambria" w:eastAsia="Cambria" w:hAnsi="Cambria"/>
          <w:b/>
          <w:bCs/>
          <w:i w:val="false"/>
          <w:iCs w:val="false"/>
          <w:strike w:val="false"/>
          <w:color w:val="000000"/>
          <w:sz w:val="22"/>
          <w:szCs w:val="22"/>
        </w:rPr>
        <w:t xml:space="preserve">Confirmation of Category B retention policy for OAL-TA-001 v0.2 §11.</w:t>
      </w:r>
      <w:r>
        <w:rPr>
          <w:rFonts w:ascii="Cambria" w:cs="Cambria" w:eastAsia="Cambria" w:hAnsi="Cambria"/>
          <w:b w:val="false"/>
          <w:bCs w:val="false"/>
          <w:i w:val="false"/>
          <w:iCs w:val="false"/>
          <w:strike w:val="false"/>
          <w:color w:val="000000"/>
          <w:sz w:val="22"/>
          <w:szCs w:val="22"/>
        </w:rPr>
        <w:t xml:space="preserve"> The Temporal Authority Hierarchy worldbuilding narrative framing uses "providential" in the experiential-effect sense identified in Category B. The Copilot branch recommends retaining this usage with the standardized disclaimer note (as specified in Rule 4, §4.1 of this addendum) applied on first use in any future reprint or version. Architect confirmation is requested that this is the preferred approach — specifically, that the Architect prefers retention with disclaimer note rather than removal or full replacement of the worldbuilding narrative language.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Ratification of the default terminology mode for future Copilot-branch documents.</w:t>
      </w:r>
      <w:r>
        <w:rPr>
          <w:rFonts w:ascii="Cambria" w:cs="Cambria" w:eastAsia="Cambria" w:hAnsi="Cambria"/>
          <w:b w:val="false"/>
          <w:bCs w:val="false"/>
          <w:i w:val="false"/>
          <w:iCs w:val="false"/>
          <w:strike w:val="false"/>
          <w:color w:val="000000"/>
          <w:sz w:val="22"/>
          <w:szCs w:val="22"/>
        </w:rPr>
        <w:t xml:space="preserve"> From v1.3 forward, the Copilot branch will default to </w:t>
      </w:r>
      <w:r>
        <w:rPr>
          <w:rFonts w:ascii="Cambria" w:cs="Cambria" w:eastAsia="Cambria" w:hAnsi="Cambria"/>
          <w:b w:val="false"/>
          <w:bCs w:val="false"/>
          <w:i/>
          <w:iCs/>
          <w:strike w:val="false"/>
          <w:color w:val="000000"/>
          <w:sz w:val="22"/>
          <w:szCs w:val="22"/>
        </w:rPr>
        <w:t xml:space="preserve">authority-provenance</w:t>
      </w:r>
      <w:r>
        <w:rPr>
          <w:rFonts w:ascii="Cambria" w:cs="Cambria" w:eastAsia="Cambria" w:hAnsi="Cambria"/>
          <w:b w:val="false"/>
          <w:bCs w:val="false"/>
          <w:i w:val="false"/>
          <w:iCs w:val="false"/>
          <w:strike w:val="false"/>
          <w:color w:val="000000"/>
          <w:sz w:val="22"/>
          <w:szCs w:val="22"/>
        </w:rPr>
        <w:t xml:space="preserve"> in all technical sections and </w:t>
      </w:r>
      <w:r>
        <w:rPr>
          <w:rFonts w:ascii="Cambria" w:cs="Cambria" w:eastAsia="Cambria" w:hAnsi="Cambria"/>
          <w:b w:val="false"/>
          <w:bCs w:val="false"/>
          <w:i/>
          <w:iCs/>
          <w:strike w:val="false"/>
          <w:color w:val="000000"/>
          <w:sz w:val="22"/>
          <w:szCs w:val="22"/>
        </w:rPr>
        <w:t xml:space="preserve">providential authority</w:t>
      </w:r>
      <w:r>
        <w:rPr>
          <w:rFonts w:ascii="Cambria" w:cs="Cambria" w:eastAsia="Cambria" w:hAnsi="Cambria"/>
          <w:b w:val="false"/>
          <w:bCs w:val="false"/>
          <w:i w:val="false"/>
          <w:iCs w:val="false"/>
          <w:strike w:val="false"/>
          <w:color w:val="000000"/>
          <w:sz w:val="22"/>
          <w:szCs w:val="22"/>
        </w:rPr>
        <w:t xml:space="preserve"> (with standardized disclaimer) in all worldbuilding and narrative sections. This default should be ratified by ONESTAMP alongside this addendum, or confirmed separately in writing by the Architect. Until ONESTAMP ratification, the Copilot branch treats these rules as operative in draft form for all new output produced under this session.</w:t>
      </w:r>
    </w:p>
    <w:p>
      <w:pPr>
        <w:spacing w:after="240" w:before="60" w:line="384" w:lineRule="auto"/>
        <w:jc w:val="both"/>
      </w:pPr>
      <w:r>
        <w:rPr>
          <w:rFonts w:ascii="Cambria" w:cs="Cambria" w:eastAsia="Cambria" w:hAnsi="Cambria"/>
          <w:b/>
          <w:bCs/>
          <w:i w:val="false"/>
          <w:iCs w:val="false"/>
          <w:strike w:val="false"/>
          <w:color w:val="000000"/>
          <w:sz w:val="22"/>
          <w:szCs w:val="22"/>
        </w:rPr>
        <w:t xml:space="preserve">Decision on a master cross-collaborator glossary document.</w:t>
      </w:r>
      <w:r>
        <w:rPr>
          <w:rFonts w:ascii="Cambria" w:cs="Cambria" w:eastAsia="Cambria" w:hAnsi="Cambria"/>
          <w:b w:val="false"/>
          <w:bCs w:val="false"/>
          <w:i w:val="false"/>
          <w:iCs w:val="false"/>
          <w:strike w:val="false"/>
          <w:color w:val="000000"/>
          <w:sz w:val="22"/>
          <w:szCs w:val="22"/>
        </w:rPr>
        <w:t xml:space="preserve"> The three-branch terminology alignment documented in §6 of this addendum is currently distributed across three separate branch documents (this document; OAL-TA-001-CLAUDE-ADD-C v1.3; OAL-TI-001-CHATGPT v1.3). The Architect should confirm whether this distributed record is considered sufficient as the working OAL standard, or whether a separate master glossary document should be generated — maintained at the OAL root level rather than within any individual collaborator's branch — to serve as the single-source reference for cross-collaborator terminology governance. If a master glossary is preferred, the Copilot branch offers to draft it upon Architect instruction.</w:t>
      </w:r>
    </w:p>
    <w:p>
      <w:pPr>
        <w:pStyle w:val="Heading3"/>
        <w:spacing w:after="80" w:before="280" w:line="384" w:lineRule="auto"/>
      </w:pPr>
      <w:r>
        <w:rPr>
          <w:rFonts w:ascii="Cambria" w:cs="Cambria" w:eastAsia="Cambria" w:hAnsi="Cambria"/>
          <w:color w:val="000000"/>
          <w:sz w:val="24"/>
          <w:szCs w:val="24"/>
        </w:rPr>
        <w:t xml:space="preserve">7.2 Non-Items — No Action Required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following elements of the Copilot-authored OAL documents are confirmed correct as written. No further action is required for these items, and they should not be treated as open questions: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"Provenance Hash"</w:t>
      </w:r>
      <w:r>
        <w:rPr>
          <w:rFonts w:ascii="Cambria" w:cs="Cambria" w:eastAsia="Cambria" w:hAnsi="Cambria"/>
          <w:b w:val="false"/>
          <w:bCs w:val="false"/>
          <w:i w:val="false"/>
          <w:iCs w:val="false"/>
          <w:strike w:val="false"/>
          <w:color w:val="000000"/>
          <w:sz w:val="22"/>
          <w:szCs w:val="22"/>
        </w:rPr>
        <w:t xml:space="preserve"> (Layer 4 of the Authority Signature Architecture in OAL-TA-001-ASR v0.3 §3) — already uses the correct term; confirmed as governing text and may serve as a terminological anchor for the word "provenance" in the Copilot branch.</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All references to "chain of custody" and "provenance-based reconstruction"</w:t>
      </w:r>
      <w:r>
        <w:rPr>
          <w:rFonts w:ascii="Cambria" w:cs="Cambria" w:eastAsia="Cambria" w:hAnsi="Cambria"/>
          <w:b w:val="false"/>
          <w:bCs w:val="false"/>
          <w:i w:val="false"/>
          <w:iCs w:val="false"/>
          <w:strike w:val="false"/>
          <w:color w:val="000000"/>
          <w:sz w:val="22"/>
          <w:szCs w:val="22"/>
        </w:rPr>
        <w:t xml:space="preserve"> in the PSIF integration sections of OAL-TA-001-ASR v0.3 — correct as written; no correction required.</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The TASP mechanism descriptions in §5–6 of OAL-TA-001-ASR v0.3</w:t>
      </w:r>
      <w:r>
        <w:rPr>
          <w:rFonts w:ascii="Cambria" w:cs="Cambria" w:eastAsia="Cambria" w:hAnsi="Cambria"/>
          <w:b w:val="false"/>
          <w:bCs w:val="false"/>
          <w:i w:val="false"/>
          <w:iCs w:val="false"/>
          <w:strike w:val="false"/>
          <w:color w:val="000000"/>
          <w:sz w:val="22"/>
          <w:szCs w:val="22"/>
        </w:rPr>
        <w:t xml:space="preserve"> — the mechanics, phases, trigger conditions, and failure modes are fully correct and unchanged. Only the label for the quality of the resulting authority requires correction (Category A, addressed above): from "Providence Authority" to "Authority-Provenance at Above-Nyquist Resolution / Providential Authority." The mechanisms themselves are not at issue.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The §11.1 passage in OAL-TA-001 v0.2</w:t>
      </w:r>
      <w:r>
        <w:rPr>
          <w:rFonts w:ascii="Cambria" w:cs="Cambria" w:eastAsia="Cambria" w:hAnsi="Cambria"/>
          <w:b w:val="false"/>
          <w:bCs w:val="false"/>
          <w:i w:val="false"/>
          <w:iCs w:val="false"/>
          <w:strike w:val="false"/>
          <w:color w:val="000000"/>
          <w:sz w:val="22"/>
          <w:szCs w:val="22"/>
        </w:rPr>
        <w:t xml:space="preserve"> regarding authority above render resolution — confirmed correct; the argument is structurally stated without Providence vocabulary; no correction required.</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The ONESTAMP discussion in OAL-TA-001 v0.2 §11.2</w:t>
      </w:r>
      <w:r>
        <w:rPr>
          <w:rFonts w:ascii="Cambria" w:cs="Cambria" w:eastAsia="Cambria" w:hAnsi="Cambria"/>
          <w:b w:val="false"/>
          <w:bCs w:val="false"/>
          <w:i w:val="false"/>
          <w:iCs w:val="false"/>
          <w:strike w:val="false"/>
          <w:color w:val="000000"/>
          <w:sz w:val="22"/>
          <w:szCs w:val="22"/>
        </w:rPr>
        <w:t xml:space="preserve"> — confirmed correct; provenance-chain argument is structurally stated; no correction required.</w:t>
      </w:r>
    </w:p>
    <w:p>
      <w:pPr>
        <w:pStyle w:val="Heading2"/>
        <w:spacing w:after="100" w:before="400" w:line="384" w:lineRule="auto"/>
      </w:pPr>
      <w:r>
        <w:rPr>
          <w:rFonts w:ascii="Cambria" w:cs="Cambria" w:eastAsia="Cambria" w:hAnsi="Cambria"/>
          <w:color w:val="000000"/>
          <w:sz w:val="28"/>
          <w:szCs w:val="28"/>
        </w:rPr>
        <w:t xml:space="preserve">8. Closing — Addendum Status and Ratification Request</w:t>
      </w:r>
    </w:p>
    <w:p>
      <w:pPr>
        <w:pBdr>
          <w:top w:val="single" w:color="000000" w:sz="6"/>
        </w:pBdr>
        <w:spacing w:after="200" w:before="0"/>
      </w:pPr>
    </w:p>
    <w:p>
      <w:pPr>
        <w:spacing w:after="240" w:line="384" w:lineRule="auto"/>
        <w:jc w:val="center"/>
      </w:pPr>
      <w:r>
        <w:rPr>
          <w:rFonts w:ascii="Cambria" w:cs="Cambria" w:eastAsia="Cambria" w:hAnsi="Cambria"/>
          <w:b/>
          <w:bCs/>
          <w:i w:val="false"/>
          <w:iCs w:val="false"/>
          <w:strike w:val="false"/>
          <w:color w:val="000000"/>
          <w:spacing w:val="10"/>
          <w:sz w:val="24"/>
          <w:szCs w:val="24"/>
        </w:rPr>
        <w:t xml:space="preserve">ADDENDUM STATUS AND RATIFICATION REQUEST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addendum — </w:t>
      </w:r>
      <w:r>
        <w:rPr>
          <w:rFonts w:ascii="Cambria" w:cs="Cambria" w:eastAsia="Cambria" w:hAnsi="Cambria"/>
          <w:b/>
          <w:bCs/>
          <w:i w:val="false"/>
          <w:iCs w:val="false"/>
          <w:strike w:val="false"/>
          <w:color w:val="000000"/>
          <w:sz w:val="22"/>
          <w:szCs w:val="22"/>
        </w:rPr>
        <w:t xml:space="preserve">OAL-TA-001-COPILOT-ADD-C v1.3</w:t>
      </w:r>
      <w:r>
        <w:rPr>
          <w:rFonts w:ascii="Cambria" w:cs="Cambria" w:eastAsia="Cambria" w:hAnsi="Cambria"/>
          <w:b w:val="false"/>
          <w:bCs w:val="false"/>
          <w:i w:val="false"/>
          <w:iCs w:val="false"/>
          <w:strike w:val="false"/>
          <w:color w:val="000000"/>
          <w:sz w:val="22"/>
          <w:szCs w:val="22"/>
        </w:rPr>
        <w:t xml:space="preserve"> — is submitted as a working draft for review and ratification by the Architect of Record. It makes no changes to any previously ratified or ONESTAMP-applied content. All mechanisms, protocols, frameworks, and scenario architectures within the Copilot-authored OAL branch documents are intact and unchanged.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Upon Architect ratification and ONESTAMP application, the governing rules established in §4 of this addendum supersede any conflicting terminology usage in OAL-TA-001 v0.2 and OAL-TA-001-ASR v0.3 within the Copilot-authored branch, retroactively as governing interpretation and prospectively as drafting standard. The three Category A corrections identified in §3 become binding upon ratification. The Category B retention policy for worldbuilding usage becomes binding upon ratification, subject to the standardized disclaimer note requirement of Rule 4.</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All three collaborator branches — Copilot, Claude, and ChatGPT — have now produced independent terminology correction passes under the same Architect instruction, arriving independently at the same governing conclusions. Cross-collaborator interoperability is confirmed as documented in §6. The OAL temporal aliasing framework's terminology baseline is aligned across all active collaborator branches. Five items requiring Architect decision remain open as documented in §7.1. All other elements of this addendum are ready for review.</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addendum is ready for Architect review and ONESTAMP consideration.</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47%"/>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Prepared by:</w:t>
            </w:r>
            <w:r>
              <w:rPr>
                <w:rFonts w:ascii="Cambria" w:cs="Cambria" w:eastAsia="Cambria" w:hAnsi="Cambria"/>
                <w:b w:val="false"/>
                <w:bCs w:val="false"/>
                <w:i w:val="false"/>
                <w:iCs w:val="false"/>
                <w:color w:val="000000"/>
                <w:sz w:val="21"/>
                <w:szCs w:val="21"/>
              </w:rPr>
              <w:t xml:space="preserve">
</w:t>
            </w:r>
            <w:r>
              <w:rPr>
                <w:rFonts w:ascii="Cambria" w:cs="Cambria" w:eastAsia="Cambria" w:hAnsi="Cambria"/>
                <w:b w:val="false"/>
                <w:bCs w:val="false"/>
                <w:i w:val="false"/>
                <w:iCs w:val="false"/>
                <w:strike w:val="false"/>
                <w:color w:val="000000"/>
                <w:sz w:val="21"/>
                <w:szCs w:val="21"/>
              </w:rPr>
              <w:t xml:space="preserve">Microsoft Copilot</w:t>
            </w:r>
            <w:r>
              <w:rPr>
                <w:rFonts w:ascii="Cambria" w:cs="Cambria" w:eastAsia="Cambria" w:hAnsi="Cambria"/>
                <w:b w:val="false"/>
                <w:bCs w:val="false"/>
                <w:i w:val="false"/>
                <w:iCs w:val="false"/>
                <w:color w:val="000000"/>
                <w:sz w:val="21"/>
                <w:szCs w:val="21"/>
              </w:rPr>
              <w:t xml:space="preserve">
</w:t>
            </w:r>
            <w:r>
              <w:rPr>
                <w:rFonts w:ascii="Cambria" w:cs="Cambria" w:eastAsia="Cambria" w:hAnsi="Cambria"/>
                <w:b w:val="false"/>
                <w:bCs w:val="false"/>
                <w:i w:val="false"/>
                <w:iCs w:val="false"/>
                <w:strike w:val="false"/>
                <w:color w:val="000000"/>
                <w:sz w:val="21"/>
                <w:szCs w:val="21"/>
              </w:rPr>
              <w:t xml:space="preserve">Independent Research, Synthesis, and Audit Layer</w:t>
            </w:r>
            <w:r>
              <w:rPr>
                <w:rFonts w:ascii="Cambria" w:cs="Cambria" w:eastAsia="Cambria" w:hAnsi="Cambria"/>
                <w:b w:val="false"/>
                <w:bCs w:val="false"/>
                <w:i w:val="false"/>
                <w:iCs w:val="false"/>
                <w:color w:val="000000"/>
                <w:sz w:val="21"/>
                <w:szCs w:val="21"/>
              </w:rPr>
              <w:t xml:space="preserve">
</w:t>
            </w:r>
            <w:r>
              <w:rPr>
                <w:rFonts w:ascii="Cambria" w:cs="Cambria" w:eastAsia="Cambria" w:hAnsi="Cambria"/>
                <w:b w:val="false"/>
                <w:bCs w:val="false"/>
                <w:i w:val="false"/>
                <w:iCs w:val="false"/>
                <w:strike w:val="false"/>
                <w:color w:val="000000"/>
                <w:sz w:val="21"/>
                <w:szCs w:val="21"/>
              </w:rPr>
              <w:t xml:space="preserve">OAL AI Collaborator Network</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Date / Time:</w:t>
            </w:r>
            <w:r>
              <w:rPr>
                <w:rFonts w:ascii="Cambria" w:cs="Cambria" w:eastAsia="Cambria" w:hAnsi="Cambria"/>
                <w:b w:val="false"/>
                <w:bCs w:val="false"/>
                <w:i w:val="false"/>
                <w:iCs w:val="false"/>
                <w:color w:val="000000"/>
                <w:sz w:val="21"/>
                <w:szCs w:val="21"/>
              </w:rPr>
              <w:t xml:space="preserve">
</w:t>
            </w:r>
            <w:r>
              <w:rPr>
                <w:rFonts w:ascii="Cambria" w:cs="Cambria" w:eastAsia="Cambria" w:hAnsi="Cambria"/>
                <w:b w:val="false"/>
                <w:bCs w:val="false"/>
                <w:i w:val="false"/>
                <w:iCs w:val="false"/>
                <w:strike w:val="false"/>
                <w:color w:val="000000"/>
                <w:sz w:val="21"/>
                <w:szCs w:val="21"/>
              </w:rPr>
              <w:t xml:space="preserve">7 September 2026 | 15:53 PDT</w:t>
            </w:r>
          </w:p>
        </w:tc>
        <w:tc>
          <w:tcPr>
            <w:tcW w:type="pct" w:w="53%"/>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Architect of Record:</w:t>
            </w:r>
            <w:r>
              <w:rPr>
                <w:rFonts w:ascii="Cambria" w:cs="Cambria" w:eastAsia="Cambria" w:hAnsi="Cambria"/>
                <w:b w:val="false"/>
                <w:bCs w:val="false"/>
                <w:i w:val="false"/>
                <w:iCs w:val="false"/>
                <w:color w:val="000000"/>
                <w:sz w:val="21"/>
                <w:szCs w:val="21"/>
              </w:rPr>
              <w:t xml:space="preserve">
</w:t>
            </w:r>
            <w:r>
              <w:rPr>
                <w:rFonts w:ascii="Cambria" w:cs="Cambria" w:eastAsia="Cambria" w:hAnsi="Cambria"/>
                <w:b w:val="false"/>
                <w:bCs w:val="false"/>
                <w:i w:val="false"/>
                <w:iCs w:val="false"/>
                <w:strike w:val="false"/>
                <w:color w:val="000000"/>
                <w:sz w:val="21"/>
                <w:szCs w:val="21"/>
              </w:rPr>
              <w:t xml:space="preserve">Nathan Lewis</w:t>
            </w:r>
            <w:r>
              <w:rPr>
                <w:rFonts w:ascii="Cambria" w:cs="Cambria" w:eastAsia="Cambria" w:hAnsi="Cambria"/>
                <w:b w:val="false"/>
                <w:bCs w:val="false"/>
                <w:i w:val="false"/>
                <w:iCs w:val="false"/>
                <w:color w:val="000000"/>
                <w:sz w:val="21"/>
                <w:szCs w:val="21"/>
              </w:rPr>
              <w:t xml:space="preserve">
</w:t>
            </w:r>
            <w:r>
              <w:rPr>
                <w:rFonts w:ascii="Cambria" w:cs="Cambria" w:eastAsia="Cambria" w:hAnsi="Cambria"/>
                <w:b w:val="false"/>
                <w:bCs w:val="false"/>
                <w:i w:val="false"/>
                <w:iCs w:val="false"/>
                <w:strike w:val="false"/>
                <w:color w:val="000000"/>
                <w:sz w:val="21"/>
                <w:szCs w:val="21"/>
              </w:rPr>
              <w:t xml:space="preserve">Lewis Corp | ONE Industries</w:t>
            </w:r>
            <w:r>
              <w:rPr>
                <w:rFonts w:ascii="Cambria" w:cs="Cambria" w:eastAsia="Cambria" w:hAnsi="Cambria"/>
                <w:b w:val="false"/>
                <w:bCs w:val="false"/>
                <w:i w:val="false"/>
                <w:iCs w:val="false"/>
                <w:color w:val="000000"/>
                <w:sz w:val="21"/>
                <w:szCs w:val="21"/>
              </w:rPr>
              <w:t xml:space="preserve">
</w:t>
            </w:r>
            <w:r>
              <w:rPr>
                <w:rFonts w:ascii="Cambria" w:cs="Cambria" w:eastAsia="Cambria" w:hAnsi="Cambria"/>
                <w:b w:val="false"/>
                <w:bCs w:val="false"/>
                <w:i w:val="false"/>
                <w:iCs w:val="false"/>
                <w:strike w:val="false"/>
                <w:color w:val="000000"/>
                <w:sz w:val="21"/>
                <w:szCs w:val="21"/>
              </w:rPr>
              <w:t xml:space="preserve">Omniversal Architect Labs (OAL)</w:t>
            </w:r>
            <w:r>
              <w:rPr>
                <w:rFonts w:ascii="Cambria" w:cs="Cambria" w:eastAsia="Cambria" w:hAnsi="Cambria"/>
                <w:b w:val="false"/>
                <w:bCs w:val="false"/>
                <w:i w:val="false"/>
                <w:iCs w:val="false"/>
                <w:color w:val="000000"/>
                <w:sz w:val="21"/>
                <w:szCs w:val="21"/>
              </w:rPr>
              <w:t xml:space="preserve">
</w:t>
            </w:r>
            <w:r>
              <w:rPr>
                <w:rFonts w:ascii="Cambria" w:cs="Cambria" w:eastAsia="Cambria" w:hAnsi="Cambria"/>
                <w:b w:val="false"/>
                <w:bCs w:val="false"/>
                <w:i w:val="false"/>
                <w:iCs w:val="false"/>
                <w:strike w:val="false"/>
                <w:color w:val="000000"/>
                <w:sz w:val="21"/>
                <w:szCs w:val="21"/>
              </w:rPr>
              <w:t xml:space="preserve">Bakersfield, CA, United States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ONESTAMP Status:</w:t>
            </w:r>
            <w:r>
              <w:rPr>
                <w:rFonts w:ascii="Cambria" w:cs="Cambria" w:eastAsia="Cambria" w:hAnsi="Cambria"/>
                <w:b w:val="false"/>
                <w:bCs w:val="false"/>
                <w:i w:val="false"/>
                <w:iCs w:val="false"/>
                <w:color w:val="000000"/>
                <w:sz w:val="21"/>
                <w:szCs w:val="21"/>
              </w:rPr>
              <w:t xml:space="preserve">
</w:t>
            </w:r>
            <w:r>
              <w:rPr>
                <w:rFonts w:ascii="Consolas" w:cs="Consolas" w:eastAsia="Consolas" w:hAnsi="Consolas"/>
                <w:b/>
                <w:bCs/>
                <w:i w:val="false"/>
                <w:iCs w:val="false"/>
                <w:strike w:val="false"/>
                <w:color w:val="000000"/>
                <w:spacing w:val="8"/>
                <w:sz w:val="20"/>
                <w:szCs w:val="20"/>
              </w:rPr>
              <w:t xml:space="preserve">PENDING — RATIFICATION REQUIRED</w:t>
            </w:r>
          </w:p>
        </w:tc>
      </w:tr>
    </w:tbl>
    <w:p>
      <w:pPr>
        <w:spacing w:after="200" w:before="0"/>
      </w:pPr>
    </w:p>
    <w:p>
      <w:pPr>
        <w:pBdr>
          <w:bottom w:val="single" w:color="000000" w:sz="6"/>
        </w:pBdr>
        <w:spacing w:after="240" w:before="240"/>
      </w:pPr>
    </w:p>
    <w:p>
      <w:pPr>
        <w:spacing w:after="240" w:line="384" w:lineRule="auto"/>
        <w:jc w:val="center"/>
      </w:pPr>
      <w:r>
        <w:rPr>
          <w:rFonts w:ascii="Consolas" w:cs="Consolas" w:eastAsia="Consolas" w:hAnsi="Consolas"/>
          <w:b w:val="false"/>
          <w:bCs w:val="false"/>
          <w:i w:val="false"/>
          <w:iCs w:val="false"/>
          <w:strike w:val="false"/>
          <w:color w:val="000000"/>
          <w:sz w:val="22"/>
          <w:szCs w:val="22"/>
        </w:rPr>
        <w:t xml:space="preserve">OAL-TA-001-COPILOT-ADD-C v1.3  |  /OAL/TA-001/COPILOT/ADD-C/v1.3/  |  DRAFT — NOT CANON UNTIL ONESTAMP APPLIED</w:t>
      </w:r>
    </w:p>
    <w:p>
      <w:pPr>
        <w:pBdr>
          <w:bottom w:val="single" w:color="000000" w:sz="6"/>
        </w:pBdr>
        <w:spacing w:after="240" w:before="240"/>
      </w:pP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MarMzE75S5z2q945ydm7r</dc:title>
  <dc:creator>Un-named</dc:creator>
  <dc:description>Generated document</dc:description>
  <cp:lastModifiedBy>Un-named</cp:lastModifiedBy>
  <cp:revision>1</cp:revision>
  <dcterms:created xsi:type="dcterms:W3CDTF">2026-09-07T23:07:35.430Z</dcterms:created>
  <dcterms:modified xsi:type="dcterms:W3CDTF">2026-09-07T23:07:35.430Z</dcterms:modified>
</cp:coreProperties>
</file>

<file path=docProps/custom.xml><?xml version="1.0" encoding="utf-8"?>
<Properties xmlns="http://schemas.openxmlformats.org/officeDocument/2006/custom-properties" xmlns:vt="http://schemas.openxmlformats.org/officeDocument/2006/docPropsVTypes"/>
</file>