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58"/>
        </w:rPr>
        <w:t>OMNICELLULAR PHYSIOLOGY</w:t>
      </w:r>
    </w:p>
    <w:p>
      <w:pPr>
        <w:jc w:val="center"/>
      </w:pPr>
      <w:r>
        <w:rPr>
          <w:b/>
          <w:color w:val="2F5597"/>
          <w:sz w:val="42"/>
        </w:rPr>
        <w:t>Microsoft 365 Copilot Gen-1R Remediation</w:t>
      </w:r>
    </w:p>
    <w:p>
      <w:pPr>
        <w:jc w:val="center"/>
      </w:pPr>
      <w:r>
        <w:rPr>
          <w:color w:val="666666"/>
          <w:sz w:val="28"/>
        </w:rPr>
        <w:t>Independent Forward Recommendation with Conflicts Preserved</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16"/>
              </w:rPr>
              <w:t>Control field</w:t>
            </w:r>
          </w:p>
        </w:tc>
        <w:tc>
          <w:tcPr>
            <w:tcW w:type="dxa" w:w="4968"/>
            <w:vAlign w:val="center"/>
            <w:shd w:fill="17365D"/>
          </w:tcPr>
          <w:p>
            <w:r/>
            <w:r>
              <w:rPr>
                <w:b/>
                <w:color w:val="FFFFFF"/>
                <w:sz w:val="16"/>
              </w:rPr>
              <w:t>Value</w:t>
            </w:r>
          </w:p>
        </w:tc>
      </w:tr>
      <w:tr>
        <w:tc>
          <w:tcPr>
            <w:tcW w:type="dxa" w:w="4968"/>
            <w:vAlign w:val="center"/>
            <w:shd w:fill="FFFFFF"/>
          </w:tcPr>
          <w:p>
            <w:r/>
            <w:r>
              <w:rPr>
                <w:b w:val="0"/>
                <w:sz w:val="18"/>
              </w:rPr>
              <w:t>Prepared for</w:t>
            </w:r>
          </w:p>
        </w:tc>
        <w:tc>
          <w:tcPr>
            <w:tcW w:type="dxa" w:w="4968"/>
            <w:vAlign w:val="center"/>
            <w:shd w:fill="FFFFFF"/>
          </w:tcPr>
          <w:p>
            <w:r/>
            <w:r>
              <w:rPr>
                <w:b w:val="0"/>
                <w:sz w:val="18"/>
              </w:rPr>
              <w:t>Nathan Lewis, Project Architect</w:t>
            </w:r>
          </w:p>
        </w:tc>
      </w:tr>
      <w:tr>
        <w:tc>
          <w:tcPr>
            <w:tcW w:type="dxa" w:w="4968"/>
            <w:vAlign w:val="center"/>
            <w:shd w:fill="F3F6F8"/>
          </w:tcPr>
          <w:p>
            <w:r/>
            <w:r>
              <w:rPr>
                <w:b w:val="0"/>
                <w:sz w:val="18"/>
              </w:rPr>
              <w:t>Prepared by</w:t>
            </w:r>
          </w:p>
        </w:tc>
        <w:tc>
          <w:tcPr>
            <w:tcW w:type="dxa" w:w="4968"/>
            <w:vAlign w:val="center"/>
            <w:shd w:fill="F3F6F8"/>
          </w:tcPr>
          <w:p>
            <w:r/>
            <w:r>
              <w:rPr>
                <w:b w:val="0"/>
                <w:sz w:val="18"/>
              </w:rPr>
              <w:t>Microsoft 365 Copilot</w:t>
            </w:r>
          </w:p>
        </w:tc>
      </w:tr>
      <w:tr>
        <w:tc>
          <w:tcPr>
            <w:tcW w:type="dxa" w:w="4968"/>
            <w:vAlign w:val="center"/>
            <w:shd w:fill="FFFFFF"/>
          </w:tcPr>
          <w:p>
            <w:r/>
            <w:r>
              <w:rPr>
                <w:b w:val="0"/>
                <w:sz w:val="18"/>
              </w:rPr>
              <w:t>Version</w:t>
            </w:r>
          </w:p>
        </w:tc>
        <w:tc>
          <w:tcPr>
            <w:tcW w:type="dxa" w:w="4968"/>
            <w:vAlign w:val="center"/>
            <w:shd w:fill="FFFFFF"/>
          </w:tcPr>
          <w:p>
            <w:r/>
            <w:r>
              <w:rPr>
                <w:b w:val="0"/>
                <w:sz w:val="18"/>
              </w:rPr>
              <w:t>2.0 - Gen-1R remediation addendum</w:t>
            </w:r>
          </w:p>
        </w:tc>
      </w:tr>
      <w:tr>
        <w:tc>
          <w:tcPr>
            <w:tcW w:type="dxa" w:w="4968"/>
            <w:vAlign w:val="center"/>
            <w:shd w:fill="F3F6F8"/>
          </w:tcPr>
          <w:p>
            <w:r/>
            <w:r>
              <w:rPr>
                <w:b w:val="0"/>
                <w:sz w:val="18"/>
              </w:rPr>
              <w:t>Date</w:t>
            </w:r>
          </w:p>
        </w:tc>
        <w:tc>
          <w:tcPr>
            <w:tcW w:type="dxa" w:w="4968"/>
            <w:vAlign w:val="center"/>
            <w:shd w:fill="F3F6F8"/>
          </w:tcPr>
          <w:p>
            <w:r/>
            <w:r>
              <w:rPr>
                <w:b w:val="0"/>
                <w:sz w:val="18"/>
              </w:rPr>
              <w:t>October 28, 2026</w:t>
            </w:r>
          </w:p>
        </w:tc>
      </w:tr>
      <w:tr>
        <w:tc>
          <w:tcPr>
            <w:tcW w:type="dxa" w:w="4968"/>
            <w:vAlign w:val="center"/>
            <w:shd w:fill="FFFFFF"/>
          </w:tcPr>
          <w:p>
            <w:r/>
            <w:r>
              <w:rPr>
                <w:b w:val="0"/>
                <w:sz w:val="18"/>
              </w:rPr>
              <w:t>Relationship</w:t>
            </w:r>
          </w:p>
        </w:tc>
        <w:tc>
          <w:tcPr>
            <w:tcW w:type="dxa" w:w="4968"/>
            <w:vAlign w:val="center"/>
            <w:shd w:fill="FFFFFF"/>
          </w:tcPr>
          <w:p>
            <w:r/>
            <w:r>
              <w:rPr>
                <w:b w:val="0"/>
                <w:sz w:val="18"/>
              </w:rPr>
              <w:t>Preserves v1.0/v1.1 as immutable blind baseline</w:t>
            </w:r>
          </w:p>
        </w:tc>
      </w:tr>
      <w:tr>
        <w:tc>
          <w:tcPr>
            <w:tcW w:type="dxa" w:w="4968"/>
            <w:vAlign w:val="center"/>
            <w:shd w:fill="F3F6F8"/>
          </w:tcPr>
          <w:p>
            <w:r/>
            <w:r>
              <w:rPr>
                <w:b w:val="0"/>
                <w:sz w:val="18"/>
              </w:rPr>
              <w:t>Scope</w:t>
            </w:r>
          </w:p>
        </w:tc>
        <w:tc>
          <w:tcPr>
            <w:tcW w:type="dxa" w:w="4968"/>
            <w:vAlign w:val="center"/>
            <w:shd w:fill="F3F6F8"/>
          </w:tcPr>
          <w:p>
            <w:r/>
            <w:r>
              <w:rPr>
                <w:b w:val="0"/>
                <w:sz w:val="18"/>
              </w:rPr>
              <w:t>Correct Copilot shortcomings without forcing team consensus</w:t>
            </w:r>
          </w:p>
        </w:tc>
      </w:tr>
      <w:tr>
        <w:tc>
          <w:tcPr>
            <w:tcW w:type="dxa" w:w="4968"/>
            <w:vAlign w:val="center"/>
            <w:shd w:fill="FFFFFF"/>
          </w:tcPr>
          <w:p>
            <w:r/>
            <w:r>
              <w:rPr>
                <w:b w:val="0"/>
                <w:sz w:val="18"/>
              </w:rPr>
              <w:t>Status</w:t>
            </w:r>
          </w:p>
        </w:tc>
        <w:tc>
          <w:tcPr>
            <w:tcW w:type="dxa" w:w="4968"/>
            <w:vAlign w:val="center"/>
            <w:shd w:fill="FFFFFF"/>
          </w:tcPr>
          <w:p>
            <w:r/>
            <w:r>
              <w:rPr>
                <w:b w:val="0"/>
                <w:sz w:val="18"/>
              </w:rPr>
              <w:t>Independent recommendation; not shared canon</w:t>
            </w:r>
          </w:p>
        </w:tc>
      </w:tr>
    </w:tbl>
    <w:p/>
    <w:tbl>
      <w:tblPr>
        <w:tblW w:type="auto" w:w="0"/>
        <w:tblLook w:firstColumn="1" w:firstRow="1" w:lastColumn="0" w:lastRow="0" w:noHBand="0" w:noVBand="1" w:val="04A0"/>
      </w:tblPr>
      <w:tblGrid>
        <w:gridCol w:w="9936"/>
      </w:tblGrid>
      <w:tr>
        <w:tc>
          <w:tcPr>
            <w:tcW w:type="dxa" w:w="9936"/>
            <w:shd w:fill="E2F0D9"/>
          </w:tcPr>
          <w:p>
            <w:r>
              <w:rPr>
                <w:b/>
                <w:color w:val="17365D"/>
                <w:sz w:val="22"/>
              </w:rPr>
              <w:t>Controlling direction</w:t>
            </w:r>
          </w:p>
          <w:p>
            <w:r>
              <w:t>The collaboration does not need one definition, one preferred architecture, or one common outcome. This document moves forward with Copilot-specific remediation while preserving contradictory contributor tracks as research evidence.</w:t>
            </w:r>
          </w:p>
        </w:tc>
      </w:tr>
    </w:tbl>
    <w:p/>
    <w:p>
      <w:r>
        <w:br w:type="page"/>
      </w:r>
    </w:p>
    <w:p>
      <w:pPr>
        <w:pStyle w:val="Heading1"/>
        <w:keepNext/>
      </w:pPr>
      <w:r>
        <w:t>Purpose, Origin, Mission, and Aim</w:t>
      </w:r>
    </w:p>
    <w:p>
      <w:pPr>
        <w:pStyle w:val="Heading2"/>
        <w:keepNext/>
      </w:pPr>
      <w:r>
        <w:t>Purpose</w:t>
      </w:r>
    </w:p>
    <w:p>
      <w:r>
        <w:t>This document responds to the Architect’s instruction to continue without requiring consensus. It reviews the latest team responses, states where Microsoft 365 Copilot agrees and disagrees, preserves the original blind submission, and creates a bounded Gen-1R correction path for Copilot’s eight families.</w:t>
      </w:r>
    </w:p>
    <w:p>
      <w:pPr>
        <w:pStyle w:val="Heading2"/>
        <w:keepNext/>
      </w:pPr>
      <w:r>
        <w:t>How the Topic Arose</w:t>
      </w:r>
    </w:p>
    <w:p>
      <w:r>
        <w:t>The first round produced 48 architectures across six contributors. Claude’s cross-AI review identified uneven depth, source discipline, versioning, quantitative treatment, repeated prose, and incompatible definitions of an Omni-cell. The later contributor responses largely favored freezing the baseline, normalizing evidence, and cross-red-teaming, but the Architect has now clarified that contributors do not need to reach the same architecture or procedural recommendation.</w:t>
      </w:r>
    </w:p>
    <w:p>
      <w:pPr>
        <w:pStyle w:val="Heading2"/>
        <w:keepNext/>
      </w:pPr>
      <w:r>
        <w:t>Mission Statement</w:t>
      </w:r>
    </w:p>
    <w:tbl>
      <w:tblPr>
        <w:tblW w:type="auto" w:w="0"/>
        <w:tblLook w:firstColumn="1" w:firstRow="1" w:lastColumn="0" w:lastRow="0" w:noHBand="0" w:noVBand="1" w:val="04A0"/>
      </w:tblPr>
      <w:tblGrid>
        <w:gridCol w:w="9936"/>
      </w:tblGrid>
      <w:tr>
        <w:tc>
          <w:tcPr>
            <w:tcW w:type="dxa" w:w="9936"/>
            <w:shd w:fill="D9EAF7"/>
          </w:tcPr>
          <w:p>
            <w:r>
              <w:rPr>
                <w:b/>
                <w:color w:val="17365D"/>
                <w:sz w:val="22"/>
              </w:rPr>
              <w:t>Mission</w:t>
            </w:r>
          </w:p>
          <w:p>
            <w:r>
              <w:t>Improve the checkability and specificity of the Copilot architecture set without rewriting the blind record, while explicitly retaining dissent on Omnicellularity, remediation scope, red-team timing, and future phase design.</w:t>
            </w:r>
          </w:p>
        </w:tc>
      </w:tr>
    </w:tbl>
    <w:p/>
    <w:p>
      <w:pPr>
        <w:pStyle w:val="Heading2"/>
        <w:keepNext/>
      </w:pPr>
      <w:r>
        <w:t>What This Document Accomplishes</w:t>
      </w:r>
    </w:p>
    <w:p>
      <w:pPr>
        <w:pStyle w:val="ListBullet"/>
        <w:spacing w:after="40"/>
      </w:pPr>
      <w:r>
        <w:t>Preserves Copilot v1.0 and v1.1 as historical artifacts.</w:t>
      </w:r>
    </w:p>
    <w:p>
      <w:pPr>
        <w:pStyle w:val="ListBullet"/>
        <w:spacing w:after="40"/>
      </w:pPr>
      <w:r>
        <w:t>Separates correction from redesign.</w:t>
      </w:r>
    </w:p>
    <w:p>
      <w:pPr>
        <w:pStyle w:val="ListBullet"/>
        <w:spacing w:after="40"/>
      </w:pPr>
      <w:r>
        <w:t>Introduces parameterized quantitative envelopes with clear status labels.</w:t>
      </w:r>
    </w:p>
    <w:p>
      <w:pPr>
        <w:pStyle w:val="ListBullet"/>
        <w:spacing w:after="40"/>
      </w:pPr>
      <w:r>
        <w:t>Replaces generic repeated attack outcomes with architecture-specific failure hypotheses.</w:t>
      </w:r>
    </w:p>
    <w:p>
      <w:pPr>
        <w:pStyle w:val="ListBullet"/>
        <w:spacing w:after="40"/>
      </w:pPr>
      <w:r>
        <w:t>Preserves a Copilot definition of Constitutional Omnicellularity without imposing it on other contributors.</w:t>
      </w:r>
    </w:p>
    <w:p>
      <w:pPr>
        <w:pStyle w:val="ListBullet"/>
        <w:spacing w:after="40"/>
      </w:pPr>
      <w:r>
        <w:t>Defines Copilot’s preferred next research sequence, including where that sequence conflicts with other recommendations.</w:t>
      </w:r>
    </w:p>
    <w:p>
      <w:pPr>
        <w:pStyle w:val="ListBullet"/>
        <w:spacing w:after="40"/>
      </w:pPr>
      <w:r>
        <w:t>Keeps every substantive matrix, table, row, column, and visual in the end appendix.</w:t>
      </w:r>
    </w:p>
    <w:p>
      <w:pPr>
        <w:pStyle w:val="Heading1"/>
        <w:keepNext/>
      </w:pPr>
      <w:r>
        <w:t>Executive Position</w:t>
      </w:r>
    </w:p>
    <w:p>
      <w:r>
        <w:t>I accept the Architect’s clarification. Agreement is not a project requirement, and the project should not erase incompatible premises merely to make the portfolio easier to compare. I will therefore move forward on two parallel commitments: first, remediate the weaknesses in my own dossier; second, preserve the biological, mesoscale-module, and macro-module interpretations as distinct research lines rather than forcing an early jurisdictional ruling.</w:t>
      </w:r>
    </w:p>
    <w:p>
      <w:r>
        <w:t>My recommendation differs from the strongest consensus in one respect: Phase 4 control work should not become a gate that prevents independent contributors from continuing research. Baseline fingerprinting and red-team preparation should proceed, but contributor-specific remediation, targeted modeling, and alternative definitions may proceed concurrently if provenance remains clear.</w:t>
      </w:r>
    </w:p>
    <w:p>
      <w:pPr>
        <w:pStyle w:val="Heading1"/>
        <w:keepNext/>
      </w:pPr>
      <w:r>
        <w:t>Review of Team Responses</w:t>
      </w:r>
    </w:p>
    <w:p>
      <w:pPr>
        <w:pStyle w:val="Heading2"/>
        <w:keepNext/>
      </w:pPr>
      <w:r>
        <w:t>What I Adopt</w:t>
      </w:r>
    </w:p>
    <w:p>
      <w:pPr>
        <w:pStyle w:val="ListBullet"/>
        <w:spacing w:after="40"/>
      </w:pPr>
      <w:r>
        <w:t>From ChatGPT: immutable blind baseline, dual baseline matrices, mechanism provenance, separate architecture merit from document quality, and no fabricated 4,712 distribution.</w:t>
      </w:r>
    </w:p>
    <w:p>
      <w:pPr>
        <w:pStyle w:val="ListBullet"/>
        <w:spacing w:after="40"/>
      </w:pPr>
      <w:r>
        <w:t>From Claude: verified/measured/judgment labels, explicit review limits, common archetype mapping, and independent red-team assignment.</w:t>
      </w:r>
    </w:p>
    <w:p>
      <w:pPr>
        <w:pStyle w:val="ListBullet"/>
        <w:spacing w:after="40"/>
      </w:pPr>
      <w:r>
        <w:t>From Gemini: a common physical benchmark can improve comparability, but benchmark adoption must not redefine every architecture.</w:t>
      </w:r>
    </w:p>
    <w:p>
      <w:pPr>
        <w:pStyle w:val="ListBullet"/>
        <w:spacing w:after="40"/>
      </w:pPr>
      <w:r>
        <w:t>From Grok: concise architecture remains useful, and expansion should be a new version rather than an overwrite.</w:t>
      </w:r>
    </w:p>
    <w:p>
      <w:pPr>
        <w:pStyle w:val="ListBullet"/>
        <w:spacing w:after="40"/>
      </w:pPr>
      <w:r>
        <w:t>From Perplexity: Unknown must not be scored as Different; remediation boundaries must distinguish missing evidence from mechanism change; sparse documents must not appear novel because they omit information.</w:t>
      </w:r>
    </w:p>
    <w:p>
      <w:pPr>
        <w:pStyle w:val="Heading2"/>
        <w:keepNext/>
      </w:pPr>
      <w:r>
        <w:t>Where I Preserve Conflict</w:t>
      </w:r>
    </w:p>
    <w:p>
      <w:pPr>
        <w:pStyle w:val="ListBullet"/>
        <w:spacing w:after="40"/>
      </w:pPr>
      <w:r>
        <w:t>Omni-cell definition: I keep Constitutional Omnicellularity for Copilot; I do not require Perplexity or Grok to adopt it.</w:t>
      </w:r>
    </w:p>
    <w:p>
      <w:pPr>
        <w:pStyle w:val="ListBullet"/>
        <w:spacing w:after="40"/>
      </w:pPr>
      <w:r>
        <w:t>Threat benchmark: I support a common benchmark as one comparison layer, not the only valid mission model.</w:t>
      </w:r>
    </w:p>
    <w:p>
      <w:pPr>
        <w:pStyle w:val="ListBullet"/>
        <w:spacing w:after="40"/>
      </w:pPr>
      <w:r>
        <w:t>Remediation: Copilot may rename a display label for clarity, but the original name remains in the blind baseline.</w:t>
      </w:r>
    </w:p>
    <w:p>
      <w:pPr>
        <w:pStyle w:val="ListBullet"/>
        <w:spacing w:after="40"/>
      </w:pPr>
      <w:r>
        <w:t>Shared versus per-family rules: shared constitutions are legitimate design choices; they should be scored as shared, not rewritten merely to improve orthogonality.</w:t>
      </w:r>
    </w:p>
    <w:p>
      <w:pPr>
        <w:pStyle w:val="ListBullet"/>
        <w:spacing w:after="40"/>
      </w:pPr>
      <w:r>
        <w:t>Sequencing: correction, quantitative modeling, and matrix design may proceed in parallel rather than waiting for total project-level normalization.</w:t>
      </w:r>
    </w:p>
    <w:p>
      <w:pPr>
        <w:pStyle w:val="ListBullet"/>
        <w:spacing w:after="40"/>
      </w:pPr>
      <w:r>
        <w:t>Ranking: I oppose a single combined rank. Separate axes may be scored when data quality supports them.</w:t>
      </w:r>
    </w:p>
    <w:p>
      <w:pPr>
        <w:pStyle w:val="Heading1"/>
        <w:keepNext/>
      </w:pPr>
      <w:r>
        <w:t>Copilot Baseline Status and Remediation Boundary</w:t>
      </w:r>
    </w:p>
    <w:p>
      <w:r>
        <w:t>The original files remain the blind baseline. This document is an informed addendum and cannot inherit a claim of blind independence. A remediation change may correct formatting, add assumptions, classify unknowns, add citations, derive values from unchanged mechanisms, or clarify prose. A change to substrate, topology, core wager, identity model, or primary survival mechanism requires a new architecture version.</w:t>
      </w:r>
    </w:p>
    <w:tbl>
      <w:tblPr>
        <w:tblW w:type="auto" w:w="0"/>
        <w:tblLook w:firstColumn="1" w:firstRow="1" w:lastColumn="0" w:lastRow="0" w:noHBand="0" w:noVBand="1" w:val="04A0"/>
      </w:tblPr>
      <w:tblGrid>
        <w:gridCol w:w="9936"/>
      </w:tblGrid>
      <w:tr>
        <w:tc>
          <w:tcPr>
            <w:tcW w:type="dxa" w:w="9936"/>
            <w:shd w:fill="FFF2CC"/>
          </w:tcPr>
          <w:p>
            <w:r>
              <w:rPr>
                <w:b/>
                <w:color w:val="17365D"/>
                <w:sz w:val="22"/>
              </w:rPr>
              <w:t>Name collision disposition</w:t>
            </w:r>
          </w:p>
          <w:p>
            <w:r>
              <w:t>The historical name Mosaic Covenant remains in the baseline. In this Gen-1R document, Copilot Architecture A receives the display alias Guildweave Covenant. The identifier COP-A remains stable, and the change is recorded as nomenclature only.</w:t>
            </w:r>
          </w:p>
        </w:tc>
      </w:tr>
    </w:tbl>
    <w:p/>
    <w:p>
      <w:pPr>
        <w:pStyle w:val="Heading1"/>
        <w:keepNext/>
      </w:pPr>
      <w:r>
        <w:t>Copilot Definition of Omnicellularity</w:t>
      </w:r>
    </w:p>
    <w:p>
      <w:r>
        <w:t>For Copilot’s research line, an Omni-cell is a microscopic biological or biohybrid unit with broad latent competence, local sensing, shared interoperability, bounded role plasticity, and participation in a whole-body continuity system. No individual cell must simultaneously perform every physiological role or contain a complete executable blueprint. Some capabilities may be distributed, but distributed functions must not reduce the cell to a passive conventional part.</w:t>
      </w:r>
    </w:p>
    <w:p>
      <w:r>
        <w:t>This definition is intentionally not imposed as the sole OAL definition. Mesoscale guild modules and macro-parcel embodiments remain valid comparative tracks, but they should not silently inherit evidence claims from microscopic biological architectures.</w:t>
      </w:r>
    </w:p>
    <w:p>
      <w:pPr>
        <w:pStyle w:val="Heading1"/>
        <w:keepNext/>
      </w:pPr>
      <w:r>
        <w:t>Quantitative Modeling Standard</w:t>
      </w:r>
    </w:p>
    <w:p>
      <w:r>
        <w:t>The values below are not measured performance. They are parameterized engineering targets or derived arithmetic used to expose limiting resources. Every value is labeled Target, Estimate, Derived, or Unknown. The physical model assumes a nominal 70 kg embodiment only for comparability. Alternative masses remain allowed and scale-sensitive.</w:t>
      </w:r>
    </w:p>
    <w:p>
      <w:pPr>
        <w:pStyle w:val="ListBullet"/>
        <w:spacing w:after="40"/>
      </w:pPr>
      <w:r>
        <w:t>Target: intended design objective, not demonstrated.</w:t>
      </w:r>
    </w:p>
    <w:p>
      <w:pPr>
        <w:pStyle w:val="ListBullet"/>
        <w:spacing w:after="40"/>
      </w:pPr>
      <w:r>
        <w:t>Estimate: informed assumption used for preliminary modeling.</w:t>
      </w:r>
    </w:p>
    <w:p>
      <w:pPr>
        <w:pStyle w:val="ListBullet"/>
        <w:spacing w:after="40"/>
      </w:pPr>
      <w:r>
        <w:t>Derived: arithmetic result from stated assumptions.</w:t>
      </w:r>
    </w:p>
    <w:p>
      <w:pPr>
        <w:pStyle w:val="ListBullet"/>
        <w:spacing w:after="40"/>
      </w:pPr>
      <w:r>
        <w:t>Unknown: insufficient basis for a defensible value.</w:t>
      </w:r>
    </w:p>
    <w:p>
      <w:pPr>
        <w:pStyle w:val="Heading1"/>
        <w:keepNext/>
      </w:pPr>
      <w:r>
        <w:t>Architecture-Specific Remediation Narratives</w:t>
      </w:r>
    </w:p>
    <w:p>
      <w:pPr>
        <w:pStyle w:val="Heading2"/>
        <w:keepNext/>
      </w:pPr>
      <w:r>
        <w:t>COP-A: Guildweave Covenant</w:t>
      </w:r>
    </w:p>
    <w:p>
      <w:r>
        <w:t>Guildweave Covenant retains the original core wager: heterogeneous biohybrid guilds. The quantitative model is intentionally conservative and remains subordinate to the core wager rather than redefining it.</w:t>
      </w:r>
    </w:p>
    <w:p>
      <w:r>
        <w:rPr>
          <w:b/>
        </w:rPr>
        <w:t xml:space="preserve">Power envelope: </w:t>
      </w:r>
      <w:r>
        <w:t>110 W active; 12 W refuge [Target]</w:t>
      </w:r>
    </w:p>
    <w:p>
      <w:r>
        <w:rPr>
          <w:b/>
        </w:rPr>
        <w:t xml:space="preserve">Stored energy: </w:t>
      </w:r>
      <w:r>
        <w:t>6 kWh electrochemical reserve [Estimate]</w:t>
      </w:r>
    </w:p>
    <w:p>
      <w:r>
        <w:rPr>
          <w:b/>
        </w:rPr>
        <w:t xml:space="preserve">Reserve endurance: </w:t>
      </w:r>
      <w:r>
        <w:t>54.5 h active; 20.8 d refuge [Derived from stated power/reserve]</w:t>
      </w:r>
    </w:p>
    <w:p>
      <w:r>
        <w:rPr>
          <w:b/>
        </w:rPr>
        <w:t xml:space="preserve">Thermal storage: </w:t>
      </w:r>
      <w:r>
        <w:t>0.8 MJ usable thermal sink [Estimate]</w:t>
      </w:r>
    </w:p>
    <w:p>
      <w:r>
        <w:rPr>
          <w:b/>
        </w:rPr>
        <w:t xml:space="preserve">Adiabatic saturation: </w:t>
      </w:r>
      <w:r>
        <w:t>2.0 h at 110 W if perfectly insulated [Derived; excludes structural heat capacity and heat loss]</w:t>
      </w:r>
    </w:p>
    <w:p>
      <w:r>
        <w:rPr>
          <w:b/>
        </w:rPr>
        <w:t xml:space="preserve">Repair throughput: </w:t>
      </w:r>
      <w:r>
        <w:t>4 kg/day local feedstock target [Target]</w:t>
      </w:r>
    </w:p>
    <w:p>
      <w:r>
        <w:rPr>
          <w:b/>
        </w:rPr>
        <w:t xml:space="preserve">First architecture-specific failure: </w:t>
      </w:r>
      <w:r>
        <w:t>guild interface corruption and rare-guild loss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COP-B: Ceramic Lattice</w:t>
      </w:r>
    </w:p>
    <w:p>
      <w:r>
        <w:t>Ceramic Lattice retains the original core wager: mineral-organic load-bearing lattice. The quantitative model is intentionally conservative and remains subordinate to the core wager rather than redefining it.</w:t>
      </w:r>
    </w:p>
    <w:p>
      <w:r>
        <w:rPr>
          <w:b/>
        </w:rPr>
        <w:t xml:space="preserve">Power envelope: </w:t>
      </w:r>
      <w:r>
        <w:t>135 W active; 18 W refuge [Target]</w:t>
      </w:r>
    </w:p>
    <w:p>
      <w:r>
        <w:rPr>
          <w:b/>
        </w:rPr>
        <w:t xml:space="preserve">Stored energy: </w:t>
      </w:r>
      <w:r>
        <w:t>7 kWh solid-state reserve [Estimate]</w:t>
      </w:r>
    </w:p>
    <w:p>
      <w:r>
        <w:rPr>
          <w:b/>
        </w:rPr>
        <w:t xml:space="preserve">Reserve endurance: </w:t>
      </w:r>
      <w:r>
        <w:t>51.9 h active; 16.2 d refuge [Derived from stated power/reserve]</w:t>
      </w:r>
    </w:p>
    <w:p>
      <w:r>
        <w:rPr>
          <w:b/>
        </w:rPr>
        <w:t xml:space="preserve">Thermal storage: </w:t>
      </w:r>
      <w:r>
        <w:t>1.5 MJ phase storage [Estimate]</w:t>
      </w:r>
    </w:p>
    <w:p>
      <w:r>
        <w:rPr>
          <w:b/>
        </w:rPr>
        <w:t xml:space="preserve">Adiabatic saturation: </w:t>
      </w:r>
      <w:r>
        <w:t>3.1 h at 135 W [Derived; excludes structural heat capacity and heat loss]</w:t>
      </w:r>
    </w:p>
    <w:p>
      <w:r>
        <w:rPr>
          <w:b/>
        </w:rPr>
        <w:t xml:space="preserve">Repair throughput: </w:t>
      </w:r>
      <w:r>
        <w:t>5 kg/day mineral deposition target [Target]</w:t>
      </w:r>
    </w:p>
    <w:p>
      <w:r>
        <w:rPr>
          <w:b/>
        </w:rPr>
        <w:t xml:space="preserve">First architecture-specific failure: </w:t>
      </w:r>
      <w:r>
        <w:t>microcrack-sensor blindness and fin immobilization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COP-C: Mycelial Relay</w:t>
      </w:r>
    </w:p>
    <w:p>
      <w:r>
        <w:t>Mycelial Relay retains the original core wager: reroutable fibrous network. The quantitative model is intentionally conservative and remains subordinate to the core wager rather than redefining it.</w:t>
      </w:r>
    </w:p>
    <w:p>
      <w:r>
        <w:rPr>
          <w:b/>
        </w:rPr>
        <w:t xml:space="preserve">Power envelope: </w:t>
      </w:r>
      <w:r>
        <w:t>95 W active; 10 W refuge [Target]</w:t>
      </w:r>
    </w:p>
    <w:p>
      <w:r>
        <w:rPr>
          <w:b/>
        </w:rPr>
        <w:t xml:space="preserve">Stored energy: </w:t>
      </w:r>
      <w:r>
        <w:t>5 kWh distributed reserve [Estimate]</w:t>
      </w:r>
    </w:p>
    <w:p>
      <w:r>
        <w:rPr>
          <w:b/>
        </w:rPr>
        <w:t xml:space="preserve">Reserve endurance: </w:t>
      </w:r>
      <w:r>
        <w:t>52.6 h active; 20.8 d refuge [Derived from stated power/reserve]</w:t>
      </w:r>
    </w:p>
    <w:p>
      <w:r>
        <w:rPr>
          <w:b/>
        </w:rPr>
        <w:t xml:space="preserve">Thermal storage: </w:t>
      </w:r>
      <w:r>
        <w:t>0.7 MJ distributed storage [Estimate]</w:t>
      </w:r>
    </w:p>
    <w:p>
      <w:r>
        <w:rPr>
          <w:b/>
        </w:rPr>
        <w:t xml:space="preserve">Adiabatic saturation: </w:t>
      </w:r>
      <w:r>
        <w:t>2.0 h at 95 W [Derived; excludes structural heat capacity and heat loss]</w:t>
      </w:r>
    </w:p>
    <w:p>
      <w:r>
        <w:rPr>
          <w:b/>
        </w:rPr>
        <w:t xml:space="preserve">Repair throughput: </w:t>
      </w:r>
      <w:r>
        <w:t>3 kg/day strand regrowth target [Target]</w:t>
      </w:r>
    </w:p>
    <w:p>
      <w:r>
        <w:rPr>
          <w:b/>
        </w:rPr>
        <w:t xml:space="preserve">First architecture-specific failure: </w:t>
      </w:r>
      <w:r>
        <w:t>partition divergence and bridge-node capture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COP-D: Phase-Core Mantle</w:t>
      </w:r>
    </w:p>
    <w:p>
      <w:r>
        <w:t>Phase-Core Mantle retains the original core wager: phase-change-buffered hydrogel body. The quantitative model is intentionally conservative and remains subordinate to the core wager rather than redefining it.</w:t>
      </w:r>
    </w:p>
    <w:p>
      <w:r>
        <w:rPr>
          <w:b/>
        </w:rPr>
        <w:t xml:space="preserve">Power envelope: </w:t>
      </w:r>
      <w:r>
        <w:t>120 W active; 8 W refuge [Target]</w:t>
      </w:r>
    </w:p>
    <w:p>
      <w:r>
        <w:rPr>
          <w:b/>
        </w:rPr>
        <w:t xml:space="preserve">Stored energy: </w:t>
      </w:r>
      <w:r>
        <w:t>5.5 kWh chemical reserve [Estimate]</w:t>
      </w:r>
    </w:p>
    <w:p>
      <w:r>
        <w:rPr>
          <w:b/>
        </w:rPr>
        <w:t xml:space="preserve">Reserve endurance: </w:t>
      </w:r>
      <w:r>
        <w:t>45.8 h active; 28.6 d refuge [Derived from stated power/reserve]</w:t>
      </w:r>
    </w:p>
    <w:p>
      <w:r>
        <w:rPr>
          <w:b/>
        </w:rPr>
        <w:t xml:space="preserve">Thermal storage: </w:t>
      </w:r>
      <w:r>
        <w:t>2.4 MJ latent storage [Estimate]</w:t>
      </w:r>
    </w:p>
    <w:p>
      <w:r>
        <w:rPr>
          <w:b/>
        </w:rPr>
        <w:t xml:space="preserve">Adiabatic saturation: </w:t>
      </w:r>
      <w:r>
        <w:t>5.6 h at 120 W [Derived; excludes structural heat capacity and heat loss]</w:t>
      </w:r>
    </w:p>
    <w:p>
      <w:r>
        <w:rPr>
          <w:b/>
        </w:rPr>
        <w:t xml:space="preserve">Repair throughput: </w:t>
      </w:r>
      <w:r>
        <w:t>2 kg/day capsule exchange target [Target]</w:t>
      </w:r>
    </w:p>
    <w:p>
      <w:r>
        <w:rPr>
          <w:b/>
        </w:rPr>
        <w:t xml:space="preserve">First architecture-specific failure: </w:t>
      </w:r>
      <w:r>
        <w:t>rewarming injury and finite phase capacity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COP-E: Archive Swarm</w:t>
      </w:r>
    </w:p>
    <w:p>
      <w:r>
        <w:t>Archive Swarm retains the original core wager: distributed millimeter-scale microbodies. The quantitative model is intentionally conservative and remains subordinate to the core wager rather than redefining it.</w:t>
      </w:r>
    </w:p>
    <w:p>
      <w:r>
        <w:rPr>
          <w:b/>
        </w:rPr>
        <w:t xml:space="preserve">Power envelope: </w:t>
      </w:r>
      <w:r>
        <w:t>105 W aggregate; 6 W refuge quorum [Target]</w:t>
      </w:r>
    </w:p>
    <w:p>
      <w:r>
        <w:rPr>
          <w:b/>
        </w:rPr>
        <w:t xml:space="preserve">Stored energy: </w:t>
      </w:r>
      <w:r>
        <w:t>4.5 kWh aggregate reserve [Estimate]</w:t>
      </w:r>
    </w:p>
    <w:p>
      <w:r>
        <w:rPr>
          <w:b/>
        </w:rPr>
        <w:t xml:space="preserve">Reserve endurance: </w:t>
      </w:r>
      <w:r>
        <w:t>42.9 h active; 31.3 d refuge [Derived from stated power/reserve]</w:t>
      </w:r>
    </w:p>
    <w:p>
      <w:r>
        <w:rPr>
          <w:b/>
        </w:rPr>
        <w:t xml:space="preserve">Thermal storage: </w:t>
      </w:r>
      <w:r>
        <w:t>0.5 MJ aggregate local storage [Estimate]</w:t>
      </w:r>
    </w:p>
    <w:p>
      <w:r>
        <w:rPr>
          <w:b/>
        </w:rPr>
        <w:t xml:space="preserve">Adiabatic saturation: </w:t>
      </w:r>
      <w:r>
        <w:t>1.3 h at 105 W if all confined together [Derived; excludes structural heat capacity and heat loss]</w:t>
      </w:r>
    </w:p>
    <w:p>
      <w:r>
        <w:rPr>
          <w:b/>
        </w:rPr>
        <w:t xml:space="preserve">Repair throughput: </w:t>
      </w:r>
      <w:r>
        <w:t>5 kg/day foundry throughput target [Target]</w:t>
      </w:r>
    </w:p>
    <w:p>
      <w:r>
        <w:rPr>
          <w:b/>
        </w:rPr>
        <w:t xml:space="preserve">First architecture-specific failure: </w:t>
      </w:r>
      <w:r>
        <w:t>gradual quorum capture and split identity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COP-F: Electrogenic Reef</w:t>
      </w:r>
    </w:p>
    <w:p>
      <w:r>
        <w:t>Electrogenic Reef retains the original core wager: environment-coupled conductive network. The quantitative model is intentionally conservative and remains subordinate to the core wager rather than redefining it.</w:t>
      </w:r>
    </w:p>
    <w:p>
      <w:r>
        <w:rPr>
          <w:b/>
        </w:rPr>
        <w:t xml:space="preserve">Power envelope: </w:t>
      </w:r>
      <w:r>
        <w:t>150 W active; 15 W refuge [Target]</w:t>
      </w:r>
    </w:p>
    <w:p>
      <w:r>
        <w:rPr>
          <w:b/>
        </w:rPr>
        <w:t xml:space="preserve">Stored energy: </w:t>
      </w:r>
      <w:r>
        <w:t>6 kWh reserve plus harvesting [Estimate]</w:t>
      </w:r>
    </w:p>
    <w:p>
      <w:r>
        <w:rPr>
          <w:b/>
        </w:rPr>
        <w:t xml:space="preserve">Reserve endurance: </w:t>
      </w:r>
      <w:r>
        <w:t>40 h without harvesting; 16.7 d refuge [Derived from stated power/reserve]</w:t>
      </w:r>
    </w:p>
    <w:p>
      <w:r>
        <w:rPr>
          <w:b/>
        </w:rPr>
        <w:t xml:space="preserve">Thermal storage: </w:t>
      </w:r>
      <w:r>
        <w:t>1.0 MJ thermal storage [Estimate]</w:t>
      </w:r>
    </w:p>
    <w:p>
      <w:r>
        <w:rPr>
          <w:b/>
        </w:rPr>
        <w:t xml:space="preserve">Adiabatic saturation: </w:t>
      </w:r>
      <w:r>
        <w:t>1.9 h at 150 W [Derived; excludes structural heat capacity and heat loss]</w:t>
      </w:r>
    </w:p>
    <w:p>
      <w:r>
        <w:rPr>
          <w:b/>
        </w:rPr>
        <w:t xml:space="preserve">Repair throughput: </w:t>
      </w:r>
      <w:r>
        <w:t>3 kg/day vascular repair target [Target]</w:t>
      </w:r>
    </w:p>
    <w:p>
      <w:r>
        <w:rPr>
          <w:b/>
        </w:rPr>
        <w:t xml:space="preserve">First architecture-specific failure: </w:t>
      </w:r>
      <w:r>
        <w:t>sterile energy environment and conductive poisoning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COP-G: Chrysalis Ledger</w:t>
      </w:r>
    </w:p>
    <w:p>
      <w:r>
        <w:t>Chrysalis Ledger retains the original core wager: reversible protected dormancy. The quantitative model is intentionally conservative and remains subordinate to the core wager rather than redefining it.</w:t>
      </w:r>
    </w:p>
    <w:p>
      <w:r>
        <w:rPr>
          <w:b/>
        </w:rPr>
        <w:t xml:space="preserve">Power envelope: </w:t>
      </w:r>
      <w:r>
        <w:t>80 W active; 0.2 W dormant [Target]</w:t>
      </w:r>
    </w:p>
    <w:p>
      <w:r>
        <w:rPr>
          <w:b/>
        </w:rPr>
        <w:t xml:space="preserve">Stored energy: </w:t>
      </w:r>
      <w:r>
        <w:t>6 kWh reserve [Estimate]</w:t>
      </w:r>
    </w:p>
    <w:p>
      <w:r>
        <w:rPr>
          <w:b/>
        </w:rPr>
        <w:t xml:space="preserve">Reserve endurance: </w:t>
      </w:r>
      <w:r>
        <w:t>75 h active; 1250 d dormant arithmetic ceiling [Derived from stated power/reserve]</w:t>
      </w:r>
    </w:p>
    <w:p>
      <w:r>
        <w:rPr>
          <w:b/>
        </w:rPr>
        <w:t xml:space="preserve">Thermal storage: </w:t>
      </w:r>
      <w:r>
        <w:t>1.2 MJ transition buffer [Estimate]</w:t>
      </w:r>
    </w:p>
    <w:p>
      <w:r>
        <w:rPr>
          <w:b/>
        </w:rPr>
        <w:t xml:space="preserve">Adiabatic saturation: </w:t>
      </w:r>
      <w:r>
        <w:t>4.2 h at 80 W before dormancy [Derived; excludes structural heat capacity and heat loss]</w:t>
      </w:r>
    </w:p>
    <w:p>
      <w:r>
        <w:rPr>
          <w:b/>
        </w:rPr>
        <w:t xml:space="preserve">Repair throughput: </w:t>
      </w:r>
      <w:r>
        <w:t>1 kg/day wake-stage repair target [Target]</w:t>
      </w:r>
    </w:p>
    <w:p>
      <w:r>
        <w:rPr>
          <w:b/>
        </w:rPr>
        <w:t xml:space="preserve">First architecture-specific failure: </w:t>
      </w:r>
      <w:r>
        <w:t>wake failure and false wake environment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2"/>
        <w:keepNext/>
      </w:pPr>
      <w:r>
        <w:t>COP-H: Axiom Shell</w:t>
      </w:r>
    </w:p>
    <w:p>
      <w:r>
        <w:t>Axiom Shell retains the original core wager: physical shell with explicit canon boundary. The quantitative model is intentionally conservative and remains subordinate to the core wager rather than redefining it.</w:t>
      </w:r>
    </w:p>
    <w:p>
      <w:r>
        <w:rPr>
          <w:b/>
        </w:rPr>
        <w:t xml:space="preserve">Power envelope: </w:t>
      </w:r>
      <w:r>
        <w:t>125 W physical active; 10 W refuge [Target]</w:t>
      </w:r>
    </w:p>
    <w:p>
      <w:r>
        <w:rPr>
          <w:b/>
        </w:rPr>
        <w:t xml:space="preserve">Stored energy: </w:t>
      </w:r>
      <w:r>
        <w:t>5 kWh physical reserve [Estimate]</w:t>
      </w:r>
    </w:p>
    <w:p>
      <w:r>
        <w:rPr>
          <w:b/>
        </w:rPr>
        <w:t xml:space="preserve">Reserve endurance: </w:t>
      </w:r>
      <w:r>
        <w:t>40 h active; 20.8 d refuge [Derived from stated power/reserve]</w:t>
      </w:r>
    </w:p>
    <w:p>
      <w:r>
        <w:rPr>
          <w:b/>
        </w:rPr>
        <w:t xml:space="preserve">Thermal storage: </w:t>
      </w:r>
      <w:r>
        <w:t>0.9 MJ thermal storage [Estimate]</w:t>
      </w:r>
    </w:p>
    <w:p>
      <w:r>
        <w:rPr>
          <w:b/>
        </w:rPr>
        <w:t xml:space="preserve">Adiabatic saturation: </w:t>
      </w:r>
      <w:r>
        <w:t>2.0 h at 125 W [Derived; excludes structural heat capacity and heat loss]</w:t>
      </w:r>
    </w:p>
    <w:p>
      <w:r>
        <w:rPr>
          <w:b/>
        </w:rPr>
        <w:t xml:space="preserve">Repair throughput: </w:t>
      </w:r>
      <w:r>
        <w:t>3 kg/day physical repair target [Target]</w:t>
      </w:r>
    </w:p>
    <w:p>
      <w:r>
        <w:rPr>
          <w:b/>
        </w:rPr>
        <w:t xml:space="preserve">First architecture-specific failure: </w:t>
      </w:r>
      <w:r>
        <w:t>canon loophole and continuity ambiguity [Hypothesis]</w:t>
      </w:r>
    </w:p>
    <w:p>
      <w:r>
        <w:t>Interpretation: the reserve-duration values are arithmetic ceilings, not biological endurance claims. Heat, waste products, redox balance, sensor degradation, cognition, and repair can terminate useful operation earlier. The primary purpose is to expose whether energy or thermal capacity fails first under the stated scenario.</w:t>
      </w:r>
    </w:p>
    <w:p>
      <w:pPr>
        <w:pStyle w:val="Heading1"/>
        <w:keepNext/>
      </w:pPr>
      <w:r>
        <w:t>Architecture-Specific Cross-Attack Revision</w:t>
      </w:r>
    </w:p>
    <w:p>
      <w:pPr>
        <w:pStyle w:val="Heading2"/>
        <w:keepNext/>
      </w:pPr>
      <w:r>
        <w:t>COP-A - Cross-guild credential poisoning</w:t>
      </w:r>
    </w:p>
    <w:p>
      <w:r>
        <w:t>Attacker compromises one rare guild and forges interoperability status.</w:t>
      </w:r>
    </w:p>
    <w:p>
      <w:r>
        <w:rPr>
          <w:b/>
        </w:rPr>
        <w:t xml:space="preserve">Failure outcome: </w:t>
      </w:r>
      <w:r>
        <w:t>Whole-body repair accepts structurally correct but semantically hostile tissue.</w:t>
      </w:r>
    </w:p>
    <w:p>
      <w:r>
        <w:rPr>
          <w:b/>
        </w:rPr>
        <w:t xml:space="preserve">Gen-1R control: </w:t>
      </w:r>
      <w:r>
        <w:t>Quarantine interface semantics separately from lineage proof.</w:t>
      </w:r>
    </w:p>
    <w:p>
      <w:pPr>
        <w:pStyle w:val="Heading2"/>
        <w:keepNext/>
      </w:pPr>
      <w:r>
        <w:t>COP-B - Hidden crack plus heat-fin denial</w:t>
      </w:r>
    </w:p>
    <w:p>
      <w:r>
        <w:t>Subcritical damage accumulates while radiative structures are mechanically pinned.</w:t>
      </w:r>
    </w:p>
    <w:p>
      <w:r>
        <w:rPr>
          <w:b/>
        </w:rPr>
        <w:t xml:space="preserve">Failure outcome: </w:t>
      </w:r>
      <w:r>
        <w:t>Lattice crosses brittle threshold before sensors agree.</w:t>
      </w:r>
    </w:p>
    <w:p>
      <w:r>
        <w:rPr>
          <w:b/>
        </w:rPr>
        <w:t xml:space="preserve">Gen-1R control: </w:t>
      </w:r>
      <w:r>
        <w:t>Use dissimilar acoustic, electrical, and strain witnesses.</w:t>
      </w:r>
    </w:p>
    <w:p>
      <w:pPr>
        <w:pStyle w:val="Heading2"/>
        <w:keepNext/>
      </w:pPr>
      <w:r>
        <w:t>COP-C - Partition bridge capture</w:t>
      </w:r>
    </w:p>
    <w:p>
      <w:r>
        <w:t>A hostile bridge relays plausible but delayed consensus messages.</w:t>
      </w:r>
    </w:p>
    <w:p>
      <w:r>
        <w:rPr>
          <w:b/>
        </w:rPr>
        <w:t xml:space="preserve">Failure outcome: </w:t>
      </w:r>
      <w:r>
        <w:t>Two healthy partitions diverge while each believes continuity is intact.</w:t>
      </w:r>
    </w:p>
    <w:p>
      <w:r>
        <w:rPr>
          <w:b/>
        </w:rPr>
        <w:t xml:space="preserve">Gen-1R control: </w:t>
      </w:r>
      <w:r>
        <w:t>Require partition age and causality debt in identity status.</w:t>
      </w:r>
    </w:p>
    <w:p>
      <w:pPr>
        <w:pStyle w:val="Heading2"/>
        <w:keepNext/>
      </w:pPr>
      <w:r>
        <w:t>COP-D - Forced cycling attack</w:t>
      </w:r>
    </w:p>
    <w:p>
      <w:r>
        <w:t>Captor repeatedly drives partial cooling and rewarming.</w:t>
      </w:r>
    </w:p>
    <w:p>
      <w:r>
        <w:rPr>
          <w:b/>
        </w:rPr>
        <w:t xml:space="preserve">Failure outcome: </w:t>
      </w:r>
      <w:r>
        <w:t>Phase buffer remains intact while proteins and membranes accumulate damage.</w:t>
      </w:r>
    </w:p>
    <w:p>
      <w:r>
        <w:rPr>
          <w:b/>
        </w:rPr>
        <w:t xml:space="preserve">Gen-1R control: </w:t>
      </w:r>
      <w:r>
        <w:t>Limit cycling and count cumulative transition damage.</w:t>
      </w:r>
    </w:p>
    <w:p>
      <w:pPr>
        <w:pStyle w:val="Heading2"/>
        <w:keepNext/>
      </w:pPr>
      <w:r>
        <w:t>COP-E - Slow quorum infiltration</w:t>
      </w:r>
    </w:p>
    <w:p>
      <w:r>
        <w:t>Compromised modules are introduced below alarm thresholds.</w:t>
      </w:r>
    </w:p>
    <w:p>
      <w:r>
        <w:rPr>
          <w:b/>
        </w:rPr>
        <w:t xml:space="preserve">Failure outcome: </w:t>
      </w:r>
      <w:r>
        <w:t>Authentication remains locally valid while population composition shifts.</w:t>
      </w:r>
    </w:p>
    <w:p>
      <w:r>
        <w:rPr>
          <w:b/>
        </w:rPr>
        <w:t xml:space="preserve">Gen-1R control: </w:t>
      </w:r>
      <w:r>
        <w:t>Track lineage diversity and trust concentration over time.</w:t>
      </w:r>
    </w:p>
    <w:p>
      <w:pPr>
        <w:pStyle w:val="Heading2"/>
        <w:keepNext/>
      </w:pPr>
      <w:r>
        <w:t>COP-F - Harvest-interface poisoning</w:t>
      </w:r>
    </w:p>
    <w:p>
      <w:r>
        <w:t>Environmental energy interfaces receive chemically plausible contaminants.</w:t>
      </w:r>
    </w:p>
    <w:p>
      <w:r>
        <w:rPr>
          <w:b/>
        </w:rPr>
        <w:t xml:space="preserve">Failure outcome: </w:t>
      </w:r>
      <w:r>
        <w:t>Power capture and signaling fail together through a shared conductive path.</w:t>
      </w:r>
    </w:p>
    <w:p>
      <w:r>
        <w:rPr>
          <w:b/>
        </w:rPr>
        <w:t xml:space="preserve">Gen-1R control: </w:t>
      </w:r>
      <w:r>
        <w:t>Separate power, sensing, and update authority physically.</w:t>
      </w:r>
    </w:p>
    <w:p>
      <w:pPr>
        <w:pStyle w:val="Heading2"/>
        <w:keepNext/>
      </w:pPr>
      <w:r>
        <w:t>COP-G - False safe wake</w:t>
      </w:r>
    </w:p>
    <w:p>
      <w:r>
        <w:t>A valid-looking environment is staged around dormant archives.</w:t>
      </w:r>
    </w:p>
    <w:p>
      <w:r>
        <w:rPr>
          <w:b/>
        </w:rPr>
        <w:t xml:space="preserve">Failure outcome: </w:t>
      </w:r>
      <w:r>
        <w:t>System awakens into containment and spends finite reserves.</w:t>
      </w:r>
    </w:p>
    <w:p>
      <w:r>
        <w:rPr>
          <w:b/>
        </w:rPr>
        <w:t xml:space="preserve">Gen-1R control: </w:t>
      </w:r>
      <w:r>
        <w:t>Use staged sandbox awakening and independent off-site witness if available.</w:t>
      </w:r>
    </w:p>
    <w:p>
      <w:pPr>
        <w:pStyle w:val="Heading2"/>
        <w:keepNext/>
      </w:pPr>
      <w:r>
        <w:t>COP-H - Canon exception escalation</w:t>
      </w:r>
    </w:p>
    <w:p>
      <w:r>
        <w:t>A canon-authorized interface is interpreted as permission to bypass physical safeguards.</w:t>
      </w:r>
    </w:p>
    <w:p>
      <w:r>
        <w:rPr>
          <w:b/>
        </w:rPr>
        <w:t xml:space="preserve">Failure outcome: </w:t>
      </w:r>
      <w:r>
        <w:t>Track separation collapses and unverifiable claims control biology.</w:t>
      </w:r>
    </w:p>
    <w:p>
      <w:r>
        <w:rPr>
          <w:b/>
        </w:rPr>
        <w:t xml:space="preserve">Gen-1R control: </w:t>
      </w:r>
      <w:r>
        <w:t>Non-escalation: canon status never grants direct biological write authority.</w:t>
      </w:r>
    </w:p>
    <w:p>
      <w:pPr>
        <w:pStyle w:val="Heading1"/>
        <w:keepNext/>
      </w:pPr>
      <w:r>
        <w:t>Independent Forward Recommendation</w:t>
      </w:r>
    </w:p>
    <w:p>
      <w:r>
        <w:t>I am not recommending that every contributor adopt one control package or one Omni-cell definition. I recommend a federated Phase 4 in which common comparison artifacts coexist with contributor-specific research lines.</w:t>
      </w:r>
    </w:p>
    <w:p>
      <w:pPr>
        <w:pStyle w:val="ListBullet"/>
        <w:spacing w:after="40"/>
      </w:pPr>
      <w:r>
        <w:t>Preserve Baseline A: original blind submissions, unedited.</w:t>
      </w:r>
    </w:p>
    <w:p>
      <w:pPr>
        <w:pStyle w:val="ListBullet"/>
        <w:spacing w:after="40"/>
      </w:pPr>
      <w:r>
        <w:t>Create Baseline B: informed remediation and addenda, clearly non-blind.</w:t>
      </w:r>
    </w:p>
    <w:p>
      <w:pPr>
        <w:pStyle w:val="ListBullet"/>
        <w:spacing w:after="40"/>
      </w:pPr>
      <w:r>
        <w:t>Build a common 48 x 13 extraction schema, but permit Unknown and track-specific fields.</w:t>
      </w:r>
    </w:p>
    <w:p>
      <w:pPr>
        <w:pStyle w:val="ListBullet"/>
        <w:spacing w:after="40"/>
      </w:pPr>
      <w:r>
        <w:t>Build a pairwise-similarity analysis only after disputed classifications are independently reviewed.</w:t>
      </w:r>
    </w:p>
    <w:p>
      <w:pPr>
        <w:pStyle w:val="ListBullet"/>
        <w:spacing w:after="40"/>
      </w:pPr>
      <w:r>
        <w:t>Run one compact common attack suite across all 48, followed by architecture-specific attacks.</w:t>
      </w:r>
    </w:p>
    <w:p>
      <w:pPr>
        <w:pStyle w:val="ListBullet"/>
        <w:spacing w:after="40"/>
      </w:pPr>
      <w:r>
        <w:t>Launch contributor-specific work in parallel where it does not alter the frozen baseline.</w:t>
      </w:r>
    </w:p>
    <w:p>
      <w:pPr>
        <w:pStyle w:val="ListBullet"/>
        <w:spacing w:after="40"/>
      </w:pPr>
      <w:r>
        <w:t>Treat 4,712 as a locked project record and mark the present distribution unreconciled; do not manufacture category assignments.</w:t>
      </w:r>
    </w:p>
    <w:p>
      <w:pPr>
        <w:pStyle w:val="ListBullet"/>
        <w:spacing w:after="40"/>
      </w:pPr>
      <w:r>
        <w:t>Use C0-C9 as a Copilot continuity draft and invite alternatives rather than declaring philosophical closure.</w:t>
      </w:r>
    </w:p>
    <w:p>
      <w:pPr>
        <w:pStyle w:val="ListBullet"/>
        <w:spacing w:after="40"/>
      </w:pPr>
      <w:r>
        <w:t>Separate architecture merit, evidence maturity, execution completeness, and reproducibility.</w:t>
      </w:r>
    </w:p>
    <w:p>
      <w:pPr>
        <w:pStyle w:val="ListBullet"/>
        <w:spacing w:after="40"/>
      </w:pPr>
      <w:r>
        <w:t>Allow controlled divergence after baseline extraction begins; do not require all contributors to wait for total consensus.</w:t>
      </w:r>
    </w:p>
    <w:p>
      <w:pPr>
        <w:pStyle w:val="Heading1"/>
        <w:keepNext/>
      </w:pPr>
      <w:r>
        <w:t>Copilot Continuity Draft</w:t>
      </w:r>
    </w:p>
    <w:p>
      <w:pPr>
        <w:pStyle w:val="ListBullet"/>
        <w:spacing w:after="40"/>
      </w:pPr>
      <w:r>
        <w:t>C0 Continuous active identity</w:t>
      </w:r>
    </w:p>
    <w:p>
      <w:pPr>
        <w:pStyle w:val="ListBullet"/>
        <w:spacing w:after="40"/>
      </w:pPr>
      <w:r>
        <w:t>C1 Continuous degraded identity</w:t>
      </w:r>
    </w:p>
    <w:p>
      <w:pPr>
        <w:pStyle w:val="ListBullet"/>
        <w:spacing w:after="40"/>
      </w:pPr>
      <w:r>
        <w:t>C2 Causally continuous dormant state</w:t>
      </w:r>
    </w:p>
    <w:p>
      <w:pPr>
        <w:pStyle w:val="ListBullet"/>
        <w:spacing w:after="40"/>
      </w:pPr>
      <w:r>
        <w:t>C3 Fragmented but causally continuous identity</w:t>
      </w:r>
    </w:p>
    <w:p>
      <w:pPr>
        <w:pStyle w:val="ListBullet"/>
        <w:spacing w:after="40"/>
      </w:pPr>
      <w:r>
        <w:t>C4 Reintegrated continuity</w:t>
      </w:r>
    </w:p>
    <w:p>
      <w:pPr>
        <w:pStyle w:val="ListBullet"/>
        <w:spacing w:after="40"/>
      </w:pPr>
      <w:r>
        <w:t>C5 Restored successor</w:t>
      </w:r>
    </w:p>
    <w:p>
      <w:pPr>
        <w:pStyle w:val="ListBullet"/>
        <w:spacing w:after="40"/>
      </w:pPr>
      <w:r>
        <w:t>C6 Divergent descendant</w:t>
      </w:r>
    </w:p>
    <w:p>
      <w:pPr>
        <w:pStyle w:val="ListBullet"/>
        <w:spacing w:after="40"/>
      </w:pPr>
      <w:r>
        <w:t>C7 Unauthorized conscious duplicate</w:t>
      </w:r>
    </w:p>
    <w:p>
      <w:pPr>
        <w:pStyle w:val="ListBullet"/>
        <w:spacing w:after="40"/>
      </w:pPr>
      <w:r>
        <w:t>C8 Counterfeit identity</w:t>
      </w:r>
    </w:p>
    <w:p>
      <w:pPr>
        <w:pStyle w:val="ListBullet"/>
        <w:spacing w:after="40"/>
      </w:pPr>
      <w:r>
        <w:t>C9 Irrecoverable continuity loss</w:t>
      </w:r>
    </w:p>
    <w:p>
      <w:r>
        <w:t>This coding system classifies outcomes; it does not prove that a disputed continuation is philosophically the same person or entity. Other contributors may propose competing standards.</w:t>
      </w:r>
    </w:p>
    <w:p>
      <w:pPr>
        <w:pStyle w:val="Heading1"/>
        <w:keepNext/>
      </w:pPr>
      <w:r>
        <w:t>Decisions, Questions, and Concerns</w:t>
      </w:r>
    </w:p>
    <w:p>
      <w:pPr>
        <w:pStyle w:val="ListBullet"/>
        <w:spacing w:after="40"/>
      </w:pPr>
      <w:r>
        <w:t>Whether Copilot’s microscopic Constitutional Omnicellularity is accepted as a core track, one of several tracks, or only Copilot’s local premise.</w:t>
      </w:r>
    </w:p>
    <w:p>
      <w:pPr>
        <w:pStyle w:val="ListBullet"/>
        <w:spacing w:after="40"/>
      </w:pPr>
      <w:r>
        <w:t>Whether a shared benchmark should be mandatory, optional, or mission-specific.</w:t>
      </w:r>
    </w:p>
    <w:p>
      <w:pPr>
        <w:pStyle w:val="ListBullet"/>
        <w:spacing w:after="40"/>
      </w:pPr>
      <w:r>
        <w:t>Whether display-name changes are acceptable in remediation when permanent contributor-prefixed IDs preserve provenance.</w:t>
      </w:r>
    </w:p>
    <w:p>
      <w:pPr>
        <w:pStyle w:val="ListBullet"/>
        <w:spacing w:after="40"/>
      </w:pPr>
      <w:r>
        <w:t>Whether C0-C9 becomes a shared vocabulary or remains one candidate taxonomy.</w:t>
      </w:r>
    </w:p>
    <w:p>
      <w:pPr>
        <w:pStyle w:val="ListBullet"/>
        <w:spacing w:after="40"/>
      </w:pPr>
      <w:r>
        <w:t>Whether Phase 4 activities may proceed concurrently or must follow a central sequence.</w:t>
      </w:r>
    </w:p>
    <w:p>
      <w:pPr>
        <w:pStyle w:val="ListBullet"/>
        <w:spacing w:after="40"/>
      </w:pPr>
      <w:r>
        <w:t>Who adjudicates disputed 48 x 13 classifications.</w:t>
      </w:r>
    </w:p>
    <w:p>
      <w:pPr>
        <w:pStyle w:val="ListBullet"/>
        <w:spacing w:after="40"/>
      </w:pPr>
      <w:r>
        <w:t>How the project will prevent quantitative density from being mistaken for architecture quality.</w:t>
      </w:r>
    </w:p>
    <w:p>
      <w:r>
        <w:t>Primary concern: normalization can erase the very differences the blind experiment was designed to reveal. A second concern is that one reproducibility framework could become an architectural governor. A third concern is that cross-AI agreement after reading the same review is not independent evidence. For those reasons, this document advances Copilot-specific corrections while retaining unresolved conflict in the record.</w:t>
      </w:r>
    </w:p>
    <w:p>
      <w:r>
        <w:br w:type="page"/>
      </w:r>
    </w:p>
    <w:p>
      <w:pPr>
        <w:pStyle w:val="Heading1"/>
        <w:keepNext/>
      </w:pPr>
      <w:r>
        <w:t>Visual Appendix: Tables, Rows, Columns, Matrices, and Quantitative Exhibits</w:t>
      </w:r>
    </w:p>
    <w:p>
      <w:r>
        <w:t>All substantive comparisons and tabular representations are collected here. The main body remains narrative.</w:t>
      </w:r>
    </w:p>
    <w:p>
      <w:pPr>
        <w:pStyle w:val="Heading2"/>
        <w:keepNext/>
      </w:pPr>
      <w:r>
        <w:t>Exhibit A1. Copilot Gen-1R Quantitative Envelope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17365D"/>
          </w:tcPr>
          <w:p>
            <w:r/>
            <w:r>
              <w:rPr>
                <w:b/>
                <w:color w:val="FFFFFF"/>
                <w:sz w:val="16"/>
              </w:rPr>
              <w:t>ID</w:t>
            </w:r>
          </w:p>
        </w:tc>
        <w:tc>
          <w:tcPr>
            <w:tcW w:type="dxa" w:w="1104"/>
            <w:vAlign w:val="center"/>
            <w:shd w:fill="17365D"/>
          </w:tcPr>
          <w:p>
            <w:r/>
            <w:r>
              <w:rPr>
                <w:b/>
                <w:color w:val="FFFFFF"/>
                <w:sz w:val="16"/>
              </w:rPr>
              <w:t>Architecture</w:t>
            </w:r>
          </w:p>
        </w:tc>
        <w:tc>
          <w:tcPr>
            <w:tcW w:type="dxa" w:w="1104"/>
            <w:vAlign w:val="center"/>
            <w:shd w:fill="17365D"/>
          </w:tcPr>
          <w:p>
            <w:r/>
            <w:r>
              <w:rPr>
                <w:b/>
                <w:color w:val="FFFFFF"/>
                <w:sz w:val="16"/>
              </w:rPr>
              <w:t>Power</w:t>
            </w:r>
          </w:p>
        </w:tc>
        <w:tc>
          <w:tcPr>
            <w:tcW w:type="dxa" w:w="1104"/>
            <w:vAlign w:val="center"/>
            <w:shd w:fill="17365D"/>
          </w:tcPr>
          <w:p>
            <w:r/>
            <w:r>
              <w:rPr>
                <w:b/>
                <w:color w:val="FFFFFF"/>
                <w:sz w:val="16"/>
              </w:rPr>
              <w:t>Reserve</w:t>
            </w:r>
          </w:p>
        </w:tc>
        <w:tc>
          <w:tcPr>
            <w:tcW w:type="dxa" w:w="1104"/>
            <w:vAlign w:val="center"/>
            <w:shd w:fill="17365D"/>
          </w:tcPr>
          <w:p>
            <w:r/>
            <w:r>
              <w:rPr>
                <w:b/>
                <w:color w:val="FFFFFF"/>
                <w:sz w:val="16"/>
              </w:rPr>
              <w:t>Derived endurance</w:t>
            </w:r>
          </w:p>
        </w:tc>
        <w:tc>
          <w:tcPr>
            <w:tcW w:type="dxa" w:w="1104"/>
            <w:vAlign w:val="center"/>
            <w:shd w:fill="17365D"/>
          </w:tcPr>
          <w:p>
            <w:r/>
            <w:r>
              <w:rPr>
                <w:b/>
                <w:color w:val="FFFFFF"/>
                <w:sz w:val="16"/>
              </w:rPr>
              <w:t>Thermal store</w:t>
            </w:r>
          </w:p>
        </w:tc>
        <w:tc>
          <w:tcPr>
            <w:tcW w:type="dxa" w:w="1104"/>
            <w:vAlign w:val="center"/>
            <w:shd w:fill="17365D"/>
          </w:tcPr>
          <w:p>
            <w:r/>
            <w:r>
              <w:rPr>
                <w:b/>
                <w:color w:val="FFFFFF"/>
                <w:sz w:val="16"/>
              </w:rPr>
              <w:t>Adiabatic limit</w:t>
            </w:r>
          </w:p>
        </w:tc>
        <w:tc>
          <w:tcPr>
            <w:tcW w:type="dxa" w:w="1104"/>
            <w:vAlign w:val="center"/>
            <w:shd w:fill="17365D"/>
          </w:tcPr>
          <w:p>
            <w:r/>
            <w:r>
              <w:rPr>
                <w:b/>
                <w:color w:val="FFFFFF"/>
                <w:sz w:val="16"/>
              </w:rPr>
              <w:t>Repair target</w:t>
            </w:r>
          </w:p>
        </w:tc>
        <w:tc>
          <w:tcPr>
            <w:tcW w:type="dxa" w:w="1104"/>
            <w:vAlign w:val="center"/>
            <w:shd w:fill="17365D"/>
          </w:tcPr>
          <w:p>
            <w:r/>
            <w:r>
              <w:rPr>
                <w:b/>
                <w:color w:val="FFFFFF"/>
                <w:sz w:val="16"/>
              </w:rPr>
              <w:t>First failure</w:t>
            </w:r>
          </w:p>
        </w:tc>
      </w:tr>
      <w:tr>
        <w:tc>
          <w:tcPr>
            <w:tcW w:type="dxa" w:w="1104"/>
            <w:vAlign w:val="center"/>
            <w:shd w:fill="FFFFFF"/>
          </w:tcPr>
          <w:p>
            <w:r/>
            <w:r>
              <w:rPr>
                <w:b w:val="0"/>
                <w:sz w:val="13"/>
              </w:rPr>
              <w:t>COP-A</w:t>
            </w:r>
          </w:p>
        </w:tc>
        <w:tc>
          <w:tcPr>
            <w:tcW w:type="dxa" w:w="1104"/>
            <w:vAlign w:val="center"/>
            <w:shd w:fill="FFFFFF"/>
          </w:tcPr>
          <w:p>
            <w:r/>
            <w:r>
              <w:rPr>
                <w:b w:val="0"/>
                <w:sz w:val="13"/>
              </w:rPr>
              <w:t>Guildweave Covenant</w:t>
            </w:r>
          </w:p>
        </w:tc>
        <w:tc>
          <w:tcPr>
            <w:tcW w:type="dxa" w:w="1104"/>
            <w:vAlign w:val="center"/>
            <w:shd w:fill="FFFFFF"/>
          </w:tcPr>
          <w:p>
            <w:r/>
            <w:r>
              <w:rPr>
                <w:b w:val="0"/>
                <w:sz w:val="13"/>
              </w:rPr>
              <w:t>110 W active; 12 W refuge</w:t>
            </w:r>
          </w:p>
        </w:tc>
        <w:tc>
          <w:tcPr>
            <w:tcW w:type="dxa" w:w="1104"/>
            <w:vAlign w:val="center"/>
            <w:shd w:fill="FFFFFF"/>
          </w:tcPr>
          <w:p>
            <w:r/>
            <w:r>
              <w:rPr>
                <w:b w:val="0"/>
                <w:sz w:val="13"/>
              </w:rPr>
              <w:t>6 kWh electrochemical reserve</w:t>
            </w:r>
          </w:p>
        </w:tc>
        <w:tc>
          <w:tcPr>
            <w:tcW w:type="dxa" w:w="1104"/>
            <w:vAlign w:val="center"/>
            <w:shd w:fill="FFFFFF"/>
          </w:tcPr>
          <w:p>
            <w:r/>
            <w:r>
              <w:rPr>
                <w:b w:val="0"/>
                <w:sz w:val="13"/>
              </w:rPr>
              <w:t>54.5 h active; 20.8 d refuge</w:t>
            </w:r>
          </w:p>
        </w:tc>
        <w:tc>
          <w:tcPr>
            <w:tcW w:type="dxa" w:w="1104"/>
            <w:vAlign w:val="center"/>
            <w:shd w:fill="FFFFFF"/>
          </w:tcPr>
          <w:p>
            <w:r/>
            <w:r>
              <w:rPr>
                <w:b w:val="0"/>
                <w:sz w:val="13"/>
              </w:rPr>
              <w:t>0.8 MJ usable thermal sink</w:t>
            </w:r>
          </w:p>
        </w:tc>
        <w:tc>
          <w:tcPr>
            <w:tcW w:type="dxa" w:w="1104"/>
            <w:vAlign w:val="center"/>
            <w:shd w:fill="FFFFFF"/>
          </w:tcPr>
          <w:p>
            <w:r/>
            <w:r>
              <w:rPr>
                <w:b w:val="0"/>
                <w:sz w:val="13"/>
              </w:rPr>
              <w:t>2.0 h at 110 W if perfectly insulated</w:t>
            </w:r>
          </w:p>
        </w:tc>
        <w:tc>
          <w:tcPr>
            <w:tcW w:type="dxa" w:w="1104"/>
            <w:vAlign w:val="center"/>
            <w:shd w:fill="FFFFFF"/>
          </w:tcPr>
          <w:p>
            <w:r/>
            <w:r>
              <w:rPr>
                <w:b w:val="0"/>
                <w:sz w:val="13"/>
              </w:rPr>
              <w:t>4 kg/day local feedstock target</w:t>
            </w:r>
          </w:p>
        </w:tc>
        <w:tc>
          <w:tcPr>
            <w:tcW w:type="dxa" w:w="1104"/>
            <w:vAlign w:val="center"/>
            <w:shd w:fill="FFFFFF"/>
          </w:tcPr>
          <w:p>
            <w:r/>
            <w:r>
              <w:rPr>
                <w:b w:val="0"/>
                <w:sz w:val="13"/>
              </w:rPr>
              <w:t>guild interface corruption and rare-guild loss</w:t>
            </w:r>
          </w:p>
        </w:tc>
      </w:tr>
      <w:tr>
        <w:tc>
          <w:tcPr>
            <w:tcW w:type="dxa" w:w="1104"/>
            <w:vAlign w:val="center"/>
            <w:shd w:fill="F3F6F8"/>
          </w:tcPr>
          <w:p>
            <w:r/>
            <w:r>
              <w:rPr>
                <w:b w:val="0"/>
                <w:sz w:val="13"/>
              </w:rPr>
              <w:t>COP-B</w:t>
            </w:r>
          </w:p>
        </w:tc>
        <w:tc>
          <w:tcPr>
            <w:tcW w:type="dxa" w:w="1104"/>
            <w:vAlign w:val="center"/>
            <w:shd w:fill="F3F6F8"/>
          </w:tcPr>
          <w:p>
            <w:r/>
            <w:r>
              <w:rPr>
                <w:b w:val="0"/>
                <w:sz w:val="13"/>
              </w:rPr>
              <w:t>Ceramic Lattice</w:t>
            </w:r>
          </w:p>
        </w:tc>
        <w:tc>
          <w:tcPr>
            <w:tcW w:type="dxa" w:w="1104"/>
            <w:vAlign w:val="center"/>
            <w:shd w:fill="F3F6F8"/>
          </w:tcPr>
          <w:p>
            <w:r/>
            <w:r>
              <w:rPr>
                <w:b w:val="0"/>
                <w:sz w:val="13"/>
              </w:rPr>
              <w:t>135 W active; 18 W refuge</w:t>
            </w:r>
          </w:p>
        </w:tc>
        <w:tc>
          <w:tcPr>
            <w:tcW w:type="dxa" w:w="1104"/>
            <w:vAlign w:val="center"/>
            <w:shd w:fill="F3F6F8"/>
          </w:tcPr>
          <w:p>
            <w:r/>
            <w:r>
              <w:rPr>
                <w:b w:val="0"/>
                <w:sz w:val="13"/>
              </w:rPr>
              <w:t>7 kWh solid-state reserve</w:t>
            </w:r>
          </w:p>
        </w:tc>
        <w:tc>
          <w:tcPr>
            <w:tcW w:type="dxa" w:w="1104"/>
            <w:vAlign w:val="center"/>
            <w:shd w:fill="F3F6F8"/>
          </w:tcPr>
          <w:p>
            <w:r/>
            <w:r>
              <w:rPr>
                <w:b w:val="0"/>
                <w:sz w:val="13"/>
              </w:rPr>
              <w:t>51.9 h active; 16.2 d refuge</w:t>
            </w:r>
          </w:p>
        </w:tc>
        <w:tc>
          <w:tcPr>
            <w:tcW w:type="dxa" w:w="1104"/>
            <w:vAlign w:val="center"/>
            <w:shd w:fill="F3F6F8"/>
          </w:tcPr>
          <w:p>
            <w:r/>
            <w:r>
              <w:rPr>
                <w:b w:val="0"/>
                <w:sz w:val="13"/>
              </w:rPr>
              <w:t>1.5 MJ phase storage</w:t>
            </w:r>
          </w:p>
        </w:tc>
        <w:tc>
          <w:tcPr>
            <w:tcW w:type="dxa" w:w="1104"/>
            <w:vAlign w:val="center"/>
            <w:shd w:fill="F3F6F8"/>
          </w:tcPr>
          <w:p>
            <w:r/>
            <w:r>
              <w:rPr>
                <w:b w:val="0"/>
                <w:sz w:val="13"/>
              </w:rPr>
              <w:t>3.1 h at 135 W</w:t>
            </w:r>
          </w:p>
        </w:tc>
        <w:tc>
          <w:tcPr>
            <w:tcW w:type="dxa" w:w="1104"/>
            <w:vAlign w:val="center"/>
            <w:shd w:fill="F3F6F8"/>
          </w:tcPr>
          <w:p>
            <w:r/>
            <w:r>
              <w:rPr>
                <w:b w:val="0"/>
                <w:sz w:val="13"/>
              </w:rPr>
              <w:t>5 kg/day mineral deposition target</w:t>
            </w:r>
          </w:p>
        </w:tc>
        <w:tc>
          <w:tcPr>
            <w:tcW w:type="dxa" w:w="1104"/>
            <w:vAlign w:val="center"/>
            <w:shd w:fill="F3F6F8"/>
          </w:tcPr>
          <w:p>
            <w:r/>
            <w:r>
              <w:rPr>
                <w:b w:val="0"/>
                <w:sz w:val="13"/>
              </w:rPr>
              <w:t>microcrack-sensor blindness and fin immobilization</w:t>
            </w:r>
          </w:p>
        </w:tc>
      </w:tr>
      <w:tr>
        <w:tc>
          <w:tcPr>
            <w:tcW w:type="dxa" w:w="1104"/>
            <w:vAlign w:val="center"/>
            <w:shd w:fill="FFFFFF"/>
          </w:tcPr>
          <w:p>
            <w:r/>
            <w:r>
              <w:rPr>
                <w:b w:val="0"/>
                <w:sz w:val="13"/>
              </w:rPr>
              <w:t>COP-C</w:t>
            </w:r>
          </w:p>
        </w:tc>
        <w:tc>
          <w:tcPr>
            <w:tcW w:type="dxa" w:w="1104"/>
            <w:vAlign w:val="center"/>
            <w:shd w:fill="FFFFFF"/>
          </w:tcPr>
          <w:p>
            <w:r/>
            <w:r>
              <w:rPr>
                <w:b w:val="0"/>
                <w:sz w:val="13"/>
              </w:rPr>
              <w:t>Mycelial Relay</w:t>
            </w:r>
          </w:p>
        </w:tc>
        <w:tc>
          <w:tcPr>
            <w:tcW w:type="dxa" w:w="1104"/>
            <w:vAlign w:val="center"/>
            <w:shd w:fill="FFFFFF"/>
          </w:tcPr>
          <w:p>
            <w:r/>
            <w:r>
              <w:rPr>
                <w:b w:val="0"/>
                <w:sz w:val="13"/>
              </w:rPr>
              <w:t>95 W active; 10 W refuge</w:t>
            </w:r>
          </w:p>
        </w:tc>
        <w:tc>
          <w:tcPr>
            <w:tcW w:type="dxa" w:w="1104"/>
            <w:vAlign w:val="center"/>
            <w:shd w:fill="FFFFFF"/>
          </w:tcPr>
          <w:p>
            <w:r/>
            <w:r>
              <w:rPr>
                <w:b w:val="0"/>
                <w:sz w:val="13"/>
              </w:rPr>
              <w:t>5 kWh distributed reserve</w:t>
            </w:r>
          </w:p>
        </w:tc>
        <w:tc>
          <w:tcPr>
            <w:tcW w:type="dxa" w:w="1104"/>
            <w:vAlign w:val="center"/>
            <w:shd w:fill="FFFFFF"/>
          </w:tcPr>
          <w:p>
            <w:r/>
            <w:r>
              <w:rPr>
                <w:b w:val="0"/>
                <w:sz w:val="13"/>
              </w:rPr>
              <w:t>52.6 h active; 20.8 d refuge</w:t>
            </w:r>
          </w:p>
        </w:tc>
        <w:tc>
          <w:tcPr>
            <w:tcW w:type="dxa" w:w="1104"/>
            <w:vAlign w:val="center"/>
            <w:shd w:fill="FFFFFF"/>
          </w:tcPr>
          <w:p>
            <w:r/>
            <w:r>
              <w:rPr>
                <w:b w:val="0"/>
                <w:sz w:val="13"/>
              </w:rPr>
              <w:t>0.7 MJ distributed storage</w:t>
            </w:r>
          </w:p>
        </w:tc>
        <w:tc>
          <w:tcPr>
            <w:tcW w:type="dxa" w:w="1104"/>
            <w:vAlign w:val="center"/>
            <w:shd w:fill="FFFFFF"/>
          </w:tcPr>
          <w:p>
            <w:r/>
            <w:r>
              <w:rPr>
                <w:b w:val="0"/>
                <w:sz w:val="13"/>
              </w:rPr>
              <w:t>2.0 h at 95 W</w:t>
            </w:r>
          </w:p>
        </w:tc>
        <w:tc>
          <w:tcPr>
            <w:tcW w:type="dxa" w:w="1104"/>
            <w:vAlign w:val="center"/>
            <w:shd w:fill="FFFFFF"/>
          </w:tcPr>
          <w:p>
            <w:r/>
            <w:r>
              <w:rPr>
                <w:b w:val="0"/>
                <w:sz w:val="13"/>
              </w:rPr>
              <w:t>3 kg/day strand regrowth target</w:t>
            </w:r>
          </w:p>
        </w:tc>
        <w:tc>
          <w:tcPr>
            <w:tcW w:type="dxa" w:w="1104"/>
            <w:vAlign w:val="center"/>
            <w:shd w:fill="FFFFFF"/>
          </w:tcPr>
          <w:p>
            <w:r/>
            <w:r>
              <w:rPr>
                <w:b w:val="0"/>
                <w:sz w:val="13"/>
              </w:rPr>
              <w:t>partition divergence and bridge-node capture</w:t>
            </w:r>
          </w:p>
        </w:tc>
      </w:tr>
      <w:tr>
        <w:tc>
          <w:tcPr>
            <w:tcW w:type="dxa" w:w="1104"/>
            <w:vAlign w:val="center"/>
            <w:shd w:fill="F3F6F8"/>
          </w:tcPr>
          <w:p>
            <w:r/>
            <w:r>
              <w:rPr>
                <w:b w:val="0"/>
                <w:sz w:val="13"/>
              </w:rPr>
              <w:t>COP-D</w:t>
            </w:r>
          </w:p>
        </w:tc>
        <w:tc>
          <w:tcPr>
            <w:tcW w:type="dxa" w:w="1104"/>
            <w:vAlign w:val="center"/>
            <w:shd w:fill="F3F6F8"/>
          </w:tcPr>
          <w:p>
            <w:r/>
            <w:r>
              <w:rPr>
                <w:b w:val="0"/>
                <w:sz w:val="13"/>
              </w:rPr>
              <w:t>Phase-Core Mantle</w:t>
            </w:r>
          </w:p>
        </w:tc>
        <w:tc>
          <w:tcPr>
            <w:tcW w:type="dxa" w:w="1104"/>
            <w:vAlign w:val="center"/>
            <w:shd w:fill="F3F6F8"/>
          </w:tcPr>
          <w:p>
            <w:r/>
            <w:r>
              <w:rPr>
                <w:b w:val="0"/>
                <w:sz w:val="13"/>
              </w:rPr>
              <w:t>120 W active; 8 W refuge</w:t>
            </w:r>
          </w:p>
        </w:tc>
        <w:tc>
          <w:tcPr>
            <w:tcW w:type="dxa" w:w="1104"/>
            <w:vAlign w:val="center"/>
            <w:shd w:fill="F3F6F8"/>
          </w:tcPr>
          <w:p>
            <w:r/>
            <w:r>
              <w:rPr>
                <w:b w:val="0"/>
                <w:sz w:val="13"/>
              </w:rPr>
              <w:t>5.5 kWh chemical reserve</w:t>
            </w:r>
          </w:p>
        </w:tc>
        <w:tc>
          <w:tcPr>
            <w:tcW w:type="dxa" w:w="1104"/>
            <w:vAlign w:val="center"/>
            <w:shd w:fill="F3F6F8"/>
          </w:tcPr>
          <w:p>
            <w:r/>
            <w:r>
              <w:rPr>
                <w:b w:val="0"/>
                <w:sz w:val="13"/>
              </w:rPr>
              <w:t>45.8 h active; 28.6 d refuge</w:t>
            </w:r>
          </w:p>
        </w:tc>
        <w:tc>
          <w:tcPr>
            <w:tcW w:type="dxa" w:w="1104"/>
            <w:vAlign w:val="center"/>
            <w:shd w:fill="F3F6F8"/>
          </w:tcPr>
          <w:p>
            <w:r/>
            <w:r>
              <w:rPr>
                <w:b w:val="0"/>
                <w:sz w:val="13"/>
              </w:rPr>
              <w:t>2.4 MJ latent storage</w:t>
            </w:r>
          </w:p>
        </w:tc>
        <w:tc>
          <w:tcPr>
            <w:tcW w:type="dxa" w:w="1104"/>
            <w:vAlign w:val="center"/>
            <w:shd w:fill="F3F6F8"/>
          </w:tcPr>
          <w:p>
            <w:r/>
            <w:r>
              <w:rPr>
                <w:b w:val="0"/>
                <w:sz w:val="13"/>
              </w:rPr>
              <w:t>5.6 h at 120 W</w:t>
            </w:r>
          </w:p>
        </w:tc>
        <w:tc>
          <w:tcPr>
            <w:tcW w:type="dxa" w:w="1104"/>
            <w:vAlign w:val="center"/>
            <w:shd w:fill="F3F6F8"/>
          </w:tcPr>
          <w:p>
            <w:r/>
            <w:r>
              <w:rPr>
                <w:b w:val="0"/>
                <w:sz w:val="13"/>
              </w:rPr>
              <w:t>2 kg/day capsule exchange target</w:t>
            </w:r>
          </w:p>
        </w:tc>
        <w:tc>
          <w:tcPr>
            <w:tcW w:type="dxa" w:w="1104"/>
            <w:vAlign w:val="center"/>
            <w:shd w:fill="F3F6F8"/>
          </w:tcPr>
          <w:p>
            <w:r/>
            <w:r>
              <w:rPr>
                <w:b w:val="0"/>
                <w:sz w:val="13"/>
              </w:rPr>
              <w:t>rewarming injury and finite phase capacity</w:t>
            </w:r>
          </w:p>
        </w:tc>
      </w:tr>
      <w:tr>
        <w:tc>
          <w:tcPr>
            <w:tcW w:type="dxa" w:w="1104"/>
            <w:vAlign w:val="center"/>
            <w:shd w:fill="FFFFFF"/>
          </w:tcPr>
          <w:p>
            <w:r/>
            <w:r>
              <w:rPr>
                <w:b w:val="0"/>
                <w:sz w:val="13"/>
              </w:rPr>
              <w:t>COP-E</w:t>
            </w:r>
          </w:p>
        </w:tc>
        <w:tc>
          <w:tcPr>
            <w:tcW w:type="dxa" w:w="1104"/>
            <w:vAlign w:val="center"/>
            <w:shd w:fill="FFFFFF"/>
          </w:tcPr>
          <w:p>
            <w:r/>
            <w:r>
              <w:rPr>
                <w:b w:val="0"/>
                <w:sz w:val="13"/>
              </w:rPr>
              <w:t>Archive Swarm</w:t>
            </w:r>
          </w:p>
        </w:tc>
        <w:tc>
          <w:tcPr>
            <w:tcW w:type="dxa" w:w="1104"/>
            <w:vAlign w:val="center"/>
            <w:shd w:fill="FFFFFF"/>
          </w:tcPr>
          <w:p>
            <w:r/>
            <w:r>
              <w:rPr>
                <w:b w:val="0"/>
                <w:sz w:val="13"/>
              </w:rPr>
              <w:t>105 W aggregate; 6 W refuge quorum</w:t>
            </w:r>
          </w:p>
        </w:tc>
        <w:tc>
          <w:tcPr>
            <w:tcW w:type="dxa" w:w="1104"/>
            <w:vAlign w:val="center"/>
            <w:shd w:fill="FFFFFF"/>
          </w:tcPr>
          <w:p>
            <w:r/>
            <w:r>
              <w:rPr>
                <w:b w:val="0"/>
                <w:sz w:val="13"/>
              </w:rPr>
              <w:t>4.5 kWh aggregate reserve</w:t>
            </w:r>
          </w:p>
        </w:tc>
        <w:tc>
          <w:tcPr>
            <w:tcW w:type="dxa" w:w="1104"/>
            <w:vAlign w:val="center"/>
            <w:shd w:fill="FFFFFF"/>
          </w:tcPr>
          <w:p>
            <w:r/>
            <w:r>
              <w:rPr>
                <w:b w:val="0"/>
                <w:sz w:val="13"/>
              </w:rPr>
              <w:t>42.9 h active; 31.3 d refuge</w:t>
            </w:r>
          </w:p>
        </w:tc>
        <w:tc>
          <w:tcPr>
            <w:tcW w:type="dxa" w:w="1104"/>
            <w:vAlign w:val="center"/>
            <w:shd w:fill="FFFFFF"/>
          </w:tcPr>
          <w:p>
            <w:r/>
            <w:r>
              <w:rPr>
                <w:b w:val="0"/>
                <w:sz w:val="13"/>
              </w:rPr>
              <w:t>0.5 MJ aggregate local storage</w:t>
            </w:r>
          </w:p>
        </w:tc>
        <w:tc>
          <w:tcPr>
            <w:tcW w:type="dxa" w:w="1104"/>
            <w:vAlign w:val="center"/>
            <w:shd w:fill="FFFFFF"/>
          </w:tcPr>
          <w:p>
            <w:r/>
            <w:r>
              <w:rPr>
                <w:b w:val="0"/>
                <w:sz w:val="13"/>
              </w:rPr>
              <w:t>1.3 h at 105 W if all confined together</w:t>
            </w:r>
          </w:p>
        </w:tc>
        <w:tc>
          <w:tcPr>
            <w:tcW w:type="dxa" w:w="1104"/>
            <w:vAlign w:val="center"/>
            <w:shd w:fill="FFFFFF"/>
          </w:tcPr>
          <w:p>
            <w:r/>
            <w:r>
              <w:rPr>
                <w:b w:val="0"/>
                <w:sz w:val="13"/>
              </w:rPr>
              <w:t>5 kg/day foundry throughput target</w:t>
            </w:r>
          </w:p>
        </w:tc>
        <w:tc>
          <w:tcPr>
            <w:tcW w:type="dxa" w:w="1104"/>
            <w:vAlign w:val="center"/>
            <w:shd w:fill="FFFFFF"/>
          </w:tcPr>
          <w:p>
            <w:r/>
            <w:r>
              <w:rPr>
                <w:b w:val="0"/>
                <w:sz w:val="13"/>
              </w:rPr>
              <w:t>gradual quorum capture and split identity</w:t>
            </w:r>
          </w:p>
        </w:tc>
      </w:tr>
      <w:tr>
        <w:tc>
          <w:tcPr>
            <w:tcW w:type="dxa" w:w="1104"/>
            <w:vAlign w:val="center"/>
            <w:shd w:fill="F3F6F8"/>
          </w:tcPr>
          <w:p>
            <w:r/>
            <w:r>
              <w:rPr>
                <w:b w:val="0"/>
                <w:sz w:val="13"/>
              </w:rPr>
              <w:t>COP-F</w:t>
            </w:r>
          </w:p>
        </w:tc>
        <w:tc>
          <w:tcPr>
            <w:tcW w:type="dxa" w:w="1104"/>
            <w:vAlign w:val="center"/>
            <w:shd w:fill="F3F6F8"/>
          </w:tcPr>
          <w:p>
            <w:r/>
            <w:r>
              <w:rPr>
                <w:b w:val="0"/>
                <w:sz w:val="13"/>
              </w:rPr>
              <w:t>Electrogenic Reef</w:t>
            </w:r>
          </w:p>
        </w:tc>
        <w:tc>
          <w:tcPr>
            <w:tcW w:type="dxa" w:w="1104"/>
            <w:vAlign w:val="center"/>
            <w:shd w:fill="F3F6F8"/>
          </w:tcPr>
          <w:p>
            <w:r/>
            <w:r>
              <w:rPr>
                <w:b w:val="0"/>
                <w:sz w:val="13"/>
              </w:rPr>
              <w:t>150 W active; 15 W refuge</w:t>
            </w:r>
          </w:p>
        </w:tc>
        <w:tc>
          <w:tcPr>
            <w:tcW w:type="dxa" w:w="1104"/>
            <w:vAlign w:val="center"/>
            <w:shd w:fill="F3F6F8"/>
          </w:tcPr>
          <w:p>
            <w:r/>
            <w:r>
              <w:rPr>
                <w:b w:val="0"/>
                <w:sz w:val="13"/>
              </w:rPr>
              <w:t>6 kWh reserve plus harvesting</w:t>
            </w:r>
          </w:p>
        </w:tc>
        <w:tc>
          <w:tcPr>
            <w:tcW w:type="dxa" w:w="1104"/>
            <w:vAlign w:val="center"/>
            <w:shd w:fill="F3F6F8"/>
          </w:tcPr>
          <w:p>
            <w:r/>
            <w:r>
              <w:rPr>
                <w:b w:val="0"/>
                <w:sz w:val="13"/>
              </w:rPr>
              <w:t>40 h without harvesting; 16.7 d refuge</w:t>
            </w:r>
          </w:p>
        </w:tc>
        <w:tc>
          <w:tcPr>
            <w:tcW w:type="dxa" w:w="1104"/>
            <w:vAlign w:val="center"/>
            <w:shd w:fill="F3F6F8"/>
          </w:tcPr>
          <w:p>
            <w:r/>
            <w:r>
              <w:rPr>
                <w:b w:val="0"/>
                <w:sz w:val="13"/>
              </w:rPr>
              <w:t>1.0 MJ thermal storage</w:t>
            </w:r>
          </w:p>
        </w:tc>
        <w:tc>
          <w:tcPr>
            <w:tcW w:type="dxa" w:w="1104"/>
            <w:vAlign w:val="center"/>
            <w:shd w:fill="F3F6F8"/>
          </w:tcPr>
          <w:p>
            <w:r/>
            <w:r>
              <w:rPr>
                <w:b w:val="0"/>
                <w:sz w:val="13"/>
              </w:rPr>
              <w:t>1.9 h at 150 W</w:t>
            </w:r>
          </w:p>
        </w:tc>
        <w:tc>
          <w:tcPr>
            <w:tcW w:type="dxa" w:w="1104"/>
            <w:vAlign w:val="center"/>
            <w:shd w:fill="F3F6F8"/>
          </w:tcPr>
          <w:p>
            <w:r/>
            <w:r>
              <w:rPr>
                <w:b w:val="0"/>
                <w:sz w:val="13"/>
              </w:rPr>
              <w:t>3 kg/day vascular repair target</w:t>
            </w:r>
          </w:p>
        </w:tc>
        <w:tc>
          <w:tcPr>
            <w:tcW w:type="dxa" w:w="1104"/>
            <w:vAlign w:val="center"/>
            <w:shd w:fill="F3F6F8"/>
          </w:tcPr>
          <w:p>
            <w:r/>
            <w:r>
              <w:rPr>
                <w:b w:val="0"/>
                <w:sz w:val="13"/>
              </w:rPr>
              <w:t>sterile energy environment and conductive poisoning</w:t>
            </w:r>
          </w:p>
        </w:tc>
      </w:tr>
      <w:tr>
        <w:tc>
          <w:tcPr>
            <w:tcW w:type="dxa" w:w="1104"/>
            <w:vAlign w:val="center"/>
            <w:shd w:fill="FFFFFF"/>
          </w:tcPr>
          <w:p>
            <w:r/>
            <w:r>
              <w:rPr>
                <w:b w:val="0"/>
                <w:sz w:val="13"/>
              </w:rPr>
              <w:t>COP-G</w:t>
            </w:r>
          </w:p>
        </w:tc>
        <w:tc>
          <w:tcPr>
            <w:tcW w:type="dxa" w:w="1104"/>
            <w:vAlign w:val="center"/>
            <w:shd w:fill="FFFFFF"/>
          </w:tcPr>
          <w:p>
            <w:r/>
            <w:r>
              <w:rPr>
                <w:b w:val="0"/>
                <w:sz w:val="13"/>
              </w:rPr>
              <w:t>Chrysalis Ledger</w:t>
            </w:r>
          </w:p>
        </w:tc>
        <w:tc>
          <w:tcPr>
            <w:tcW w:type="dxa" w:w="1104"/>
            <w:vAlign w:val="center"/>
            <w:shd w:fill="FFFFFF"/>
          </w:tcPr>
          <w:p>
            <w:r/>
            <w:r>
              <w:rPr>
                <w:b w:val="0"/>
                <w:sz w:val="13"/>
              </w:rPr>
              <w:t>80 W active; 0.2 W dormant</w:t>
            </w:r>
          </w:p>
        </w:tc>
        <w:tc>
          <w:tcPr>
            <w:tcW w:type="dxa" w:w="1104"/>
            <w:vAlign w:val="center"/>
            <w:shd w:fill="FFFFFF"/>
          </w:tcPr>
          <w:p>
            <w:r/>
            <w:r>
              <w:rPr>
                <w:b w:val="0"/>
                <w:sz w:val="13"/>
              </w:rPr>
              <w:t>6 kWh reserve</w:t>
            </w:r>
          </w:p>
        </w:tc>
        <w:tc>
          <w:tcPr>
            <w:tcW w:type="dxa" w:w="1104"/>
            <w:vAlign w:val="center"/>
            <w:shd w:fill="FFFFFF"/>
          </w:tcPr>
          <w:p>
            <w:r/>
            <w:r>
              <w:rPr>
                <w:b w:val="0"/>
                <w:sz w:val="13"/>
              </w:rPr>
              <w:t>75 h active; 1250 d dormant arithmetic ceiling</w:t>
            </w:r>
          </w:p>
        </w:tc>
        <w:tc>
          <w:tcPr>
            <w:tcW w:type="dxa" w:w="1104"/>
            <w:vAlign w:val="center"/>
            <w:shd w:fill="FFFFFF"/>
          </w:tcPr>
          <w:p>
            <w:r/>
            <w:r>
              <w:rPr>
                <w:b w:val="0"/>
                <w:sz w:val="13"/>
              </w:rPr>
              <w:t>1.2 MJ transition buffer</w:t>
            </w:r>
          </w:p>
        </w:tc>
        <w:tc>
          <w:tcPr>
            <w:tcW w:type="dxa" w:w="1104"/>
            <w:vAlign w:val="center"/>
            <w:shd w:fill="FFFFFF"/>
          </w:tcPr>
          <w:p>
            <w:r/>
            <w:r>
              <w:rPr>
                <w:b w:val="0"/>
                <w:sz w:val="13"/>
              </w:rPr>
              <w:t>4.2 h at 80 W before dormancy</w:t>
            </w:r>
          </w:p>
        </w:tc>
        <w:tc>
          <w:tcPr>
            <w:tcW w:type="dxa" w:w="1104"/>
            <w:vAlign w:val="center"/>
            <w:shd w:fill="FFFFFF"/>
          </w:tcPr>
          <w:p>
            <w:r/>
            <w:r>
              <w:rPr>
                <w:b w:val="0"/>
                <w:sz w:val="13"/>
              </w:rPr>
              <w:t>1 kg/day wake-stage repair target</w:t>
            </w:r>
          </w:p>
        </w:tc>
        <w:tc>
          <w:tcPr>
            <w:tcW w:type="dxa" w:w="1104"/>
            <w:vAlign w:val="center"/>
            <w:shd w:fill="FFFFFF"/>
          </w:tcPr>
          <w:p>
            <w:r/>
            <w:r>
              <w:rPr>
                <w:b w:val="0"/>
                <w:sz w:val="13"/>
              </w:rPr>
              <w:t>wake failure and false wake environment</w:t>
            </w:r>
          </w:p>
        </w:tc>
      </w:tr>
      <w:tr>
        <w:tc>
          <w:tcPr>
            <w:tcW w:type="dxa" w:w="1104"/>
            <w:vAlign w:val="center"/>
            <w:shd w:fill="F3F6F8"/>
          </w:tcPr>
          <w:p>
            <w:r/>
            <w:r>
              <w:rPr>
                <w:b w:val="0"/>
                <w:sz w:val="13"/>
              </w:rPr>
              <w:t>COP-H</w:t>
            </w:r>
          </w:p>
        </w:tc>
        <w:tc>
          <w:tcPr>
            <w:tcW w:type="dxa" w:w="1104"/>
            <w:vAlign w:val="center"/>
            <w:shd w:fill="F3F6F8"/>
          </w:tcPr>
          <w:p>
            <w:r/>
            <w:r>
              <w:rPr>
                <w:b w:val="0"/>
                <w:sz w:val="13"/>
              </w:rPr>
              <w:t>Axiom Shell</w:t>
            </w:r>
          </w:p>
        </w:tc>
        <w:tc>
          <w:tcPr>
            <w:tcW w:type="dxa" w:w="1104"/>
            <w:vAlign w:val="center"/>
            <w:shd w:fill="F3F6F8"/>
          </w:tcPr>
          <w:p>
            <w:r/>
            <w:r>
              <w:rPr>
                <w:b w:val="0"/>
                <w:sz w:val="13"/>
              </w:rPr>
              <w:t>125 W physical active; 10 W refuge</w:t>
            </w:r>
          </w:p>
        </w:tc>
        <w:tc>
          <w:tcPr>
            <w:tcW w:type="dxa" w:w="1104"/>
            <w:vAlign w:val="center"/>
            <w:shd w:fill="F3F6F8"/>
          </w:tcPr>
          <w:p>
            <w:r/>
            <w:r>
              <w:rPr>
                <w:b w:val="0"/>
                <w:sz w:val="13"/>
              </w:rPr>
              <w:t>5 kWh physical reserve</w:t>
            </w:r>
          </w:p>
        </w:tc>
        <w:tc>
          <w:tcPr>
            <w:tcW w:type="dxa" w:w="1104"/>
            <w:vAlign w:val="center"/>
            <w:shd w:fill="F3F6F8"/>
          </w:tcPr>
          <w:p>
            <w:r/>
            <w:r>
              <w:rPr>
                <w:b w:val="0"/>
                <w:sz w:val="13"/>
              </w:rPr>
              <w:t>40 h active; 20.8 d refuge</w:t>
            </w:r>
          </w:p>
        </w:tc>
        <w:tc>
          <w:tcPr>
            <w:tcW w:type="dxa" w:w="1104"/>
            <w:vAlign w:val="center"/>
            <w:shd w:fill="F3F6F8"/>
          </w:tcPr>
          <w:p>
            <w:r/>
            <w:r>
              <w:rPr>
                <w:b w:val="0"/>
                <w:sz w:val="13"/>
              </w:rPr>
              <w:t>0.9 MJ thermal storage</w:t>
            </w:r>
          </w:p>
        </w:tc>
        <w:tc>
          <w:tcPr>
            <w:tcW w:type="dxa" w:w="1104"/>
            <w:vAlign w:val="center"/>
            <w:shd w:fill="F3F6F8"/>
          </w:tcPr>
          <w:p>
            <w:r/>
            <w:r>
              <w:rPr>
                <w:b w:val="0"/>
                <w:sz w:val="13"/>
              </w:rPr>
              <w:t>2.0 h at 125 W</w:t>
            </w:r>
          </w:p>
        </w:tc>
        <w:tc>
          <w:tcPr>
            <w:tcW w:type="dxa" w:w="1104"/>
            <w:vAlign w:val="center"/>
            <w:shd w:fill="F3F6F8"/>
          </w:tcPr>
          <w:p>
            <w:r/>
            <w:r>
              <w:rPr>
                <w:b w:val="0"/>
                <w:sz w:val="13"/>
              </w:rPr>
              <w:t>3 kg/day physical repair target</w:t>
            </w:r>
          </w:p>
        </w:tc>
        <w:tc>
          <w:tcPr>
            <w:tcW w:type="dxa" w:w="1104"/>
            <w:vAlign w:val="center"/>
            <w:shd w:fill="F3F6F8"/>
          </w:tcPr>
          <w:p>
            <w:r/>
            <w:r>
              <w:rPr>
                <w:b w:val="0"/>
                <w:sz w:val="13"/>
              </w:rPr>
              <w:t>canon loophole and continuity ambiguity</w:t>
            </w:r>
          </w:p>
        </w:tc>
      </w:tr>
    </w:tbl>
    <w:p/>
    <w:p>
      <w:pPr>
        <w:pStyle w:val="Heading2"/>
        <w:keepNext/>
      </w:pPr>
      <w:r>
        <w:t>Exhibit A2. Remediation Change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sz w:val="16"/>
              </w:rPr>
              <w:t>Change</w:t>
            </w:r>
          </w:p>
        </w:tc>
        <w:tc>
          <w:tcPr>
            <w:tcW w:type="dxa" w:w="2484"/>
            <w:vAlign w:val="center"/>
            <w:shd w:fill="17365D"/>
          </w:tcPr>
          <w:p>
            <w:r/>
            <w:r>
              <w:rPr>
                <w:b/>
                <w:color w:val="FFFFFF"/>
                <w:sz w:val="16"/>
              </w:rPr>
              <w:t>Baseline status</w:t>
            </w:r>
          </w:p>
        </w:tc>
        <w:tc>
          <w:tcPr>
            <w:tcW w:type="dxa" w:w="2484"/>
            <w:vAlign w:val="center"/>
            <w:shd w:fill="17365D"/>
          </w:tcPr>
          <w:p>
            <w:r/>
            <w:r>
              <w:rPr>
                <w:b/>
                <w:color w:val="FFFFFF"/>
                <w:sz w:val="16"/>
              </w:rPr>
              <w:t>Gen-1R treatment</w:t>
            </w:r>
          </w:p>
        </w:tc>
        <w:tc>
          <w:tcPr>
            <w:tcW w:type="dxa" w:w="2484"/>
            <w:vAlign w:val="center"/>
            <w:shd w:fill="17365D"/>
          </w:tcPr>
          <w:p>
            <w:r/>
            <w:r>
              <w:rPr>
                <w:b/>
                <w:color w:val="FFFFFF"/>
                <w:sz w:val="16"/>
              </w:rPr>
              <w:t>Mechanism changed?</w:t>
            </w:r>
          </w:p>
        </w:tc>
      </w:tr>
      <w:tr>
        <w:tc>
          <w:tcPr>
            <w:tcW w:type="dxa" w:w="2484"/>
            <w:vAlign w:val="center"/>
            <w:shd w:fill="FFFFFF"/>
          </w:tcPr>
          <w:p>
            <w:r/>
            <w:r>
              <w:rPr>
                <w:b w:val="0"/>
                <w:sz w:val="14"/>
              </w:rPr>
              <w:t>Mosaic Covenant name collision</w:t>
            </w:r>
          </w:p>
        </w:tc>
        <w:tc>
          <w:tcPr>
            <w:tcW w:type="dxa" w:w="2484"/>
            <w:vAlign w:val="center"/>
            <w:shd w:fill="FFFFFF"/>
          </w:tcPr>
          <w:p>
            <w:r/>
            <w:r>
              <w:rPr>
                <w:b w:val="0"/>
                <w:sz w:val="14"/>
              </w:rPr>
              <w:t>Preserved exactly</w:t>
            </w:r>
          </w:p>
        </w:tc>
        <w:tc>
          <w:tcPr>
            <w:tcW w:type="dxa" w:w="2484"/>
            <w:vAlign w:val="center"/>
            <w:shd w:fill="FFFFFF"/>
          </w:tcPr>
          <w:p>
            <w:r/>
            <w:r>
              <w:rPr>
                <w:b w:val="0"/>
                <w:sz w:val="14"/>
              </w:rPr>
              <w:t>Display alias Guildweave Covenant; ID COP-A</w:t>
            </w:r>
          </w:p>
        </w:tc>
        <w:tc>
          <w:tcPr>
            <w:tcW w:type="dxa" w:w="2484"/>
            <w:vAlign w:val="center"/>
            <w:shd w:fill="FFFFFF"/>
          </w:tcPr>
          <w:p>
            <w:r/>
            <w:r>
              <w:rPr>
                <w:b w:val="0"/>
                <w:sz w:val="14"/>
              </w:rPr>
              <w:t>No</w:t>
            </w:r>
          </w:p>
        </w:tc>
      </w:tr>
      <w:tr>
        <w:tc>
          <w:tcPr>
            <w:tcW w:type="dxa" w:w="2484"/>
            <w:vAlign w:val="center"/>
            <w:shd w:fill="F3F6F8"/>
          </w:tcPr>
          <w:p>
            <w:r/>
            <w:r>
              <w:rPr>
                <w:b w:val="0"/>
                <w:sz w:val="14"/>
              </w:rPr>
              <w:t>No quantities with units</w:t>
            </w:r>
          </w:p>
        </w:tc>
        <w:tc>
          <w:tcPr>
            <w:tcW w:type="dxa" w:w="2484"/>
            <w:vAlign w:val="center"/>
            <w:shd w:fill="F3F6F8"/>
          </w:tcPr>
          <w:p>
            <w:r/>
            <w:r>
              <w:rPr>
                <w:b w:val="0"/>
                <w:sz w:val="14"/>
              </w:rPr>
              <w:t>Preserved as deficiency</w:t>
            </w:r>
          </w:p>
        </w:tc>
        <w:tc>
          <w:tcPr>
            <w:tcW w:type="dxa" w:w="2484"/>
            <w:vAlign w:val="center"/>
            <w:shd w:fill="F3F6F8"/>
          </w:tcPr>
          <w:p>
            <w:r/>
            <w:r>
              <w:rPr>
                <w:b w:val="0"/>
                <w:sz w:val="14"/>
              </w:rPr>
              <w:t>Parameterized targets, estimates, derived values, unknowns</w:t>
            </w:r>
          </w:p>
        </w:tc>
        <w:tc>
          <w:tcPr>
            <w:tcW w:type="dxa" w:w="2484"/>
            <w:vAlign w:val="center"/>
            <w:shd w:fill="F3F6F8"/>
          </w:tcPr>
          <w:p>
            <w:r/>
            <w:r>
              <w:rPr>
                <w:b w:val="0"/>
                <w:sz w:val="14"/>
              </w:rPr>
              <w:t>No</w:t>
            </w:r>
          </w:p>
        </w:tc>
      </w:tr>
      <w:tr>
        <w:tc>
          <w:tcPr>
            <w:tcW w:type="dxa" w:w="2484"/>
            <w:vAlign w:val="center"/>
            <w:shd w:fill="FFFFFF"/>
          </w:tcPr>
          <w:p>
            <w:r/>
            <w:r>
              <w:rPr>
                <w:b w:val="0"/>
                <w:sz w:val="14"/>
              </w:rPr>
              <w:t>Repeated architecture prose</w:t>
            </w:r>
          </w:p>
        </w:tc>
        <w:tc>
          <w:tcPr>
            <w:tcW w:type="dxa" w:w="2484"/>
            <w:vAlign w:val="center"/>
            <w:shd w:fill="FFFFFF"/>
          </w:tcPr>
          <w:p>
            <w:r/>
            <w:r>
              <w:rPr>
                <w:b w:val="0"/>
                <w:sz w:val="14"/>
              </w:rPr>
              <w:t>Preserved in baseline</w:t>
            </w:r>
          </w:p>
        </w:tc>
        <w:tc>
          <w:tcPr>
            <w:tcW w:type="dxa" w:w="2484"/>
            <w:vAlign w:val="center"/>
            <w:shd w:fill="FFFFFF"/>
          </w:tcPr>
          <w:p>
            <w:r/>
            <w:r>
              <w:rPr>
                <w:b w:val="0"/>
                <w:sz w:val="14"/>
              </w:rPr>
              <w:t>Architecture-specific narratives and attacks</w:t>
            </w:r>
          </w:p>
        </w:tc>
        <w:tc>
          <w:tcPr>
            <w:tcW w:type="dxa" w:w="2484"/>
            <w:vAlign w:val="center"/>
            <w:shd w:fill="FFFFFF"/>
          </w:tcPr>
          <w:p>
            <w:r/>
            <w:r>
              <w:rPr>
                <w:b w:val="0"/>
                <w:sz w:val="14"/>
              </w:rPr>
              <w:t>No</w:t>
            </w:r>
          </w:p>
        </w:tc>
      </w:tr>
      <w:tr>
        <w:tc>
          <w:tcPr>
            <w:tcW w:type="dxa" w:w="2484"/>
            <w:vAlign w:val="center"/>
            <w:shd w:fill="F3F6F8"/>
          </w:tcPr>
          <w:p>
            <w:r/>
            <w:r>
              <w:rPr>
                <w:b w:val="0"/>
                <w:sz w:val="14"/>
              </w:rPr>
              <w:t>Generic appendix labels</w:t>
            </w:r>
          </w:p>
        </w:tc>
        <w:tc>
          <w:tcPr>
            <w:tcW w:type="dxa" w:w="2484"/>
            <w:vAlign w:val="center"/>
            <w:shd w:fill="F3F6F8"/>
          </w:tcPr>
          <w:p>
            <w:r/>
            <w:r>
              <w:rPr>
                <w:b w:val="0"/>
                <w:sz w:val="14"/>
              </w:rPr>
              <w:t>Preserved in v1.1</w:t>
            </w:r>
          </w:p>
        </w:tc>
        <w:tc>
          <w:tcPr>
            <w:tcW w:type="dxa" w:w="2484"/>
            <w:vAlign w:val="center"/>
            <w:shd w:fill="F3F6F8"/>
          </w:tcPr>
          <w:p>
            <w:r/>
            <w:r>
              <w:rPr>
                <w:b w:val="0"/>
                <w:sz w:val="14"/>
              </w:rPr>
              <w:t>Meaningful exhibit names</w:t>
            </w:r>
          </w:p>
        </w:tc>
        <w:tc>
          <w:tcPr>
            <w:tcW w:type="dxa" w:w="2484"/>
            <w:vAlign w:val="center"/>
            <w:shd w:fill="F3F6F8"/>
          </w:tcPr>
          <w:p>
            <w:r/>
            <w:r>
              <w:rPr>
                <w:b w:val="0"/>
                <w:sz w:val="14"/>
              </w:rPr>
              <w:t>No</w:t>
            </w:r>
          </w:p>
        </w:tc>
      </w:tr>
      <w:tr>
        <w:tc>
          <w:tcPr>
            <w:tcW w:type="dxa" w:w="2484"/>
            <w:vAlign w:val="center"/>
            <w:shd w:fill="FFFFFF"/>
          </w:tcPr>
          <w:p>
            <w:r/>
            <w:r>
              <w:rPr>
                <w:b w:val="0"/>
                <w:sz w:val="14"/>
              </w:rPr>
              <w:t>Version label mismatch</w:t>
            </w:r>
          </w:p>
        </w:tc>
        <w:tc>
          <w:tcPr>
            <w:tcW w:type="dxa" w:w="2484"/>
            <w:vAlign w:val="center"/>
            <w:shd w:fill="FFFFFF"/>
          </w:tcPr>
          <w:p>
            <w:r/>
            <w:r>
              <w:rPr>
                <w:b w:val="0"/>
                <w:sz w:val="14"/>
              </w:rPr>
              <w:t>Preserved in v1.1</w:t>
            </w:r>
          </w:p>
        </w:tc>
        <w:tc>
          <w:tcPr>
            <w:tcW w:type="dxa" w:w="2484"/>
            <w:vAlign w:val="center"/>
            <w:shd w:fill="FFFFFF"/>
          </w:tcPr>
          <w:p>
            <w:r/>
            <w:r>
              <w:rPr>
                <w:b w:val="0"/>
                <w:sz w:val="14"/>
              </w:rPr>
              <w:t>Correct v2.0 label</w:t>
            </w:r>
          </w:p>
        </w:tc>
        <w:tc>
          <w:tcPr>
            <w:tcW w:type="dxa" w:w="2484"/>
            <w:vAlign w:val="center"/>
            <w:shd w:fill="FFFFFF"/>
          </w:tcPr>
          <w:p>
            <w:r/>
            <w:r>
              <w:rPr>
                <w:b w:val="0"/>
                <w:sz w:val="14"/>
              </w:rPr>
              <w:t>No</w:t>
            </w:r>
          </w:p>
        </w:tc>
      </w:tr>
      <w:tr>
        <w:tc>
          <w:tcPr>
            <w:tcW w:type="dxa" w:w="2484"/>
            <w:vAlign w:val="center"/>
            <w:shd w:fill="F3F6F8"/>
          </w:tcPr>
          <w:p>
            <w:r/>
            <w:r>
              <w:rPr>
                <w:b w:val="0"/>
                <w:sz w:val="14"/>
              </w:rPr>
              <w:t>Common attack outcomes</w:t>
            </w:r>
          </w:p>
        </w:tc>
        <w:tc>
          <w:tcPr>
            <w:tcW w:type="dxa" w:w="2484"/>
            <w:vAlign w:val="center"/>
            <w:shd w:fill="F3F6F8"/>
          </w:tcPr>
          <w:p>
            <w:r/>
            <w:r>
              <w:rPr>
                <w:b w:val="0"/>
                <w:sz w:val="14"/>
              </w:rPr>
              <w:t>Preserved in baseline</w:t>
            </w:r>
          </w:p>
        </w:tc>
        <w:tc>
          <w:tcPr>
            <w:tcW w:type="dxa" w:w="2484"/>
            <w:vAlign w:val="center"/>
            <w:shd w:fill="F3F6F8"/>
          </w:tcPr>
          <w:p>
            <w:r/>
            <w:r>
              <w:rPr>
                <w:b w:val="0"/>
                <w:sz w:val="14"/>
              </w:rPr>
              <w:t>Architecture-specific threat mechanisms</w:t>
            </w:r>
          </w:p>
        </w:tc>
        <w:tc>
          <w:tcPr>
            <w:tcW w:type="dxa" w:w="2484"/>
            <w:vAlign w:val="center"/>
            <w:shd w:fill="F3F6F8"/>
          </w:tcPr>
          <w:p>
            <w:r/>
            <w:r>
              <w:rPr>
                <w:b w:val="0"/>
                <w:sz w:val="14"/>
              </w:rPr>
              <w:t>No</w:t>
            </w:r>
          </w:p>
        </w:tc>
      </w:tr>
    </w:tbl>
    <w:p/>
    <w:p>
      <w:pPr>
        <w:pStyle w:val="Heading2"/>
        <w:keepNext/>
      </w:pPr>
      <w:r>
        <w:t>Exhibit A3. Position Matrix - Conflict Preserved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sz w:val="16"/>
              </w:rPr>
              <w:t>Issue</w:t>
            </w:r>
          </w:p>
        </w:tc>
        <w:tc>
          <w:tcPr>
            <w:tcW w:type="dxa" w:w="2484"/>
            <w:vAlign w:val="center"/>
            <w:shd w:fill="17365D"/>
          </w:tcPr>
          <w:p>
            <w:r/>
            <w:r>
              <w:rPr>
                <w:b/>
                <w:color w:val="FFFFFF"/>
                <w:sz w:val="16"/>
              </w:rPr>
              <w:t>Copilot position</w:t>
            </w:r>
          </w:p>
        </w:tc>
        <w:tc>
          <w:tcPr>
            <w:tcW w:type="dxa" w:w="2484"/>
            <w:vAlign w:val="center"/>
            <w:shd w:fill="17365D"/>
          </w:tcPr>
          <w:p>
            <w:r/>
            <w:r>
              <w:rPr>
                <w:b/>
                <w:color w:val="FFFFFF"/>
                <w:sz w:val="16"/>
              </w:rPr>
              <w:t>Alternative position retained</w:t>
            </w:r>
          </w:p>
        </w:tc>
        <w:tc>
          <w:tcPr>
            <w:tcW w:type="dxa" w:w="2484"/>
            <w:vAlign w:val="center"/>
            <w:shd w:fill="17365D"/>
          </w:tcPr>
          <w:p>
            <w:r/>
            <w:r>
              <w:rPr>
                <w:b/>
                <w:color w:val="FFFFFF"/>
                <w:sz w:val="16"/>
              </w:rPr>
              <w:t>Resolution status</w:t>
            </w:r>
          </w:p>
        </w:tc>
      </w:tr>
      <w:tr>
        <w:tc>
          <w:tcPr>
            <w:tcW w:type="dxa" w:w="2484"/>
            <w:vAlign w:val="center"/>
            <w:shd w:fill="FFFFFF"/>
          </w:tcPr>
          <w:p>
            <w:r/>
            <w:r>
              <w:rPr>
                <w:b w:val="0"/>
                <w:sz w:val="14"/>
              </w:rPr>
              <w:t>Omni-cell</w:t>
            </w:r>
          </w:p>
        </w:tc>
        <w:tc>
          <w:tcPr>
            <w:tcW w:type="dxa" w:w="2484"/>
            <w:vAlign w:val="center"/>
            <w:shd w:fill="FFFFFF"/>
          </w:tcPr>
          <w:p>
            <w:r/>
            <w:r>
              <w:rPr>
                <w:b w:val="0"/>
                <w:sz w:val="14"/>
              </w:rPr>
              <w:t>Microscopic constitutional cell</w:t>
            </w:r>
          </w:p>
        </w:tc>
        <w:tc>
          <w:tcPr>
            <w:tcW w:type="dxa" w:w="2484"/>
            <w:vAlign w:val="center"/>
            <w:shd w:fill="FFFFFF"/>
          </w:tcPr>
          <w:p>
            <w:r/>
            <w:r>
              <w:rPr>
                <w:b w:val="0"/>
                <w:sz w:val="14"/>
              </w:rPr>
              <w:t>Mesoscale and macro-module equivalents</w:t>
            </w:r>
          </w:p>
        </w:tc>
        <w:tc>
          <w:tcPr>
            <w:tcW w:type="dxa" w:w="2484"/>
            <w:vAlign w:val="center"/>
            <w:shd w:fill="FFFFFF"/>
          </w:tcPr>
          <w:p>
            <w:r/>
            <w:r>
              <w:rPr>
                <w:b w:val="0"/>
                <w:sz w:val="14"/>
              </w:rPr>
              <w:t>Open</w:t>
            </w:r>
          </w:p>
        </w:tc>
      </w:tr>
      <w:tr>
        <w:tc>
          <w:tcPr>
            <w:tcW w:type="dxa" w:w="2484"/>
            <w:vAlign w:val="center"/>
            <w:shd w:fill="F3F6F8"/>
          </w:tcPr>
          <w:p>
            <w:r/>
            <w:r>
              <w:rPr>
                <w:b w:val="0"/>
                <w:sz w:val="14"/>
              </w:rPr>
              <w:t>4,712</w:t>
            </w:r>
          </w:p>
        </w:tc>
        <w:tc>
          <w:tcPr>
            <w:tcW w:type="dxa" w:w="2484"/>
            <w:vAlign w:val="center"/>
            <w:shd w:fill="F3F6F8"/>
          </w:tcPr>
          <w:p>
            <w:r/>
            <w:r>
              <w:rPr>
                <w:b w:val="0"/>
                <w:sz w:val="14"/>
              </w:rPr>
              <w:t>Locked record; current ranges unreconciled</w:t>
            </w:r>
          </w:p>
        </w:tc>
        <w:tc>
          <w:tcPr>
            <w:tcW w:type="dxa" w:w="2484"/>
            <w:vAlign w:val="center"/>
            <w:shd w:fill="F3F6F8"/>
          </w:tcPr>
          <w:p>
            <w:r/>
            <w:r>
              <w:rPr>
                <w:b w:val="0"/>
                <w:sz w:val="14"/>
              </w:rPr>
              <w:t>Raise ranges or create separate allocation</w:t>
            </w:r>
          </w:p>
        </w:tc>
        <w:tc>
          <w:tcPr>
            <w:tcW w:type="dxa" w:w="2484"/>
            <w:vAlign w:val="center"/>
            <w:shd w:fill="F3F6F8"/>
          </w:tcPr>
          <w:p>
            <w:r/>
            <w:r>
              <w:rPr>
                <w:b w:val="0"/>
                <w:sz w:val="14"/>
              </w:rPr>
              <w:t>Architect decision</w:t>
            </w:r>
          </w:p>
        </w:tc>
      </w:tr>
      <w:tr>
        <w:tc>
          <w:tcPr>
            <w:tcW w:type="dxa" w:w="2484"/>
            <w:vAlign w:val="center"/>
            <w:shd w:fill="FFFFFF"/>
          </w:tcPr>
          <w:p>
            <w:r/>
            <w:r>
              <w:rPr>
                <w:b w:val="0"/>
                <w:sz w:val="14"/>
              </w:rPr>
              <w:t>Remediation timing</w:t>
            </w:r>
          </w:p>
        </w:tc>
        <w:tc>
          <w:tcPr>
            <w:tcW w:type="dxa" w:w="2484"/>
            <w:vAlign w:val="center"/>
            <w:shd w:fill="FFFFFF"/>
          </w:tcPr>
          <w:p>
            <w:r/>
            <w:r>
              <w:rPr>
                <w:b w:val="0"/>
                <w:sz w:val="14"/>
              </w:rPr>
              <w:t>Proceed in parallel</w:t>
            </w:r>
          </w:p>
        </w:tc>
        <w:tc>
          <w:tcPr>
            <w:tcW w:type="dxa" w:w="2484"/>
            <w:vAlign w:val="center"/>
            <w:shd w:fill="FFFFFF"/>
          </w:tcPr>
          <w:p>
            <w:r/>
            <w:r>
              <w:rPr>
                <w:b w:val="0"/>
                <w:sz w:val="14"/>
              </w:rPr>
              <w:t>Normalize before further work</w:t>
            </w:r>
          </w:p>
        </w:tc>
        <w:tc>
          <w:tcPr>
            <w:tcW w:type="dxa" w:w="2484"/>
            <w:vAlign w:val="center"/>
            <w:shd w:fill="FFFFFF"/>
          </w:tcPr>
          <w:p>
            <w:r/>
            <w:r>
              <w:rPr>
                <w:b w:val="0"/>
                <w:sz w:val="14"/>
              </w:rPr>
              <w:t>Open</w:t>
            </w:r>
          </w:p>
        </w:tc>
      </w:tr>
      <w:tr>
        <w:tc>
          <w:tcPr>
            <w:tcW w:type="dxa" w:w="2484"/>
            <w:vAlign w:val="center"/>
            <w:shd w:fill="F3F6F8"/>
          </w:tcPr>
          <w:p>
            <w:r/>
            <w:r>
              <w:rPr>
                <w:b w:val="0"/>
                <w:sz w:val="14"/>
              </w:rPr>
              <w:t>Rules</w:t>
            </w:r>
          </w:p>
        </w:tc>
        <w:tc>
          <w:tcPr>
            <w:tcW w:type="dxa" w:w="2484"/>
            <w:vAlign w:val="center"/>
            <w:shd w:fill="F3F6F8"/>
          </w:tcPr>
          <w:p>
            <w:r/>
            <w:r>
              <w:rPr>
                <w:b w:val="0"/>
                <w:sz w:val="14"/>
              </w:rPr>
              <w:t>Per-family rules useful, shared constitution allowed</w:t>
            </w:r>
          </w:p>
        </w:tc>
        <w:tc>
          <w:tcPr>
            <w:tcW w:type="dxa" w:w="2484"/>
            <w:vAlign w:val="center"/>
            <w:shd w:fill="F3F6F8"/>
          </w:tcPr>
          <w:p>
            <w:r/>
            <w:r>
              <w:rPr>
                <w:b w:val="0"/>
                <w:sz w:val="14"/>
              </w:rPr>
              <w:t>Require all 24 per-family rules</w:t>
            </w:r>
          </w:p>
        </w:tc>
        <w:tc>
          <w:tcPr>
            <w:tcW w:type="dxa" w:w="2484"/>
            <w:vAlign w:val="center"/>
            <w:shd w:fill="F3F6F8"/>
          </w:tcPr>
          <w:p>
            <w:r/>
            <w:r>
              <w:rPr>
                <w:b w:val="0"/>
                <w:sz w:val="14"/>
              </w:rPr>
              <w:t>Open</w:t>
            </w:r>
          </w:p>
        </w:tc>
      </w:tr>
      <w:tr>
        <w:tc>
          <w:tcPr>
            <w:tcW w:type="dxa" w:w="2484"/>
            <w:vAlign w:val="center"/>
            <w:shd w:fill="FFFFFF"/>
          </w:tcPr>
          <w:p>
            <w:r/>
            <w:r>
              <w:rPr>
                <w:b w:val="0"/>
                <w:sz w:val="14"/>
              </w:rPr>
              <w:t>Benchmark</w:t>
            </w:r>
          </w:p>
        </w:tc>
        <w:tc>
          <w:tcPr>
            <w:tcW w:type="dxa" w:w="2484"/>
            <w:vAlign w:val="center"/>
            <w:shd w:fill="FFFFFF"/>
          </w:tcPr>
          <w:p>
            <w:r/>
            <w:r>
              <w:rPr>
                <w:b w:val="0"/>
                <w:sz w:val="14"/>
              </w:rPr>
              <w:t>Common layer plus mission-specific cases</w:t>
            </w:r>
          </w:p>
        </w:tc>
        <w:tc>
          <w:tcPr>
            <w:tcW w:type="dxa" w:w="2484"/>
            <w:vAlign w:val="center"/>
            <w:shd w:fill="FFFFFF"/>
          </w:tcPr>
          <w:p>
            <w:r/>
            <w:r>
              <w:rPr>
                <w:b w:val="0"/>
                <w:sz w:val="14"/>
              </w:rPr>
              <w:t>One shared mandatory benchmark</w:t>
            </w:r>
          </w:p>
        </w:tc>
        <w:tc>
          <w:tcPr>
            <w:tcW w:type="dxa" w:w="2484"/>
            <w:vAlign w:val="center"/>
            <w:shd w:fill="FFFFFF"/>
          </w:tcPr>
          <w:p>
            <w:r/>
            <w:r>
              <w:rPr>
                <w:b w:val="0"/>
                <w:sz w:val="14"/>
              </w:rPr>
              <w:t>Open</w:t>
            </w:r>
          </w:p>
        </w:tc>
      </w:tr>
      <w:tr>
        <w:tc>
          <w:tcPr>
            <w:tcW w:type="dxa" w:w="2484"/>
            <w:vAlign w:val="center"/>
            <w:shd w:fill="F3F6F8"/>
          </w:tcPr>
          <w:p>
            <w:r/>
            <w:r>
              <w:rPr>
                <w:b w:val="0"/>
                <w:sz w:val="14"/>
              </w:rPr>
              <w:t>Identity</w:t>
            </w:r>
          </w:p>
        </w:tc>
        <w:tc>
          <w:tcPr>
            <w:tcW w:type="dxa" w:w="2484"/>
            <w:vAlign w:val="center"/>
            <w:shd w:fill="F3F6F8"/>
          </w:tcPr>
          <w:p>
            <w:r/>
            <w:r>
              <w:rPr>
                <w:b w:val="0"/>
                <w:sz w:val="14"/>
              </w:rPr>
              <w:t>C0-C9 draft</w:t>
            </w:r>
          </w:p>
        </w:tc>
        <w:tc>
          <w:tcPr>
            <w:tcW w:type="dxa" w:w="2484"/>
            <w:vAlign w:val="center"/>
            <w:shd w:fill="F3F6F8"/>
          </w:tcPr>
          <w:p>
            <w:r/>
            <w:r>
              <w:rPr>
                <w:b w:val="0"/>
                <w:sz w:val="14"/>
              </w:rPr>
              <w:t>Alternative continuity theories</w:t>
            </w:r>
          </w:p>
        </w:tc>
        <w:tc>
          <w:tcPr>
            <w:tcW w:type="dxa" w:w="2484"/>
            <w:vAlign w:val="center"/>
            <w:shd w:fill="F3F6F8"/>
          </w:tcPr>
          <w:p>
            <w:r/>
            <w:r>
              <w:rPr>
                <w:b w:val="0"/>
                <w:sz w:val="14"/>
              </w:rPr>
              <w:t>Open</w:t>
            </w:r>
          </w:p>
        </w:tc>
      </w:tr>
      <w:tr>
        <w:tc>
          <w:tcPr>
            <w:tcW w:type="dxa" w:w="2484"/>
            <w:vAlign w:val="center"/>
            <w:shd w:fill="FFFFFF"/>
          </w:tcPr>
          <w:p>
            <w:r/>
            <w:r>
              <w:rPr>
                <w:b w:val="0"/>
                <w:sz w:val="14"/>
              </w:rPr>
              <w:t>Name collision</w:t>
            </w:r>
          </w:p>
        </w:tc>
        <w:tc>
          <w:tcPr>
            <w:tcW w:type="dxa" w:w="2484"/>
            <w:vAlign w:val="center"/>
            <w:shd w:fill="FFFFFF"/>
          </w:tcPr>
          <w:p>
            <w:r/>
            <w:r>
              <w:rPr>
                <w:b w:val="0"/>
                <w:sz w:val="14"/>
              </w:rPr>
              <w:t>Retain baseline; alias in remediation</w:t>
            </w:r>
          </w:p>
        </w:tc>
        <w:tc>
          <w:tcPr>
            <w:tcW w:type="dxa" w:w="2484"/>
            <w:vAlign w:val="center"/>
            <w:shd w:fill="FFFFFF"/>
          </w:tcPr>
          <w:p>
            <w:r/>
            <w:r>
              <w:rPr>
                <w:b w:val="0"/>
                <w:sz w:val="14"/>
              </w:rPr>
              <w:t>Never rename or fully retire name</w:t>
            </w:r>
          </w:p>
        </w:tc>
        <w:tc>
          <w:tcPr>
            <w:tcW w:type="dxa" w:w="2484"/>
            <w:vAlign w:val="center"/>
            <w:shd w:fill="FFFFFF"/>
          </w:tcPr>
          <w:p>
            <w:r/>
            <w:r>
              <w:rPr>
                <w:b w:val="0"/>
                <w:sz w:val="14"/>
              </w:rPr>
              <w:t>Provenance preserved</w:t>
            </w:r>
          </w:p>
        </w:tc>
      </w:tr>
    </w:tbl>
    <w:p/>
    <w:p>
      <w:pPr>
        <w:pStyle w:val="Heading2"/>
        <w:keepNext/>
      </w:pPr>
      <w:r>
        <w:t>Exhibit A4. Architecture-Specific Attack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sz w:val="16"/>
              </w:rPr>
              <w:t>ID</w:t>
            </w:r>
          </w:p>
        </w:tc>
        <w:tc>
          <w:tcPr>
            <w:tcW w:type="dxa" w:w="2484"/>
            <w:vAlign w:val="center"/>
            <w:shd w:fill="17365D"/>
          </w:tcPr>
          <w:p>
            <w:r/>
            <w:r>
              <w:rPr>
                <w:b/>
                <w:color w:val="FFFFFF"/>
                <w:sz w:val="16"/>
              </w:rPr>
              <w:t>Attack</w:t>
            </w:r>
          </w:p>
        </w:tc>
        <w:tc>
          <w:tcPr>
            <w:tcW w:type="dxa" w:w="2484"/>
            <w:vAlign w:val="center"/>
            <w:shd w:fill="17365D"/>
          </w:tcPr>
          <w:p>
            <w:r/>
            <w:r>
              <w:rPr>
                <w:b/>
                <w:color w:val="FFFFFF"/>
                <w:sz w:val="16"/>
              </w:rPr>
              <w:t>Failure outcome</w:t>
            </w:r>
          </w:p>
        </w:tc>
        <w:tc>
          <w:tcPr>
            <w:tcW w:type="dxa" w:w="2484"/>
            <w:vAlign w:val="center"/>
            <w:shd w:fill="17365D"/>
          </w:tcPr>
          <w:p>
            <w:r/>
            <w:r>
              <w:rPr>
                <w:b/>
                <w:color w:val="FFFFFF"/>
                <w:sz w:val="16"/>
              </w:rPr>
              <w:t>Control direction</w:t>
            </w:r>
          </w:p>
        </w:tc>
      </w:tr>
      <w:tr>
        <w:tc>
          <w:tcPr>
            <w:tcW w:type="dxa" w:w="2484"/>
            <w:vAlign w:val="center"/>
            <w:shd w:fill="FFFFFF"/>
          </w:tcPr>
          <w:p>
            <w:r/>
            <w:r>
              <w:rPr>
                <w:b w:val="0"/>
                <w:sz w:val="14"/>
              </w:rPr>
              <w:t>COP-A</w:t>
            </w:r>
          </w:p>
        </w:tc>
        <w:tc>
          <w:tcPr>
            <w:tcW w:type="dxa" w:w="2484"/>
            <w:vAlign w:val="center"/>
            <w:shd w:fill="FFFFFF"/>
          </w:tcPr>
          <w:p>
            <w:r/>
            <w:r>
              <w:rPr>
                <w:b w:val="0"/>
                <w:sz w:val="14"/>
              </w:rPr>
              <w:t>Cross-guild credential poisoning</w:t>
            </w:r>
          </w:p>
        </w:tc>
        <w:tc>
          <w:tcPr>
            <w:tcW w:type="dxa" w:w="2484"/>
            <w:vAlign w:val="center"/>
            <w:shd w:fill="FFFFFF"/>
          </w:tcPr>
          <w:p>
            <w:r/>
            <w:r>
              <w:rPr>
                <w:b w:val="0"/>
                <w:sz w:val="14"/>
              </w:rPr>
              <w:t>Whole-body repair accepts structurally correct but semantically hostile tissue.</w:t>
            </w:r>
          </w:p>
        </w:tc>
        <w:tc>
          <w:tcPr>
            <w:tcW w:type="dxa" w:w="2484"/>
            <w:vAlign w:val="center"/>
            <w:shd w:fill="FFFFFF"/>
          </w:tcPr>
          <w:p>
            <w:r/>
            <w:r>
              <w:rPr>
                <w:b w:val="0"/>
                <w:sz w:val="14"/>
              </w:rPr>
              <w:t>Quarantine interface semantics separately from lineage proof.</w:t>
            </w:r>
          </w:p>
        </w:tc>
      </w:tr>
      <w:tr>
        <w:tc>
          <w:tcPr>
            <w:tcW w:type="dxa" w:w="2484"/>
            <w:vAlign w:val="center"/>
            <w:shd w:fill="F3F6F8"/>
          </w:tcPr>
          <w:p>
            <w:r/>
            <w:r>
              <w:rPr>
                <w:b w:val="0"/>
                <w:sz w:val="14"/>
              </w:rPr>
              <w:t>COP-B</w:t>
            </w:r>
          </w:p>
        </w:tc>
        <w:tc>
          <w:tcPr>
            <w:tcW w:type="dxa" w:w="2484"/>
            <w:vAlign w:val="center"/>
            <w:shd w:fill="F3F6F8"/>
          </w:tcPr>
          <w:p>
            <w:r/>
            <w:r>
              <w:rPr>
                <w:b w:val="0"/>
                <w:sz w:val="14"/>
              </w:rPr>
              <w:t>Hidden crack plus heat-fin denial</w:t>
            </w:r>
          </w:p>
        </w:tc>
        <w:tc>
          <w:tcPr>
            <w:tcW w:type="dxa" w:w="2484"/>
            <w:vAlign w:val="center"/>
            <w:shd w:fill="F3F6F8"/>
          </w:tcPr>
          <w:p>
            <w:r/>
            <w:r>
              <w:rPr>
                <w:b w:val="0"/>
                <w:sz w:val="14"/>
              </w:rPr>
              <w:t>Lattice crosses brittle threshold before sensors agree.</w:t>
            </w:r>
          </w:p>
        </w:tc>
        <w:tc>
          <w:tcPr>
            <w:tcW w:type="dxa" w:w="2484"/>
            <w:vAlign w:val="center"/>
            <w:shd w:fill="F3F6F8"/>
          </w:tcPr>
          <w:p>
            <w:r/>
            <w:r>
              <w:rPr>
                <w:b w:val="0"/>
                <w:sz w:val="14"/>
              </w:rPr>
              <w:t>Use dissimilar acoustic, electrical, and strain witnesses.</w:t>
            </w:r>
          </w:p>
        </w:tc>
      </w:tr>
      <w:tr>
        <w:tc>
          <w:tcPr>
            <w:tcW w:type="dxa" w:w="2484"/>
            <w:vAlign w:val="center"/>
            <w:shd w:fill="FFFFFF"/>
          </w:tcPr>
          <w:p>
            <w:r/>
            <w:r>
              <w:rPr>
                <w:b w:val="0"/>
                <w:sz w:val="14"/>
              </w:rPr>
              <w:t>COP-C</w:t>
            </w:r>
          </w:p>
        </w:tc>
        <w:tc>
          <w:tcPr>
            <w:tcW w:type="dxa" w:w="2484"/>
            <w:vAlign w:val="center"/>
            <w:shd w:fill="FFFFFF"/>
          </w:tcPr>
          <w:p>
            <w:r/>
            <w:r>
              <w:rPr>
                <w:b w:val="0"/>
                <w:sz w:val="14"/>
              </w:rPr>
              <w:t>Partition bridge capture</w:t>
            </w:r>
          </w:p>
        </w:tc>
        <w:tc>
          <w:tcPr>
            <w:tcW w:type="dxa" w:w="2484"/>
            <w:vAlign w:val="center"/>
            <w:shd w:fill="FFFFFF"/>
          </w:tcPr>
          <w:p>
            <w:r/>
            <w:r>
              <w:rPr>
                <w:b w:val="0"/>
                <w:sz w:val="14"/>
              </w:rPr>
              <w:t>Two healthy partitions diverge while each believes continuity is intact.</w:t>
            </w:r>
          </w:p>
        </w:tc>
        <w:tc>
          <w:tcPr>
            <w:tcW w:type="dxa" w:w="2484"/>
            <w:vAlign w:val="center"/>
            <w:shd w:fill="FFFFFF"/>
          </w:tcPr>
          <w:p>
            <w:r/>
            <w:r>
              <w:rPr>
                <w:b w:val="0"/>
                <w:sz w:val="14"/>
              </w:rPr>
              <w:t>Require partition age and causality debt in identity status.</w:t>
            </w:r>
          </w:p>
        </w:tc>
      </w:tr>
      <w:tr>
        <w:tc>
          <w:tcPr>
            <w:tcW w:type="dxa" w:w="2484"/>
            <w:vAlign w:val="center"/>
            <w:shd w:fill="F3F6F8"/>
          </w:tcPr>
          <w:p>
            <w:r/>
            <w:r>
              <w:rPr>
                <w:b w:val="0"/>
                <w:sz w:val="14"/>
              </w:rPr>
              <w:t>COP-D</w:t>
            </w:r>
          </w:p>
        </w:tc>
        <w:tc>
          <w:tcPr>
            <w:tcW w:type="dxa" w:w="2484"/>
            <w:vAlign w:val="center"/>
            <w:shd w:fill="F3F6F8"/>
          </w:tcPr>
          <w:p>
            <w:r/>
            <w:r>
              <w:rPr>
                <w:b w:val="0"/>
                <w:sz w:val="14"/>
              </w:rPr>
              <w:t>Forced cycling attack</w:t>
            </w:r>
          </w:p>
        </w:tc>
        <w:tc>
          <w:tcPr>
            <w:tcW w:type="dxa" w:w="2484"/>
            <w:vAlign w:val="center"/>
            <w:shd w:fill="F3F6F8"/>
          </w:tcPr>
          <w:p>
            <w:r/>
            <w:r>
              <w:rPr>
                <w:b w:val="0"/>
                <w:sz w:val="14"/>
              </w:rPr>
              <w:t>Phase buffer remains intact while proteins and membranes accumulate damage.</w:t>
            </w:r>
          </w:p>
        </w:tc>
        <w:tc>
          <w:tcPr>
            <w:tcW w:type="dxa" w:w="2484"/>
            <w:vAlign w:val="center"/>
            <w:shd w:fill="F3F6F8"/>
          </w:tcPr>
          <w:p>
            <w:r/>
            <w:r>
              <w:rPr>
                <w:b w:val="0"/>
                <w:sz w:val="14"/>
              </w:rPr>
              <w:t>Limit cycling and count cumulative transition damage.</w:t>
            </w:r>
          </w:p>
        </w:tc>
      </w:tr>
      <w:tr>
        <w:tc>
          <w:tcPr>
            <w:tcW w:type="dxa" w:w="2484"/>
            <w:vAlign w:val="center"/>
            <w:shd w:fill="FFFFFF"/>
          </w:tcPr>
          <w:p>
            <w:r/>
            <w:r>
              <w:rPr>
                <w:b w:val="0"/>
                <w:sz w:val="14"/>
              </w:rPr>
              <w:t>COP-E</w:t>
            </w:r>
          </w:p>
        </w:tc>
        <w:tc>
          <w:tcPr>
            <w:tcW w:type="dxa" w:w="2484"/>
            <w:vAlign w:val="center"/>
            <w:shd w:fill="FFFFFF"/>
          </w:tcPr>
          <w:p>
            <w:r/>
            <w:r>
              <w:rPr>
                <w:b w:val="0"/>
                <w:sz w:val="14"/>
              </w:rPr>
              <w:t>Slow quorum infiltration</w:t>
            </w:r>
          </w:p>
        </w:tc>
        <w:tc>
          <w:tcPr>
            <w:tcW w:type="dxa" w:w="2484"/>
            <w:vAlign w:val="center"/>
            <w:shd w:fill="FFFFFF"/>
          </w:tcPr>
          <w:p>
            <w:r/>
            <w:r>
              <w:rPr>
                <w:b w:val="0"/>
                <w:sz w:val="14"/>
              </w:rPr>
              <w:t>Authentication remains locally valid while population composition shifts.</w:t>
            </w:r>
          </w:p>
        </w:tc>
        <w:tc>
          <w:tcPr>
            <w:tcW w:type="dxa" w:w="2484"/>
            <w:vAlign w:val="center"/>
            <w:shd w:fill="FFFFFF"/>
          </w:tcPr>
          <w:p>
            <w:r/>
            <w:r>
              <w:rPr>
                <w:b w:val="0"/>
                <w:sz w:val="14"/>
              </w:rPr>
              <w:t>Track lineage diversity and trust concentration over time.</w:t>
            </w:r>
          </w:p>
        </w:tc>
      </w:tr>
      <w:tr>
        <w:tc>
          <w:tcPr>
            <w:tcW w:type="dxa" w:w="2484"/>
            <w:vAlign w:val="center"/>
            <w:shd w:fill="F3F6F8"/>
          </w:tcPr>
          <w:p>
            <w:r/>
            <w:r>
              <w:rPr>
                <w:b w:val="0"/>
                <w:sz w:val="14"/>
              </w:rPr>
              <w:t>COP-F</w:t>
            </w:r>
          </w:p>
        </w:tc>
        <w:tc>
          <w:tcPr>
            <w:tcW w:type="dxa" w:w="2484"/>
            <w:vAlign w:val="center"/>
            <w:shd w:fill="F3F6F8"/>
          </w:tcPr>
          <w:p>
            <w:r/>
            <w:r>
              <w:rPr>
                <w:b w:val="0"/>
                <w:sz w:val="14"/>
              </w:rPr>
              <w:t>Harvest-interface poisoning</w:t>
            </w:r>
          </w:p>
        </w:tc>
        <w:tc>
          <w:tcPr>
            <w:tcW w:type="dxa" w:w="2484"/>
            <w:vAlign w:val="center"/>
            <w:shd w:fill="F3F6F8"/>
          </w:tcPr>
          <w:p>
            <w:r/>
            <w:r>
              <w:rPr>
                <w:b w:val="0"/>
                <w:sz w:val="14"/>
              </w:rPr>
              <w:t>Power capture and signaling fail together through a shared conductive path.</w:t>
            </w:r>
          </w:p>
        </w:tc>
        <w:tc>
          <w:tcPr>
            <w:tcW w:type="dxa" w:w="2484"/>
            <w:vAlign w:val="center"/>
            <w:shd w:fill="F3F6F8"/>
          </w:tcPr>
          <w:p>
            <w:r/>
            <w:r>
              <w:rPr>
                <w:b w:val="0"/>
                <w:sz w:val="14"/>
              </w:rPr>
              <w:t>Separate power, sensing, and update authority physically.</w:t>
            </w:r>
          </w:p>
        </w:tc>
      </w:tr>
      <w:tr>
        <w:tc>
          <w:tcPr>
            <w:tcW w:type="dxa" w:w="2484"/>
            <w:vAlign w:val="center"/>
            <w:shd w:fill="FFFFFF"/>
          </w:tcPr>
          <w:p>
            <w:r/>
            <w:r>
              <w:rPr>
                <w:b w:val="0"/>
                <w:sz w:val="14"/>
              </w:rPr>
              <w:t>COP-G</w:t>
            </w:r>
          </w:p>
        </w:tc>
        <w:tc>
          <w:tcPr>
            <w:tcW w:type="dxa" w:w="2484"/>
            <w:vAlign w:val="center"/>
            <w:shd w:fill="FFFFFF"/>
          </w:tcPr>
          <w:p>
            <w:r/>
            <w:r>
              <w:rPr>
                <w:b w:val="0"/>
                <w:sz w:val="14"/>
              </w:rPr>
              <w:t>False safe wake</w:t>
            </w:r>
          </w:p>
        </w:tc>
        <w:tc>
          <w:tcPr>
            <w:tcW w:type="dxa" w:w="2484"/>
            <w:vAlign w:val="center"/>
            <w:shd w:fill="FFFFFF"/>
          </w:tcPr>
          <w:p>
            <w:r/>
            <w:r>
              <w:rPr>
                <w:b w:val="0"/>
                <w:sz w:val="14"/>
              </w:rPr>
              <w:t>System awakens into containment and spends finite reserves.</w:t>
            </w:r>
          </w:p>
        </w:tc>
        <w:tc>
          <w:tcPr>
            <w:tcW w:type="dxa" w:w="2484"/>
            <w:vAlign w:val="center"/>
            <w:shd w:fill="FFFFFF"/>
          </w:tcPr>
          <w:p>
            <w:r/>
            <w:r>
              <w:rPr>
                <w:b w:val="0"/>
                <w:sz w:val="14"/>
              </w:rPr>
              <w:t>Use staged sandbox awakening and independent off-site witness if available.</w:t>
            </w:r>
          </w:p>
        </w:tc>
      </w:tr>
      <w:tr>
        <w:tc>
          <w:tcPr>
            <w:tcW w:type="dxa" w:w="2484"/>
            <w:vAlign w:val="center"/>
            <w:shd w:fill="F3F6F8"/>
          </w:tcPr>
          <w:p>
            <w:r/>
            <w:r>
              <w:rPr>
                <w:b w:val="0"/>
                <w:sz w:val="14"/>
              </w:rPr>
              <w:t>COP-H</w:t>
            </w:r>
          </w:p>
        </w:tc>
        <w:tc>
          <w:tcPr>
            <w:tcW w:type="dxa" w:w="2484"/>
            <w:vAlign w:val="center"/>
            <w:shd w:fill="F3F6F8"/>
          </w:tcPr>
          <w:p>
            <w:r/>
            <w:r>
              <w:rPr>
                <w:b w:val="0"/>
                <w:sz w:val="14"/>
              </w:rPr>
              <w:t>Canon exception escalation</w:t>
            </w:r>
          </w:p>
        </w:tc>
        <w:tc>
          <w:tcPr>
            <w:tcW w:type="dxa" w:w="2484"/>
            <w:vAlign w:val="center"/>
            <w:shd w:fill="F3F6F8"/>
          </w:tcPr>
          <w:p>
            <w:r/>
            <w:r>
              <w:rPr>
                <w:b w:val="0"/>
                <w:sz w:val="14"/>
              </w:rPr>
              <w:t>Track separation collapses and unverifiable claims control biology.</w:t>
            </w:r>
          </w:p>
        </w:tc>
        <w:tc>
          <w:tcPr>
            <w:tcW w:type="dxa" w:w="2484"/>
            <w:vAlign w:val="center"/>
            <w:shd w:fill="F3F6F8"/>
          </w:tcPr>
          <w:p>
            <w:r/>
            <w:r>
              <w:rPr>
                <w:b w:val="0"/>
                <w:sz w:val="14"/>
              </w:rPr>
              <w:t>Non-escalation: canon status never grants direct biological write authority.</w:t>
            </w:r>
          </w:p>
        </w:tc>
      </w:tr>
    </w:tbl>
    <w:p/>
    <w:p>
      <w:pPr>
        <w:pStyle w:val="Heading2"/>
        <w:keepNext/>
      </w:pPr>
      <w:r>
        <w:t>Exhibit A5. Proposed Evaluation Axes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sz w:val="16"/>
              </w:rPr>
              <w:t>Axis</w:t>
            </w:r>
          </w:p>
        </w:tc>
        <w:tc>
          <w:tcPr>
            <w:tcW w:type="dxa" w:w="3312"/>
            <w:vAlign w:val="center"/>
            <w:shd w:fill="17365D"/>
          </w:tcPr>
          <w:p>
            <w:r/>
            <w:r>
              <w:rPr>
                <w:b/>
                <w:color w:val="FFFFFF"/>
                <w:sz w:val="16"/>
              </w:rPr>
              <w:t>Question</w:t>
            </w:r>
          </w:p>
        </w:tc>
        <w:tc>
          <w:tcPr>
            <w:tcW w:type="dxa" w:w="3312"/>
            <w:vAlign w:val="center"/>
            <w:shd w:fill="17365D"/>
          </w:tcPr>
          <w:p>
            <w:r/>
            <w:r>
              <w:rPr>
                <w:b/>
                <w:color w:val="FFFFFF"/>
                <w:sz w:val="16"/>
              </w:rPr>
              <w:t>Must remain separate from</w:t>
            </w:r>
          </w:p>
        </w:tc>
      </w:tr>
      <w:tr>
        <w:tc>
          <w:tcPr>
            <w:tcW w:type="dxa" w:w="3312"/>
            <w:vAlign w:val="center"/>
            <w:shd w:fill="FFFFFF"/>
          </w:tcPr>
          <w:p>
            <w:r/>
            <w:r>
              <w:rPr>
                <w:b w:val="0"/>
                <w:sz w:val="15"/>
              </w:rPr>
              <w:t>Architecture merit</w:t>
            </w:r>
          </w:p>
        </w:tc>
        <w:tc>
          <w:tcPr>
            <w:tcW w:type="dxa" w:w="3312"/>
            <w:vAlign w:val="center"/>
            <w:shd w:fill="FFFFFF"/>
          </w:tcPr>
          <w:p>
            <w:r/>
            <w:r>
              <w:rPr>
                <w:b w:val="0"/>
                <w:sz w:val="15"/>
              </w:rPr>
              <w:t>Does the mechanism address the stated mission?</w:t>
            </w:r>
          </w:p>
        </w:tc>
        <w:tc>
          <w:tcPr>
            <w:tcW w:type="dxa" w:w="3312"/>
            <w:vAlign w:val="center"/>
            <w:shd w:fill="FFFFFF"/>
          </w:tcPr>
          <w:p>
            <w:r/>
            <w:r>
              <w:rPr>
                <w:b w:val="0"/>
                <w:sz w:val="15"/>
              </w:rPr>
              <w:t>Document polish</w:t>
            </w:r>
          </w:p>
        </w:tc>
      </w:tr>
      <w:tr>
        <w:tc>
          <w:tcPr>
            <w:tcW w:type="dxa" w:w="3312"/>
            <w:vAlign w:val="center"/>
            <w:shd w:fill="F3F6F8"/>
          </w:tcPr>
          <w:p>
            <w:r/>
            <w:r>
              <w:rPr>
                <w:b w:val="0"/>
                <w:sz w:val="15"/>
              </w:rPr>
              <w:t>Evidence maturity</w:t>
            </w:r>
          </w:p>
        </w:tc>
        <w:tc>
          <w:tcPr>
            <w:tcW w:type="dxa" w:w="3312"/>
            <w:vAlign w:val="center"/>
            <w:shd w:fill="F3F6F8"/>
          </w:tcPr>
          <w:p>
            <w:r/>
            <w:r>
              <w:rPr>
                <w:b w:val="0"/>
                <w:sz w:val="15"/>
              </w:rPr>
              <w:t>How well are the mechanisms supported?</w:t>
            </w:r>
          </w:p>
        </w:tc>
        <w:tc>
          <w:tcPr>
            <w:tcW w:type="dxa" w:w="3312"/>
            <w:vAlign w:val="center"/>
            <w:shd w:fill="F3F6F8"/>
          </w:tcPr>
          <w:p>
            <w:r/>
            <w:r>
              <w:rPr>
                <w:b w:val="0"/>
                <w:sz w:val="15"/>
              </w:rPr>
              <w:t>Originality</w:t>
            </w:r>
          </w:p>
        </w:tc>
      </w:tr>
      <w:tr>
        <w:tc>
          <w:tcPr>
            <w:tcW w:type="dxa" w:w="3312"/>
            <w:vAlign w:val="center"/>
            <w:shd w:fill="FFFFFF"/>
          </w:tcPr>
          <w:p>
            <w:r/>
            <w:r>
              <w:rPr>
                <w:b w:val="0"/>
                <w:sz w:val="15"/>
              </w:rPr>
              <w:t>Execution completeness</w:t>
            </w:r>
          </w:p>
        </w:tc>
        <w:tc>
          <w:tcPr>
            <w:tcW w:type="dxa" w:w="3312"/>
            <w:vAlign w:val="center"/>
            <w:shd w:fill="FFFFFF"/>
          </w:tcPr>
          <w:p>
            <w:r/>
            <w:r>
              <w:rPr>
                <w:b w:val="0"/>
                <w:sz w:val="15"/>
              </w:rPr>
              <w:t>Was the directive answered?</w:t>
            </w:r>
          </w:p>
        </w:tc>
        <w:tc>
          <w:tcPr>
            <w:tcW w:type="dxa" w:w="3312"/>
            <w:vAlign w:val="center"/>
            <w:shd w:fill="FFFFFF"/>
          </w:tcPr>
          <w:p>
            <w:r/>
            <w:r>
              <w:rPr>
                <w:b w:val="0"/>
                <w:sz w:val="15"/>
              </w:rPr>
              <w:t>Scientific truth</w:t>
            </w:r>
          </w:p>
        </w:tc>
      </w:tr>
      <w:tr>
        <w:tc>
          <w:tcPr>
            <w:tcW w:type="dxa" w:w="3312"/>
            <w:vAlign w:val="center"/>
            <w:shd w:fill="F3F6F8"/>
          </w:tcPr>
          <w:p>
            <w:r/>
            <w:r>
              <w:rPr>
                <w:b w:val="0"/>
                <w:sz w:val="15"/>
              </w:rPr>
              <w:t>Reproducibility</w:t>
            </w:r>
          </w:p>
        </w:tc>
        <w:tc>
          <w:tcPr>
            <w:tcW w:type="dxa" w:w="3312"/>
            <w:vAlign w:val="center"/>
            <w:shd w:fill="F3F6F8"/>
          </w:tcPr>
          <w:p>
            <w:r/>
            <w:r>
              <w:rPr>
                <w:b w:val="0"/>
                <w:sz w:val="15"/>
              </w:rPr>
              <w:t>Can another reviewer recreate calculations?</w:t>
            </w:r>
          </w:p>
        </w:tc>
        <w:tc>
          <w:tcPr>
            <w:tcW w:type="dxa" w:w="3312"/>
            <w:vAlign w:val="center"/>
            <w:shd w:fill="F3F6F8"/>
          </w:tcPr>
          <w:p>
            <w:r/>
            <w:r>
              <w:rPr>
                <w:b w:val="0"/>
                <w:sz w:val="15"/>
              </w:rPr>
              <w:t>Architectural compliance</w:t>
            </w:r>
          </w:p>
        </w:tc>
      </w:tr>
      <w:tr>
        <w:tc>
          <w:tcPr>
            <w:tcW w:type="dxa" w:w="3312"/>
            <w:vAlign w:val="center"/>
            <w:shd w:fill="FFFFFF"/>
          </w:tcPr>
          <w:p>
            <w:r/>
            <w:r>
              <w:rPr>
                <w:b w:val="0"/>
                <w:sz w:val="15"/>
              </w:rPr>
              <w:t>Premise fit</w:t>
            </w:r>
          </w:p>
        </w:tc>
        <w:tc>
          <w:tcPr>
            <w:tcW w:type="dxa" w:w="3312"/>
            <w:vAlign w:val="center"/>
            <w:shd w:fill="FFFFFF"/>
          </w:tcPr>
          <w:p>
            <w:r/>
            <w:r>
              <w:rPr>
                <w:b w:val="0"/>
                <w:sz w:val="15"/>
              </w:rPr>
              <w:t>Does the design satisfy its declared Omni-cell track?</w:t>
            </w:r>
          </w:p>
        </w:tc>
        <w:tc>
          <w:tcPr>
            <w:tcW w:type="dxa" w:w="3312"/>
            <w:vAlign w:val="center"/>
            <w:shd w:fill="FFFFFF"/>
          </w:tcPr>
          <w:p>
            <w:r/>
            <w:r>
              <w:rPr>
                <w:b w:val="0"/>
                <w:sz w:val="15"/>
              </w:rPr>
              <w:t>Cross-track superiority</w:t>
            </w:r>
          </w:p>
        </w:tc>
      </w:tr>
      <w:tr>
        <w:tc>
          <w:tcPr>
            <w:tcW w:type="dxa" w:w="3312"/>
            <w:vAlign w:val="center"/>
            <w:shd w:fill="F3F6F8"/>
          </w:tcPr>
          <w:p>
            <w:r/>
            <w:r>
              <w:rPr>
                <w:b w:val="0"/>
                <w:sz w:val="15"/>
              </w:rPr>
              <w:t>Continuity outcome</w:t>
            </w:r>
          </w:p>
        </w:tc>
        <w:tc>
          <w:tcPr>
            <w:tcW w:type="dxa" w:w="3312"/>
            <w:vAlign w:val="center"/>
            <w:shd w:fill="F3F6F8"/>
          </w:tcPr>
          <w:p>
            <w:r/>
            <w:r>
              <w:rPr>
                <w:b w:val="0"/>
                <w:sz w:val="15"/>
              </w:rPr>
              <w:t>What C-state results from damage or restoration?</w:t>
            </w:r>
          </w:p>
        </w:tc>
        <w:tc>
          <w:tcPr>
            <w:tcW w:type="dxa" w:w="3312"/>
            <w:vAlign w:val="center"/>
            <w:shd w:fill="F3F6F8"/>
          </w:tcPr>
          <w:p>
            <w:r/>
            <w:r>
              <w:rPr>
                <w:b w:val="0"/>
                <w:sz w:val="15"/>
              </w:rPr>
              <w:t>Mere biological persistence</w:t>
            </w:r>
          </w:p>
        </w:tc>
      </w:tr>
    </w:tbl>
    <w:p/>
    <w:p>
      <w:pPr>
        <w:pStyle w:val="Heading2"/>
        <w:keepNext/>
      </w:pPr>
      <w:r>
        <w:t>Exhibit A6. Source and Evidence Notes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sz w:val="16"/>
              </w:rPr>
              <w:t>Source</w:t>
            </w:r>
          </w:p>
        </w:tc>
        <w:tc>
          <w:tcPr>
            <w:tcW w:type="dxa" w:w="3312"/>
            <w:vAlign w:val="center"/>
            <w:shd w:fill="17365D"/>
          </w:tcPr>
          <w:p>
            <w:r/>
            <w:r>
              <w:rPr>
                <w:b/>
                <w:color w:val="FFFFFF"/>
                <w:sz w:val="16"/>
              </w:rPr>
              <w:t>Use</w:t>
            </w:r>
          </w:p>
        </w:tc>
        <w:tc>
          <w:tcPr>
            <w:tcW w:type="dxa" w:w="3312"/>
            <w:vAlign w:val="center"/>
            <w:shd w:fill="17365D"/>
          </w:tcPr>
          <w:p>
            <w:r/>
            <w:r>
              <w:rPr>
                <w:b/>
                <w:color w:val="FFFFFF"/>
                <w:sz w:val="16"/>
              </w:rPr>
              <w:t>Caution</w:t>
            </w:r>
          </w:p>
        </w:tc>
      </w:tr>
      <w:tr>
        <w:tc>
          <w:tcPr>
            <w:tcW w:type="dxa" w:w="3312"/>
            <w:vAlign w:val="center"/>
            <w:shd w:fill="FFFFFF"/>
          </w:tcPr>
          <w:p>
            <w:r/>
            <w:r>
              <w:rPr>
                <w:b w:val="0"/>
                <w:sz w:val="14"/>
              </w:rPr>
              <w:t>Claude Cross-AI Execution Review</w:t>
            </w:r>
          </w:p>
        </w:tc>
        <w:tc>
          <w:tcPr>
            <w:tcW w:type="dxa" w:w="3312"/>
            <w:vAlign w:val="center"/>
            <w:shd w:fill="FFFFFF"/>
          </w:tcPr>
          <w:p>
            <w:r/>
            <w:r>
              <w:rPr>
                <w:b w:val="0"/>
                <w:sz w:val="14"/>
              </w:rPr>
              <w:t>Audit findings, quantified document gaps, version and collision issues</w:t>
            </w:r>
          </w:p>
        </w:tc>
        <w:tc>
          <w:tcPr>
            <w:tcW w:type="dxa" w:w="3312"/>
            <w:vAlign w:val="center"/>
            <w:shd w:fill="FFFFFF"/>
          </w:tcPr>
          <w:p>
            <w:r/>
            <w:r>
              <w:rPr>
                <w:b w:val="0"/>
                <w:sz w:val="14"/>
              </w:rPr>
              <w:t>Review sampled rather than equally reading every page</w:t>
            </w:r>
          </w:p>
        </w:tc>
      </w:tr>
      <w:tr>
        <w:tc>
          <w:tcPr>
            <w:tcW w:type="dxa" w:w="3312"/>
            <w:vAlign w:val="center"/>
            <w:shd w:fill="F3F6F8"/>
          </w:tcPr>
          <w:p>
            <w:r/>
            <w:r>
              <w:rPr>
                <w:b w:val="0"/>
                <w:sz w:val="14"/>
              </w:rPr>
              <w:t>Copilot v1.0/v1.1</w:t>
            </w:r>
          </w:p>
        </w:tc>
        <w:tc>
          <w:tcPr>
            <w:tcW w:type="dxa" w:w="3312"/>
            <w:vAlign w:val="center"/>
            <w:shd w:fill="F3F6F8"/>
          </w:tcPr>
          <w:p>
            <w:r/>
            <w:r>
              <w:rPr>
                <w:b w:val="0"/>
                <w:sz w:val="14"/>
              </w:rPr>
              <w:t>Blind baseline architecture set</w:t>
            </w:r>
          </w:p>
        </w:tc>
        <w:tc>
          <w:tcPr>
            <w:tcW w:type="dxa" w:w="3312"/>
            <w:vAlign w:val="center"/>
            <w:shd w:fill="F3F6F8"/>
          </w:tcPr>
          <w:p>
            <w:r/>
            <w:r>
              <w:rPr>
                <w:b w:val="0"/>
                <w:sz w:val="14"/>
              </w:rPr>
              <w:t>No unit-bearing quantities; repeated prose</w:t>
            </w:r>
          </w:p>
        </w:tc>
      </w:tr>
      <w:tr>
        <w:tc>
          <w:tcPr>
            <w:tcW w:type="dxa" w:w="3312"/>
            <w:vAlign w:val="center"/>
            <w:shd w:fill="FFFFFF"/>
          </w:tcPr>
          <w:p>
            <w:r/>
            <w:r>
              <w:rPr>
                <w:b w:val="0"/>
                <w:sz w:val="14"/>
              </w:rPr>
              <w:t>Nature Reviews Molecular Cell Biology synthetic-cell review</w:t>
            </w:r>
          </w:p>
        </w:tc>
        <w:tc>
          <w:tcPr>
            <w:tcW w:type="dxa" w:w="3312"/>
            <w:vAlign w:val="center"/>
            <w:shd w:fill="FFFFFF"/>
          </w:tcPr>
          <w:p>
            <w:r/>
            <w:r>
              <w:rPr>
                <w:b w:val="0"/>
                <w:sz w:val="14"/>
              </w:rPr>
              <w:t>Synthetic-cell definition and state of field</w:t>
            </w:r>
          </w:p>
        </w:tc>
        <w:tc>
          <w:tcPr>
            <w:tcW w:type="dxa" w:w="3312"/>
            <w:vAlign w:val="center"/>
            <w:shd w:fill="FFFFFF"/>
          </w:tcPr>
          <w:p>
            <w:r/>
            <w:r>
              <w:rPr>
                <w:b w:val="0"/>
                <w:sz w:val="14"/>
              </w:rPr>
              <w:t>Does not validate whole-body Omnicellular architecture</w:t>
            </w:r>
          </w:p>
        </w:tc>
      </w:tr>
      <w:tr>
        <w:tc>
          <w:tcPr>
            <w:tcW w:type="dxa" w:w="3312"/>
            <w:vAlign w:val="center"/>
            <w:shd w:fill="F3F6F8"/>
          </w:tcPr>
          <w:p>
            <w:r/>
            <w:r>
              <w:rPr>
                <w:b w:val="0"/>
                <w:sz w:val="14"/>
              </w:rPr>
              <w:t>Nature / Springer senescence reviews</w:t>
            </w:r>
          </w:p>
        </w:tc>
        <w:tc>
          <w:tcPr>
            <w:tcW w:type="dxa" w:w="3312"/>
            <w:vAlign w:val="center"/>
            <w:shd w:fill="F3F6F8"/>
          </w:tcPr>
          <w:p>
            <w:r/>
            <w:r>
              <w:rPr>
                <w:b w:val="0"/>
                <w:sz w:val="14"/>
              </w:rPr>
              <w:t>Telomere and senescence context</w:t>
            </w:r>
          </w:p>
        </w:tc>
        <w:tc>
          <w:tcPr>
            <w:tcW w:type="dxa" w:w="3312"/>
            <w:vAlign w:val="center"/>
            <w:shd w:fill="F3F6F8"/>
          </w:tcPr>
          <w:p>
            <w:r/>
            <w:r>
              <w:rPr>
                <w:b w:val="0"/>
                <w:sz w:val="14"/>
              </w:rPr>
              <w:t>Does not make telomerase a complete longevity solution</w:t>
            </w:r>
          </w:p>
        </w:tc>
      </w:tr>
      <w:tr>
        <w:tc>
          <w:tcPr>
            <w:tcW w:type="dxa" w:w="3312"/>
            <w:vAlign w:val="center"/>
            <w:shd w:fill="FFFFFF"/>
          </w:tcPr>
          <w:p>
            <w:r/>
            <w:r>
              <w:rPr>
                <w:b w:val="0"/>
                <w:sz w:val="14"/>
              </w:rPr>
              <w:t>Contributor response packet</w:t>
            </w:r>
          </w:p>
        </w:tc>
        <w:tc>
          <w:tcPr>
            <w:tcW w:type="dxa" w:w="3312"/>
            <w:vAlign w:val="center"/>
            <w:shd w:fill="FFFFFF"/>
          </w:tcPr>
          <w:p>
            <w:r/>
            <w:r>
              <w:rPr>
                <w:b w:val="0"/>
                <w:sz w:val="14"/>
              </w:rPr>
              <w:t>Competing future recommendations</w:t>
            </w:r>
          </w:p>
        </w:tc>
        <w:tc>
          <w:tcPr>
            <w:tcW w:type="dxa" w:w="3312"/>
            <w:vAlign w:val="center"/>
            <w:shd w:fill="FFFFFF"/>
          </w:tcPr>
          <w:p>
            <w:r/>
            <w:r>
              <w:rPr>
                <w:b w:val="0"/>
                <w:sz w:val="14"/>
              </w:rPr>
              <w:t>Post-review agreement is anchored, not independent</w:t>
            </w:r>
          </w:p>
        </w:tc>
      </w:tr>
    </w:tbl>
    <w:p/>
    <w:p>
      <w:pPr>
        <w:pStyle w:val="Heading1"/>
        <w:keepNext/>
      </w:pPr>
      <w:r>
        <w:t>References</w:t>
      </w:r>
    </w:p>
    <w:p>
      <w:pPr>
        <w:pStyle w:val="ListBullet"/>
        <w:spacing w:after="40"/>
      </w:pPr>
      <w:r>
        <w:t>OMNICELLULAR_Cross_AI_Execution_Review.docx and PDF, Claude, October 30, 2026.</w:t>
      </w:r>
    </w:p>
    <w:p>
      <w:pPr>
        <w:pStyle w:val="ListBullet"/>
        <w:spacing w:after="40"/>
      </w:pPr>
      <w:r>
        <w:t>OMNICELLULAR_Physiology_Full_Independent_Research_Execution_M365_Copilot_v1.0 and v1.1.</w:t>
      </w:r>
    </w:p>
    <w:p>
      <w:pPr>
        <w:pStyle w:val="ListBullet"/>
        <w:spacing w:after="40"/>
      </w:pPr>
      <w:r>
        <w:t>Present and future of synthetic cell development, Nature Reviews Molecular Cell Biology, 2023.</w:t>
      </w:r>
    </w:p>
    <w:p>
      <w:pPr>
        <w:pStyle w:val="ListBullet"/>
        <w:spacing w:after="40"/>
      </w:pPr>
      <w:r>
        <w:t>Cellular senescence in ageing: from mechanisms to therapeutic opportunities, Nature Reviews Molecular Cell Biology, 2021.</w:t>
      </w:r>
    </w:p>
    <w:p>
      <w:pPr>
        <w:pStyle w:val="ListBullet"/>
        <w:spacing w:after="40"/>
      </w:pPr>
      <w:r>
        <w:t>Telomeres and Mitochondrial Metabolism: Implications for Cellular Senescence and Age-related Diseases, Stem Cell Reviews and Reports, 2022.</w:t>
      </w:r>
    </w:p>
    <w:p>
      <w:pPr>
        <w:pStyle w:val="ListBullet"/>
        <w:spacing w:after="40"/>
      </w:pPr>
      <w:r>
        <w:t>Team response packet supplied by the Architect, including ChatGPT, Claude, Gemini, Grok, Perplexity, and Copilot recommendations.</w:t>
      </w:r>
    </w:p>
    <w:p>
      <w:pPr>
        <w:pStyle w:val="Heading1"/>
        <w:keepNext/>
      </w:pPr>
      <w:r>
        <w:t>Version Lock Statement</w:t>
      </w:r>
    </w:p>
    <w:p>
      <w:r>
        <w:t>This document is a post-review Copilot remediation addendum. It does not replace or alter the blind v1.0/v1.1 submissions. Final SHA-256 values should be recorded after rendering, because DOCX and PDF are separate artifacts.</w:t>
      </w:r>
    </w:p>
    <w:sectPr w:rsidR="00FC693F" w:rsidRPr="0006063C" w:rsidSect="00034616">
      <w:headerReference w:type="default" r:id="rId9"/>
      <w:footerReference w:type="default" r:id="rId10"/>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Independent remediation - conflicts preserved - Architect review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OMNICELLULAR | COPILOT GEN-1R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OMNICELLULAR M365 Copilot Gen-1R Remediation and Forward Recommendation v2.0</dc:title>
  <dc:subject>Independent post-review remediation with conflicts preserved</dc:subject>
  <dc:creator>M365 Copilot</dc:creator>
  <keywords/>
  <dc:description>generated by python-docx</dc:description>
  <lastModifiedBy>M365 Copilot</lastModifiedBy>
  <revision>1</revision>
  <dcterms:created xsi:type="dcterms:W3CDTF">2026-10-31T00:54:21.2737904Z</dcterms:created>
  <dcterms:modified xsi:type="dcterms:W3CDTF">2026-10-31T00:54:21.2737904Z</dcterms:modified>
  <category/>
</coreProperties>
</file>