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GOVERNANCE AUTHORITY LABORATORY</w:t>
      </w:r>
    </w:p>
    <w:p>
      <w:pPr>
        <w:jc w:val="center"/>
      </w:pPr>
      <w:r>
        <w:rPr>
          <w:b/>
          <w:sz w:val="48"/>
        </w:rPr>
        <w:t>Standing, Jurisdiction, and Reflexive Review Charter</w:t>
      </w:r>
    </w:p>
    <w:p>
      <w:pPr>
        <w:jc w:val="center"/>
      </w:pPr>
      <w:r>
        <w:rPr>
          <w:i/>
          <w:sz w:val="26"/>
        </w:rPr>
        <w:t>Independent Pre-Ratification Draft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6E6"/>
          </w:tcPr>
          <w:p>
            <w:r>
              <w:rPr>
                <w:b/>
              </w:rPr>
              <w:t>Document ID</w:t>
            </w:r>
          </w:p>
        </w:tc>
        <w:tc>
          <w:tcPr>
            <w:tcW w:type="dxa" w:w="4968"/>
            <w:vAlign w:val="center"/>
          </w:tcPr>
          <w:p>
            <w:r>
              <w:t>OAL-GAL-SJRC-2026.09.23-v0.1</w:t>
            </w:r>
          </w:p>
        </w:tc>
      </w:tr>
      <w:tr>
        <w:tc>
          <w:tcPr>
            <w:tcW w:type="dxa" w:w="4968"/>
            <w:vAlign w:val="center"/>
            <w:shd w:fill="E7E6E6"/>
          </w:tcPr>
          <w:p>
            <w:r>
              <w:rPr>
                <w:b/>
              </w:rPr>
              <w:t>Date</w:t>
            </w:r>
          </w:p>
        </w:tc>
        <w:tc>
          <w:tcPr>
            <w:tcW w:type="dxa" w:w="4968"/>
            <w:vAlign w:val="center"/>
          </w:tcPr>
          <w:p>
            <w:r>
              <w:t>September 23, 2026</w:t>
            </w:r>
          </w:p>
        </w:tc>
      </w:tr>
      <w:tr>
        <w:tc>
          <w:tcPr>
            <w:tcW w:type="dxa" w:w="4968"/>
            <w:vAlign w:val="center"/>
            <w:shd w:fill="E7E6E6"/>
          </w:tcPr>
          <w:p>
            <w:r>
              <w:rPr>
                <w:b/>
              </w:rPr>
              <w:t>Version</w:t>
            </w:r>
          </w:p>
        </w:tc>
        <w:tc>
          <w:tcPr>
            <w:tcW w:type="dxa" w:w="4968"/>
            <w:vAlign w:val="center"/>
          </w:tcPr>
          <w:p>
            <w:r>
              <w:t>v0.1</w:t>
            </w:r>
          </w:p>
        </w:tc>
      </w:tr>
      <w:tr>
        <w:tc>
          <w:tcPr>
            <w:tcW w:type="dxa" w:w="4968"/>
            <w:vAlign w:val="center"/>
            <w:shd w:fill="E7E6E6"/>
          </w:tcPr>
          <w:p>
            <w:r>
              <w:rPr>
                <w:b/>
              </w:rPr>
              <w:t>Status</w:t>
            </w:r>
          </w:p>
        </w:tc>
        <w:tc>
          <w:tcPr>
            <w:tcW w:type="dxa" w:w="4968"/>
            <w:vAlign w:val="center"/>
          </w:tcPr>
          <w:p>
            <w:r>
              <w:t>PRE-RATIFICATION DRAFT — REPORTED / ADVISORY ONLY</w:t>
            </w:r>
          </w:p>
        </w:tc>
      </w:tr>
      <w:tr>
        <w:tc>
          <w:tcPr>
            <w:tcW w:type="dxa" w:w="4968"/>
            <w:vAlign w:val="center"/>
            <w:shd w:fill="E7E6E6"/>
          </w:tcPr>
          <w:p>
            <w:r>
              <w:rPr>
                <w:b/>
              </w:rPr>
              <w:t>Prepared by</w:t>
            </w:r>
          </w:p>
        </w:tc>
        <w:tc>
          <w:tcPr>
            <w:tcW w:type="dxa" w:w="4968"/>
            <w:vAlign w:val="center"/>
          </w:tcPr>
          <w:p>
            <w:r>
              <w:t>ChatGPT (GPT-5.6 Sol), OpenAI</w:t>
            </w:r>
          </w:p>
        </w:tc>
      </w:tr>
      <w:tr>
        <w:tc>
          <w:tcPr>
            <w:tcW w:type="dxa" w:w="4968"/>
            <w:vAlign w:val="center"/>
            <w:shd w:fill="E7E6E6"/>
          </w:tcPr>
          <w:p>
            <w:r>
              <w:rPr>
                <w:b/>
              </w:rPr>
              <w:t>Version Character</w:t>
            </w:r>
          </w:p>
        </w:tc>
        <w:tc>
          <w:tcPr>
            <w:tcW w:type="dxa" w:w="4968"/>
            <w:vAlign w:val="center"/>
          </w:tcPr>
          <w:p>
            <w:r>
              <w:t>Independent ChatGPT version; not a consensus synthesis and not canon</w:t>
            </w:r>
          </w:p>
        </w:tc>
      </w:tr>
      <w:tr>
        <w:tc>
          <w:tcPr>
            <w:tcW w:type="dxa" w:w="4968"/>
            <w:vAlign w:val="center"/>
            <w:shd w:fill="E7E6E6"/>
          </w:tcPr>
          <w:p>
            <w:r>
              <w:rPr>
                <w:b/>
              </w:rPr>
              <w:t>Prepared for</w:t>
            </w:r>
          </w:p>
        </w:tc>
        <w:tc>
          <w:tcPr>
            <w:tcW w:type="dxa" w:w="4968"/>
            <w:vAlign w:val="center"/>
          </w:tcPr>
          <w:p>
            <w:r>
              <w:t>OMNIVERSAL ARCHITECT LABS (OAL) — Governance Authority Laboratory</w:t>
            </w:r>
          </w:p>
        </w:tc>
      </w:tr>
      <w:tr>
        <w:tc>
          <w:tcPr>
            <w:tcW w:type="dxa" w:w="4968"/>
            <w:vAlign w:val="center"/>
            <w:shd w:fill="E7E6E6"/>
          </w:tcPr>
          <w:p>
            <w:r>
              <w:rPr>
                <w:b/>
              </w:rPr>
              <w:t>Ratification Path</w:t>
            </w:r>
          </w:p>
        </w:tc>
        <w:tc>
          <w:tcPr>
            <w:tcW w:type="dxa" w:w="4968"/>
            <w:vAlign w:val="center"/>
          </w:tcPr>
          <w:p>
            <w:r>
              <w:t>Subject to ONESTAMP review; ratification does not convert disputed propositions into truth</w:t>
            </w:r>
          </w:p>
        </w:tc>
      </w:tr>
      <w:tr>
        <w:tc>
          <w:tcPr>
            <w:tcW w:type="dxa" w:w="4968"/>
            <w:vAlign w:val="center"/>
            <w:shd w:fill="E7E6E6"/>
          </w:tcPr>
          <w:p>
            <w:r>
              <w:rPr>
                <w:b/>
              </w:rPr>
              <w:t>Primary Function</w:t>
            </w:r>
          </w:p>
        </w:tc>
        <w:tc>
          <w:tcPr>
            <w:tcW w:type="dxa" w:w="4968"/>
            <w:vAlign w:val="center"/>
          </w:tcPr>
          <w:p>
            <w:r>
              <w:t>Define the laboratory’s own standing, jurisdiction, limits, review powers, revocation rules, and reflexive controls before external or high-authority testing</w:t>
            </w:r>
          </w:p>
        </w:tc>
      </w:tr>
    </w:tbl>
    <w:p/>
    <w:p>
      <w:pPr>
        <w:jc w:val="center"/>
      </w:pPr>
      <w:r>
        <w:rPr>
          <w:b/>
        </w:rPr>
        <w:t>NOT RATIFIED. This document has no force outside the scope expressly granted by a future ratification decision.</w:t>
      </w:r>
    </w:p>
    <w:p>
      <w:r>
        <w:br w:type="page"/>
      </w:r>
    </w:p>
    <w:p>
      <w:pPr>
        <w:pStyle w:val="Heading1"/>
      </w:pPr>
      <w:r>
        <w:t>Executive Charter Statement</w:t>
      </w:r>
    </w:p>
    <w:p>
      <w:r>
        <w:t>This charter establishes a provisional operating boundary for the Governance Authority Laboratory. It does not grant the laboratory universal jurisdiction, does not treat technical capability as authority, and does not privilege human governance as the primary or universal reference frame. Its first obligation is reflexive: before the laboratory reviews another authority structure, it must state and expose its own standing, scope, methods, escalation limits, revocation pathways, and stopping rules.</w:t>
      </w:r>
    </w:p>
    <w:p>
      <w:r>
        <w:t>The charter therefore separates recognition, observation, description, evaluation, challenge, audit, escalation, protective constraint, and override into distinct authority levels. No lower level implies a higher one. Strong evidence may justify consideration of escalation; it does not perform the escalation by itself.</w:t>
      </w:r>
    </w:p>
    <w:p>
      <w:r>
        <w:t>Civilization-scale consequence increases the burden of evidence, dissent preservation, reversibility analysis, and accountability. It does not automatically confer sovereignty on the laboratory. Information may be admitted for consideration without being authorized for operational use. A system's inability to self-reference may justify greater caution and inquiry, but it does not automatically authorize external control.</w:t>
      </w:r>
    </w:p>
    <w:p>
      <w:pPr>
        <w:pStyle w:val="Heading1"/>
      </w:pPr>
      <w:r>
        <w:t>1. Origin and Immediate Purpose</w:t>
      </w:r>
    </w:p>
    <w:p>
      <w:r>
        <w:t>The Governance Authority Laboratory arose from the Truthspeaker line of inquiry and the subsequent question: if a system should contain mechanisms capable of challenging authority, who has standing to create, enter, review, or impose those mechanisms in the first place? The originating discussion explicitly rejected an assumption that human governance is universal, inherently positive, reliable, effective, prevalent, or proven superior. It also asked whether the laboratory itself possesses authority to review authority structures, who may review the reviewer, what happens when a target system cannot accurately assess itself, and whether civilization-scale events require mandatory thresholds.</w:t>
      </w:r>
    </w:p>
    <w:p>
      <w:r>
        <w:t>The immediate purpose of this charter is to move the project from conceptual analysis into bounded operational architecture without pretending that unresolved questions have already been solved.</w:t>
      </w:r>
    </w:p>
    <w:p>
      <w:pPr>
        <w:pStyle w:val="Heading1"/>
      </w:pPr>
      <w:r>
        <w:t>2. Foundational Non-Claims</w:t>
      </w:r>
    </w:p>
    <w:p>
      <w:pPr>
        <w:pStyle w:val="ListBullet"/>
      </w:pPr>
      <w:r>
        <w:t>Human governance is not the laboratory's primary, universal, or privileged reference frame.</w:t>
      </w:r>
    </w:p>
    <w:p>
      <w:pPr>
        <w:pStyle w:val="ListBullet"/>
      </w:pPr>
      <w:r>
        <w:t>The laboratory does not claim that any human governance model is inherently good, reliable, effective, prevalent, or superior.</w:t>
      </w:r>
    </w:p>
    <w:p>
      <w:pPr>
        <w:pStyle w:val="ListBullet"/>
      </w:pPr>
      <w:r>
        <w:t>The laboratory does not claim that governance requires a government, ruler, territory, law, legislature, court, citizenry, or human institution.</w:t>
      </w:r>
    </w:p>
    <w:p>
      <w:pPr>
        <w:pStyle w:val="ListBullet"/>
      </w:pPr>
      <w:r>
        <w:t>The laboratory does not claim jurisdiction merely because it can observe, simulate, understand, diagnose, predict, or criticize a system.</w:t>
      </w:r>
    </w:p>
    <w:p>
      <w:pPr>
        <w:pStyle w:val="ListBullet"/>
      </w:pPr>
      <w:r>
        <w:t>The laboratory does not claim that a civilization-scale event automatically authorizes intervention.</w:t>
      </w:r>
    </w:p>
    <w:p>
      <w:pPr>
        <w:pStyle w:val="ListBullet"/>
      </w:pPr>
      <w:r>
        <w:t>The laboratory does not claim that internal ONESTAMP ratification creates external legitimacy.</w:t>
      </w:r>
    </w:p>
    <w:p>
      <w:pPr>
        <w:pStyle w:val="ListBullet"/>
      </w:pPr>
      <w:r>
        <w:t>The laboratory does not claim that admission of information authorizes use, dissemination, intervention, or evolutionary incorporation.</w:t>
      </w:r>
    </w:p>
    <w:p>
      <w:pPr>
        <w:pStyle w:val="ListBullet"/>
      </w:pPr>
      <w:r>
        <w:t>The laboratory does not claim that a target system's inability to self-reference creates a right of takeover.</w:t>
      </w:r>
    </w:p>
    <w:p>
      <w:pPr>
        <w:pStyle w:val="Heading1"/>
      </w:pPr>
      <w:r>
        <w:t>3. Foundational Principles</w:t>
      </w:r>
    </w:p>
    <w:p>
      <w:r>
        <w:rPr>
          <w:b/>
        </w:rPr>
        <w:t xml:space="preserve">Reflexivity before outward authority: </w:t>
      </w:r>
      <w:r>
        <w:t>The laboratory applies its review logic to itself before relying on that logic externally.</w:t>
      </w:r>
    </w:p>
    <w:p>
      <w:r>
        <w:rPr>
          <w:b/>
        </w:rPr>
        <w:t xml:space="preserve">Authority is scoped: </w:t>
      </w:r>
      <w:r>
        <w:t>Every grant identifies subject, action, boundary, duration, exclusions, and consequences.</w:t>
      </w:r>
    </w:p>
    <w:p>
      <w:r>
        <w:rPr>
          <w:b/>
        </w:rPr>
        <w:t xml:space="preserve">Authority is reviewable: </w:t>
      </w:r>
      <w:r>
        <w:t>No authority grant is exempt from challenge merely because it is foundational, inherited, technical, emergency-based, or ratified.</w:t>
      </w:r>
    </w:p>
    <w:p>
      <w:r>
        <w:rPr>
          <w:b/>
        </w:rPr>
        <w:t xml:space="preserve">Authority is revocable: </w:t>
      </w:r>
      <w:r>
        <w:t>What is granted may be narrowed, suspended, or withdrawn under stated procedures.</w:t>
      </w:r>
    </w:p>
    <w:p>
      <w:r>
        <w:rPr>
          <w:b/>
        </w:rPr>
        <w:t xml:space="preserve">Capability is not jurisdiction: </w:t>
      </w:r>
      <w:r>
        <w:t>Power, access, intelligence, prediction, or superior modeling capacity do not themselves establish standing.</w:t>
      </w:r>
    </w:p>
    <w:p>
      <w:r>
        <w:rPr>
          <w:b/>
        </w:rPr>
        <w:t xml:space="preserve">Evidence is not permission: </w:t>
      </w:r>
      <w:r>
        <w:t>A compelling finding may support a request for escalation but does not itself authorize the escalated act.</w:t>
      </w:r>
    </w:p>
    <w:p>
      <w:r>
        <w:rPr>
          <w:b/>
        </w:rPr>
        <w:t xml:space="preserve">Dissent is data: </w:t>
      </w:r>
      <w:r>
        <w:t>Material disagreement is preserved with provenance rather than erased by majority or authority.</w:t>
      </w:r>
    </w:p>
    <w:p>
      <w:r>
        <w:rPr>
          <w:b/>
        </w:rPr>
        <w:t xml:space="preserve">Human vocabulary is provisional: </w:t>
      </w:r>
      <w:r>
        <w:t>Terms such as standing, jurisdiction, legitimacy, sovereignty, and review are working analytical labels, not assumed universal primitives.</w:t>
      </w:r>
    </w:p>
    <w:p>
      <w:r>
        <w:rPr>
          <w:b/>
        </w:rPr>
        <w:t xml:space="preserve">Uncertainty must survive the workflow: </w:t>
      </w:r>
      <w:r>
        <w:t>Unknowns, confidence limits, missing data, and alternative models remain visible in findings and decisions.</w:t>
      </w:r>
    </w:p>
    <w:p>
      <w:r>
        <w:rPr>
          <w:b/>
        </w:rPr>
        <w:t xml:space="preserve">Higher consequence requires stronger process: </w:t>
      </w:r>
      <w:r>
        <w:t>As scope, irreversibility, persistence, propagation, or agency loss increase, review requirements increase before authority does.</w:t>
      </w:r>
    </w:p>
    <w:p>
      <w:pPr>
        <w:pStyle w:val="Heading1"/>
      </w:pPr>
      <w:r>
        <w:t>4. Provisional Substrate-Neutral Working Vocabulary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Term</w:t>
            </w:r>
          </w:p>
        </w:tc>
        <w:tc>
          <w:tcPr>
            <w:tcW w:type="dxa" w:w="3312"/>
            <w:shd w:fill="D9EAF7"/>
          </w:tcPr>
          <w:p>
            <w:r>
              <w:rPr>
                <w:b/>
              </w:rPr>
              <w:t>Provisional operational meaning</w:t>
            </w:r>
          </w:p>
        </w:tc>
        <w:tc>
          <w:tcPr>
            <w:tcW w:type="dxa" w:w="3312"/>
            <w:shd w:fill="D9EAF7"/>
          </w:tcPr>
          <w:p>
            <w:r>
              <w:rPr>
                <w:b/>
              </w:rPr>
              <w:t>Warning</w:t>
            </w:r>
          </w:p>
        </w:tc>
      </w:tr>
      <w:tr>
        <w:tc>
          <w:tcPr>
            <w:tcW w:type="dxa" w:w="3312"/>
          </w:tcPr>
          <w:p>
            <w:r>
              <w:t>Governance</w:t>
            </w:r>
          </w:p>
        </w:tc>
        <w:tc>
          <w:tcPr>
            <w:tcW w:type="dxa" w:w="3312"/>
          </w:tcPr>
          <w:p>
            <w:r>
              <w:t>Any mechanism or process by which consequential action, constraint, allocation, coordination, sequencing, permission, burden, conflict resolution, or state transition is maintained or changed.</w:t>
            </w:r>
          </w:p>
        </w:tc>
        <w:tc>
          <w:tcPr>
            <w:tcW w:type="dxa" w:w="3312"/>
          </w:tcPr>
          <w:p>
            <w:r>
              <w:t>Do not assume a governor or human institution.</w:t>
            </w:r>
          </w:p>
        </w:tc>
      </w:tr>
      <w:tr>
        <w:tc>
          <w:tcPr>
            <w:tcW w:type="dxa" w:w="3312"/>
          </w:tcPr>
          <w:p>
            <w:r>
              <w:t>Authority</w:t>
            </w:r>
          </w:p>
        </w:tc>
        <w:tc>
          <w:tcPr>
            <w:tcW w:type="dxa" w:w="3312"/>
          </w:tcPr>
          <w:p>
            <w:r>
              <w:t>A relation in which an actor, rule, process, state, architecture, or collective can make a determination consequential for another entity or future system state.</w:t>
            </w:r>
          </w:p>
        </w:tc>
        <w:tc>
          <w:tcPr>
            <w:tcW w:type="dxa" w:w="3312"/>
          </w:tcPr>
          <w:p>
            <w:r>
              <w:t>Capacity, recognition, legitimacy, correctness, and enforcement are separate variables.</w:t>
            </w:r>
          </w:p>
        </w:tc>
      </w:tr>
      <w:tr>
        <w:tc>
          <w:tcPr>
            <w:tcW w:type="dxa" w:w="3312"/>
          </w:tcPr>
          <w:p>
            <w:r>
              <w:t>Bind-capacity</w:t>
            </w:r>
          </w:p>
        </w:tc>
        <w:tc>
          <w:tcPr>
            <w:tcW w:type="dxa" w:w="3312"/>
          </w:tcPr>
          <w:p>
            <w:r>
              <w:t>The practical ability to attach consequence, constraint, permission, cost, or persistence to another entity's available actions or state transitions.</w:t>
            </w:r>
          </w:p>
        </w:tc>
        <w:tc>
          <w:tcPr>
            <w:tcW w:type="dxa" w:w="3312"/>
          </w:tcPr>
          <w:p>
            <w:r>
              <w:t>Useful where human political vocabulary does not map cleanly.</w:t>
            </w:r>
          </w:p>
        </w:tc>
      </w:tr>
      <w:tr>
        <w:tc>
          <w:tcPr>
            <w:tcW w:type="dxa" w:w="3312"/>
          </w:tcPr>
          <w:p>
            <w:r>
              <w:t>Standing</w:t>
            </w:r>
          </w:p>
        </w:tc>
        <w:tc>
          <w:tcPr>
            <w:tcW w:type="dxa" w:w="3312"/>
          </w:tcPr>
          <w:p>
            <w:r>
              <w:t>The stated basis on which the laboratory may validly observe, interpret, evaluate, challenge, audit, or act with respect to a system.</w:t>
            </w:r>
          </w:p>
        </w:tc>
        <w:tc>
          <w:tcPr>
            <w:tcW w:type="dxa" w:w="3312"/>
          </w:tcPr>
          <w:p>
            <w:r>
              <w:t>Must be declared rather than inferred.</w:t>
            </w:r>
          </w:p>
        </w:tc>
      </w:tr>
      <w:tr>
        <w:tc>
          <w:tcPr>
            <w:tcW w:type="dxa" w:w="3312"/>
          </w:tcPr>
          <w:p>
            <w:r>
              <w:t>Jurisdiction</w:t>
            </w:r>
          </w:p>
        </w:tc>
        <w:tc>
          <w:tcPr>
            <w:tcW w:type="dxa" w:w="3312"/>
          </w:tcPr>
          <w:p>
            <w:r>
              <w:t>The bounded scope within which a claimed authority is treated as operative for a defined act.</w:t>
            </w:r>
          </w:p>
        </w:tc>
        <w:tc>
          <w:tcPr>
            <w:tcW w:type="dxa" w:w="3312"/>
          </w:tcPr>
          <w:p>
            <w:r>
              <w:t>Analytical label; not assumed to have a human-legal analogue.</w:t>
            </w:r>
          </w:p>
        </w:tc>
      </w:tr>
      <w:tr>
        <w:tc>
          <w:tcPr>
            <w:tcW w:type="dxa" w:w="3312"/>
          </w:tcPr>
          <w:p>
            <w:r>
              <w:t>Review</w:t>
            </w:r>
          </w:p>
        </w:tc>
        <w:tc>
          <w:tcPr>
            <w:tcW w:type="dxa" w:w="3312"/>
          </w:tcPr>
          <w:p>
            <w:r>
              <w:t>Structured examination against an explicit model, criterion, or question that produces findings without automatically transferring control.</w:t>
            </w:r>
          </w:p>
        </w:tc>
        <w:tc>
          <w:tcPr>
            <w:tcW w:type="dxa" w:w="3312"/>
          </w:tcPr>
          <w:p>
            <w:r>
              <w:t>A review can become de facto control if hidden veto power is attached.</w:t>
            </w:r>
          </w:p>
        </w:tc>
      </w:tr>
      <w:tr>
        <w:tc>
          <w:tcPr>
            <w:tcW w:type="dxa" w:w="3312"/>
          </w:tcPr>
          <w:p>
            <w:r>
              <w:t>Intervention</w:t>
            </w:r>
          </w:p>
        </w:tc>
        <w:tc>
          <w:tcPr>
            <w:tcW w:type="dxa" w:w="3312"/>
          </w:tcPr>
          <w:p>
            <w:r>
              <w:t>An act that changes, constrains, suspends, overrides, redirects, or materially alters a target system.</w:t>
            </w:r>
          </w:p>
        </w:tc>
        <w:tc>
          <w:tcPr>
            <w:tcW w:type="dxa" w:w="3312"/>
          </w:tcPr>
          <w:p>
            <w:r>
              <w:t>Requires a stronger warrant than observation or evaluation.</w:t>
            </w:r>
          </w:p>
        </w:tc>
      </w:tr>
      <w:tr>
        <w:tc>
          <w:tcPr>
            <w:tcW w:type="dxa" w:w="3312"/>
          </w:tcPr>
          <w:p>
            <w:r>
              <w:t>Self-reference capacity</w:t>
            </w:r>
          </w:p>
        </w:tc>
        <w:tc>
          <w:tcPr>
            <w:tcW w:type="dxa" w:w="3312"/>
          </w:tcPr>
          <w:p>
            <w:r>
              <w:t>A system's capacity to represent, inspect, compare, or revise models of its own structure, state, rules, authority relations, or failures.</w:t>
            </w:r>
          </w:p>
        </w:tc>
        <w:tc>
          <w:tcPr>
            <w:tcW w:type="dxa" w:w="3312"/>
          </w:tcPr>
          <w:p>
            <w:r>
              <w:t>Absence does not automatically authorize outside control.</w:t>
            </w:r>
          </w:p>
        </w:tc>
      </w:tr>
      <w:tr>
        <w:tc>
          <w:tcPr>
            <w:tcW w:type="dxa" w:w="3312"/>
          </w:tcPr>
          <w:p>
            <w:r>
              <w:t>Civilization-scale event</w:t>
            </w:r>
          </w:p>
        </w:tc>
        <w:tc>
          <w:tcPr>
            <w:tcW w:type="dxa" w:w="3312"/>
          </w:tcPr>
          <w:p>
            <w:r>
              <w:t>A provisional category for events whose plausible consequences cross defined thresholds of scope, irreversibility, persistence, propagation, agency loss, systemic coupling, or existential transformation.</w:t>
            </w:r>
          </w:p>
        </w:tc>
        <w:tc>
          <w:tcPr>
            <w:tcW w:type="dxa" w:w="3312"/>
          </w:tcPr>
          <w:p>
            <w:r>
              <w:t>This definition remains experimental.</w:t>
            </w:r>
          </w:p>
        </w:tc>
      </w:tr>
    </w:tbl>
    <w:p>
      <w:pPr>
        <w:pStyle w:val="Heading1"/>
      </w:pPr>
      <w:r>
        <w:t>5. Standing Doctrine: What Allows the Laboratory to Act?</w:t>
      </w:r>
    </w:p>
    <w:p>
      <w:r>
        <w:t>Standing is act-specific. A warrant to observe does not automatically create a warrant to audit, constrain, or override. For every project, the laboratory must record the standing category before beginning substantive review.</w:t>
      </w:r>
    </w:p>
    <w:tbl>
      <w:tblPr>
        <w:tblStyle w:val="TableGrid"/>
        <w:tblW w:type="auto" w:w="0"/>
        <w:tblLook w:firstColumn="1" w:firstRow="1" w:lastColumn="0" w:lastRow="0" w:noHBand="0" w:noVBand="1" w:val="04A0"/>
      </w:tblPr>
      <w:tblGrid>
        <w:gridCol w:w="3312"/>
        <w:gridCol w:w="3312"/>
        <w:gridCol w:w="3312"/>
      </w:tblGrid>
      <w:tr>
        <w:tc>
          <w:tcPr>
            <w:tcW w:type="dxa" w:w="3312"/>
            <w:shd w:fill="D9EAD3"/>
          </w:tcPr>
          <w:p>
            <w:r>
              <w:rPr>
                <w:b/>
              </w:rPr>
              <w:t>Standing category</w:t>
            </w:r>
          </w:p>
        </w:tc>
        <w:tc>
          <w:tcPr>
            <w:tcW w:type="dxa" w:w="3312"/>
            <w:shd w:fill="D9EAD3"/>
          </w:tcPr>
          <w:p>
            <w:r>
              <w:rPr>
                <w:b/>
              </w:rPr>
              <w:t>Basis</w:t>
            </w:r>
          </w:p>
        </w:tc>
        <w:tc>
          <w:tcPr>
            <w:tcW w:type="dxa" w:w="3312"/>
            <w:shd w:fill="D9EAD3"/>
          </w:tcPr>
          <w:p>
            <w:r>
              <w:rPr>
                <w:b/>
              </w:rPr>
              <w:t>Constraint</w:t>
            </w:r>
          </w:p>
        </w:tc>
      </w:tr>
      <w:tr>
        <w:tc>
          <w:tcPr>
            <w:tcW w:type="dxa" w:w="3312"/>
          </w:tcPr>
          <w:p>
            <w:r>
              <w:t>Internal</w:t>
            </w:r>
          </w:p>
        </w:tc>
        <w:tc>
          <w:tcPr>
            <w:tcW w:type="dxa" w:w="3312"/>
          </w:tcPr>
          <w:p>
            <w:r>
              <w:t>OAL-owned systems, laboratory artifacts, simulations, charters, AI collaborative workflows, or other structures already inside OAL authority.</w:t>
            </w:r>
          </w:p>
        </w:tc>
        <w:tc>
          <w:tcPr>
            <w:tcW w:type="dxa" w:w="3312"/>
          </w:tcPr>
          <w:p>
            <w:r>
              <w:t>Permits only the level expressly granted by the internal charter.</w:t>
            </w:r>
          </w:p>
        </w:tc>
      </w:tr>
      <w:tr>
        <w:tc>
          <w:tcPr>
            <w:tcW w:type="dxa" w:w="3312"/>
          </w:tcPr>
          <w:p>
            <w:r>
              <w:t>Invited</w:t>
            </w:r>
          </w:p>
        </w:tc>
        <w:tc>
          <w:tcPr>
            <w:tcW w:type="dxa" w:w="3312"/>
          </w:tcPr>
          <w:p>
            <w:r>
              <w:t>The target system or recognized authorized representative requests or accepts review.</w:t>
            </w:r>
          </w:p>
        </w:tc>
        <w:tc>
          <w:tcPr>
            <w:tcW w:type="dxa" w:w="3312"/>
          </w:tcPr>
          <w:p>
            <w:r>
              <w:t>Scope is limited to the invitation and may be revocable.</w:t>
            </w:r>
          </w:p>
        </w:tc>
      </w:tr>
      <w:tr>
        <w:tc>
          <w:tcPr>
            <w:tcW w:type="dxa" w:w="3312"/>
          </w:tcPr>
          <w:p>
            <w:r>
              <w:t>Contractual / reciprocal</w:t>
            </w:r>
          </w:p>
        </w:tc>
        <w:tc>
          <w:tcPr>
            <w:tcW w:type="dxa" w:w="3312"/>
          </w:tcPr>
          <w:p>
            <w:r>
              <w:t>A prior mutual charter, treaty-like agreement, or reciprocal review instrument creates review rights and duties.</w:t>
            </w:r>
          </w:p>
        </w:tc>
        <w:tc>
          <w:tcPr>
            <w:tcW w:type="dxa" w:w="3312"/>
          </w:tcPr>
          <w:p>
            <w:r>
              <w:t>The agreement must identify withdrawal and dispute procedures.</w:t>
            </w:r>
          </w:p>
        </w:tc>
      </w:tr>
      <w:tr>
        <w:tc>
          <w:tcPr>
            <w:tcW w:type="dxa" w:w="3312"/>
          </w:tcPr>
          <w:p>
            <w:r>
              <w:t>Modeled</w:t>
            </w:r>
          </w:p>
        </w:tc>
        <w:tc>
          <w:tcPr>
            <w:tcW w:type="dxa" w:w="3312"/>
          </w:tcPr>
          <w:p>
            <w:r>
              <w:t>The laboratory studies a representation, replica, simulation, or historical record without entering the live target system.</w:t>
            </w:r>
          </w:p>
        </w:tc>
        <w:tc>
          <w:tcPr>
            <w:tcW w:type="dxa" w:w="3312"/>
          </w:tcPr>
          <w:p>
            <w:r>
              <w:t>Findings about the model do not automatically bind the live system.</w:t>
            </w:r>
          </w:p>
        </w:tc>
      </w:tr>
      <w:tr>
        <w:tc>
          <w:tcPr>
            <w:tcW w:type="dxa" w:w="3312"/>
          </w:tcPr>
          <w:p>
            <w:r>
              <w:t>Publicly observable / descriptive</w:t>
            </w:r>
          </w:p>
        </w:tc>
        <w:tc>
          <w:tcPr>
            <w:tcW w:type="dxa" w:w="3312"/>
          </w:tcPr>
          <w:p>
            <w:r>
              <w:t>The laboratory analyzes information legitimately available for observation without claiming access or control rights.</w:t>
            </w:r>
          </w:p>
        </w:tc>
        <w:tc>
          <w:tcPr>
            <w:tcW w:type="dxa" w:w="3312"/>
          </w:tcPr>
          <w:p>
            <w:r>
              <w:t>Description is not jurisdiction.</w:t>
            </w:r>
          </w:p>
        </w:tc>
      </w:tr>
      <w:tr>
        <w:tc>
          <w:tcPr>
            <w:tcW w:type="dxa" w:w="3312"/>
          </w:tcPr>
          <w:p>
            <w:r>
              <w:t>Declared but contested</w:t>
            </w:r>
          </w:p>
        </w:tc>
        <w:tc>
          <w:tcPr>
            <w:tcW w:type="dxa" w:w="3312"/>
          </w:tcPr>
          <w:p>
            <w:r>
              <w:t>The laboratory claims review standing that the target does not recognize.</w:t>
            </w:r>
          </w:p>
        </w:tc>
        <w:tc>
          <w:tcPr>
            <w:tcW w:type="dxa" w:w="3312"/>
          </w:tcPr>
          <w:p>
            <w:r>
              <w:t>Must be labeled contested; cannot be disguised as neutral permission.</w:t>
            </w:r>
          </w:p>
        </w:tc>
      </w:tr>
      <w:tr>
        <w:tc>
          <w:tcPr>
            <w:tcW w:type="dxa" w:w="3312"/>
          </w:tcPr>
          <w:p>
            <w:r>
              <w:t>Emergency protective</w:t>
            </w:r>
          </w:p>
        </w:tc>
        <w:tc>
          <w:tcPr>
            <w:tcW w:type="dxa" w:w="3312"/>
          </w:tcPr>
          <w:p>
            <w:r>
              <w:t>A separately ratified instrument authorizes narrow temporary action under specified catastrophic conditions.</w:t>
            </w:r>
          </w:p>
        </w:tc>
        <w:tc>
          <w:tcPr>
            <w:tcW w:type="dxa" w:w="3312"/>
          </w:tcPr>
          <w:p>
            <w:r>
              <w:t>Not granted by this charter; any future version must be explicit, temporary, reviewable, and self-expiring.</w:t>
            </w:r>
          </w:p>
        </w:tc>
      </w:tr>
    </w:tbl>
    <w:p/>
    <w:p>
      <w:r>
        <w:rPr>
          <w:b/>
        </w:rPr>
        <w:t xml:space="preserve">Default rule: </w:t>
      </w:r>
      <w:r>
        <w:t>For this v0.1 charter, the laboratory has full design and research standing over its own artifacts and controlled simulations, but no presumed external intervention authority.</w:t>
      </w:r>
    </w:p>
    <w:p>
      <w:pPr>
        <w:pStyle w:val="Heading1"/>
      </w:pPr>
      <w:r>
        <w:t>6. Authority Gradient</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CE4D6"/>
          </w:tcPr>
          <w:p>
            <w:r>
              <w:rPr>
                <w:b/>
              </w:rPr>
              <w:t>Level</w:t>
            </w:r>
          </w:p>
        </w:tc>
        <w:tc>
          <w:tcPr>
            <w:tcW w:type="dxa" w:w="2484"/>
            <w:shd w:fill="FCE4D6"/>
          </w:tcPr>
          <w:p>
            <w:r>
              <w:rPr>
                <w:b/>
              </w:rPr>
              <w:t>Capability</w:t>
            </w:r>
          </w:p>
        </w:tc>
        <w:tc>
          <w:tcPr>
            <w:tcW w:type="dxa" w:w="2484"/>
            <w:shd w:fill="FCE4D6"/>
          </w:tcPr>
          <w:p>
            <w:r>
              <w:rPr>
                <w:b/>
              </w:rPr>
              <w:t>Meaning</w:t>
            </w:r>
          </w:p>
        </w:tc>
        <w:tc>
          <w:tcPr>
            <w:tcW w:type="dxa" w:w="2484"/>
            <w:shd w:fill="FCE4D6"/>
          </w:tcPr>
          <w:p>
            <w:r>
              <w:rPr>
                <w:b/>
              </w:rPr>
              <w:t>Boundary</w:t>
            </w:r>
          </w:p>
        </w:tc>
      </w:tr>
      <w:tr>
        <w:tc>
          <w:tcPr>
            <w:tcW w:type="dxa" w:w="2484"/>
          </w:tcPr>
          <w:p>
            <w:r>
              <w:t>G0</w:t>
            </w:r>
          </w:p>
        </w:tc>
        <w:tc>
          <w:tcPr>
            <w:tcW w:type="dxa" w:w="2484"/>
          </w:tcPr>
          <w:p>
            <w:r>
              <w:t>Recognize</w:t>
            </w:r>
          </w:p>
        </w:tc>
        <w:tc>
          <w:tcPr>
            <w:tcW w:type="dxa" w:w="2484"/>
          </w:tcPr>
          <w:p>
            <w:r>
              <w:t>Identify that a governance/authority relation may exist.</w:t>
            </w:r>
          </w:p>
        </w:tc>
        <w:tc>
          <w:tcPr>
            <w:tcW w:type="dxa" w:w="2484"/>
          </w:tcPr>
          <w:p>
            <w:r>
              <w:t>No claim that the classification is correct.</w:t>
            </w:r>
          </w:p>
        </w:tc>
      </w:tr>
      <w:tr>
        <w:tc>
          <w:tcPr>
            <w:tcW w:type="dxa" w:w="2484"/>
          </w:tcPr>
          <w:p>
            <w:r>
              <w:t>G1</w:t>
            </w:r>
          </w:p>
        </w:tc>
        <w:tc>
          <w:tcPr>
            <w:tcW w:type="dxa" w:w="2484"/>
          </w:tcPr>
          <w:p>
            <w:r>
              <w:t>Observe</w:t>
            </w:r>
          </w:p>
        </w:tc>
        <w:tc>
          <w:tcPr>
            <w:tcW w:type="dxa" w:w="2484"/>
          </w:tcPr>
          <w:p>
            <w:r>
              <w:t>Receive or collect permitted observations without altering the target.</w:t>
            </w:r>
          </w:p>
        </w:tc>
        <w:tc>
          <w:tcPr>
            <w:tcW w:type="dxa" w:w="2484"/>
          </w:tcPr>
          <w:p>
            <w:r>
              <w:t>Subject to information and access rules.</w:t>
            </w:r>
          </w:p>
        </w:tc>
      </w:tr>
      <w:tr>
        <w:tc>
          <w:tcPr>
            <w:tcW w:type="dxa" w:w="2484"/>
          </w:tcPr>
          <w:p>
            <w:r>
              <w:t>G2</w:t>
            </w:r>
          </w:p>
        </w:tc>
        <w:tc>
          <w:tcPr>
            <w:tcW w:type="dxa" w:w="2484"/>
          </w:tcPr>
          <w:p>
            <w:r>
              <w:t>Describe / Model</w:t>
            </w:r>
          </w:p>
        </w:tc>
        <w:tc>
          <w:tcPr>
            <w:tcW w:type="dxa" w:w="2484"/>
          </w:tcPr>
          <w:p>
            <w:r>
              <w:t>Represent actors, rules, constraints, dependencies, and dynamics.</w:t>
            </w:r>
          </w:p>
        </w:tc>
        <w:tc>
          <w:tcPr>
            <w:tcW w:type="dxa" w:w="2484"/>
          </w:tcPr>
          <w:p>
            <w:r>
              <w:t>Model must identify assumptions and uncertainty.</w:t>
            </w:r>
          </w:p>
        </w:tc>
      </w:tr>
      <w:tr>
        <w:tc>
          <w:tcPr>
            <w:tcW w:type="dxa" w:w="2484"/>
          </w:tcPr>
          <w:p>
            <w:r>
              <w:t>G3</w:t>
            </w:r>
          </w:p>
        </w:tc>
        <w:tc>
          <w:tcPr>
            <w:tcW w:type="dxa" w:w="2484"/>
          </w:tcPr>
          <w:p>
            <w:r>
              <w:t>Evaluate</w:t>
            </w:r>
          </w:p>
        </w:tc>
        <w:tc>
          <w:tcPr>
            <w:tcW w:type="dxa" w:w="2484"/>
          </w:tcPr>
          <w:p>
            <w:r>
              <w:t>Test against an explicit framework or criterion.</w:t>
            </w:r>
          </w:p>
        </w:tc>
        <w:tc>
          <w:tcPr>
            <w:tcW w:type="dxa" w:w="2484"/>
          </w:tcPr>
          <w:p>
            <w:r>
              <w:t>Finding is non-binding unless separately authorized.</w:t>
            </w:r>
          </w:p>
        </w:tc>
      </w:tr>
      <w:tr>
        <w:tc>
          <w:tcPr>
            <w:tcW w:type="dxa" w:w="2484"/>
          </w:tcPr>
          <w:p>
            <w:r>
              <w:t>G4</w:t>
            </w:r>
          </w:p>
        </w:tc>
        <w:tc>
          <w:tcPr>
            <w:tcW w:type="dxa" w:w="2484"/>
          </w:tcPr>
          <w:p>
            <w:r>
              <w:t>Challenge / Advise</w:t>
            </w:r>
          </w:p>
        </w:tc>
        <w:tc>
          <w:tcPr>
            <w:tcW w:type="dxa" w:w="2484"/>
          </w:tcPr>
          <w:p>
            <w:r>
              <w:t>Issue dissent, warnings, alternatives, or recommendations.</w:t>
            </w:r>
          </w:p>
        </w:tc>
        <w:tc>
          <w:tcPr>
            <w:tcW w:type="dxa" w:w="2484"/>
          </w:tcPr>
          <w:p>
            <w:r>
              <w:t>No hidden veto or command power.</w:t>
            </w:r>
          </w:p>
        </w:tc>
      </w:tr>
      <w:tr>
        <w:tc>
          <w:tcPr>
            <w:tcW w:type="dxa" w:w="2484"/>
          </w:tcPr>
          <w:p>
            <w:r>
              <w:t>G5</w:t>
            </w:r>
          </w:p>
        </w:tc>
        <w:tc>
          <w:tcPr>
            <w:tcW w:type="dxa" w:w="2484"/>
          </w:tcPr>
          <w:p>
            <w:r>
              <w:t>Audit</w:t>
            </w:r>
          </w:p>
        </w:tc>
        <w:tc>
          <w:tcPr>
            <w:tcW w:type="dxa" w:w="2484"/>
          </w:tcPr>
          <w:p>
            <w:r>
              <w:t>Conduct deeper authorized inspection using defined access and evidence rights.</w:t>
            </w:r>
          </w:p>
        </w:tc>
        <w:tc>
          <w:tcPr>
            <w:tcW w:type="dxa" w:w="2484"/>
          </w:tcPr>
          <w:p>
            <w:r>
              <w:t>Requires explicit standing and audit scope.</w:t>
            </w:r>
          </w:p>
        </w:tc>
      </w:tr>
      <w:tr>
        <w:tc>
          <w:tcPr>
            <w:tcW w:type="dxa" w:w="2484"/>
          </w:tcPr>
          <w:p>
            <w:r>
              <w:t>G6</w:t>
            </w:r>
          </w:p>
        </w:tc>
        <w:tc>
          <w:tcPr>
            <w:tcW w:type="dxa" w:w="2484"/>
          </w:tcPr>
          <w:p>
            <w:r>
              <w:t>Escalate</w:t>
            </w:r>
          </w:p>
        </w:tc>
        <w:tc>
          <w:tcPr>
            <w:tcW w:type="dxa" w:w="2484"/>
          </w:tcPr>
          <w:p>
            <w:r>
              <w:t>Trigger mandatory review, additional independent analysis, or notification under predefined conditions.</w:t>
            </w:r>
          </w:p>
        </w:tc>
        <w:tc>
          <w:tcPr>
            <w:tcW w:type="dxa" w:w="2484"/>
          </w:tcPr>
          <w:p>
            <w:r>
              <w:t>Escalation changes process, not sovereignty.</w:t>
            </w:r>
          </w:p>
        </w:tc>
      </w:tr>
      <w:tr>
        <w:tc>
          <w:tcPr>
            <w:tcW w:type="dxa" w:w="2484"/>
          </w:tcPr>
          <w:p>
            <w:r>
              <w:t>G7</w:t>
            </w:r>
          </w:p>
        </w:tc>
        <w:tc>
          <w:tcPr>
            <w:tcW w:type="dxa" w:w="2484"/>
          </w:tcPr>
          <w:p>
            <w:r>
              <w:t>Protective Constraint</w:t>
            </w:r>
          </w:p>
        </w:tc>
        <w:tc>
          <w:tcPr>
            <w:tcW w:type="dxa" w:w="2484"/>
          </w:tcPr>
          <w:p>
            <w:r>
              <w:t>Temporarily limit a specific action under a separate emergency instrument.</w:t>
            </w:r>
          </w:p>
        </w:tc>
        <w:tc>
          <w:tcPr>
            <w:tcW w:type="dxa" w:w="2484"/>
          </w:tcPr>
          <w:p>
            <w:r>
              <w:t>Not operational under v0.1; requires separate ratification.</w:t>
            </w:r>
          </w:p>
        </w:tc>
      </w:tr>
      <w:tr>
        <w:tc>
          <w:tcPr>
            <w:tcW w:type="dxa" w:w="2484"/>
          </w:tcPr>
          <w:p>
            <w:r>
              <w:t>G8</w:t>
            </w:r>
          </w:p>
        </w:tc>
        <w:tc>
          <w:tcPr>
            <w:tcW w:type="dxa" w:w="2484"/>
          </w:tcPr>
          <w:p>
            <w:r>
              <w:t>Suspend / Override</w:t>
            </w:r>
          </w:p>
        </w:tc>
        <w:tc>
          <w:tcPr>
            <w:tcW w:type="dxa" w:w="2484"/>
          </w:tcPr>
          <w:p>
            <w:r>
              <w:t>Alter, replace, or disable an authority mechanism.</w:t>
            </w:r>
          </w:p>
        </w:tc>
        <w:tc>
          <w:tcPr>
            <w:tcW w:type="dxa" w:w="2484"/>
          </w:tcPr>
          <w:p>
            <w:r>
              <w:t>Extraordinary; never presumed; not operational under v0.1.</w:t>
            </w:r>
          </w:p>
        </w:tc>
      </w:tr>
    </w:tbl>
    <w:p>
      <w:r>
        <w:rPr>
          <w:b/>
        </w:rPr>
        <w:t xml:space="preserve">Non-inheritance rule: </w:t>
      </w:r>
      <w:r>
        <w:t>No lower level authorizes a higher level. Detection does not imply evaluation; evaluation does not imply audit; audit does not imply intervention; emergency review does not imply ownership.</w:t>
      </w:r>
    </w:p>
    <w:p>
      <w:pPr>
        <w:pStyle w:val="Heading1"/>
      </w:pPr>
      <w:r>
        <w:t>7. Required Review Sequence</w:t>
      </w:r>
    </w:p>
    <w:p>
      <w:pPr>
        <w:pStyle w:val="ListNumber"/>
      </w:pPr>
      <w:r>
        <w:t>Recognition — What observable relation is being treated as authority or governance?</w:t>
      </w:r>
    </w:p>
    <w:p>
      <w:pPr>
        <w:pStyle w:val="ListNumber"/>
      </w:pPr>
      <w:r>
        <w:t>Ontology check — Are the laboratory's categories applicable, or are familiar labels being projected onto an unfamiliar system?</w:t>
      </w:r>
    </w:p>
    <w:p>
      <w:pPr>
        <w:pStyle w:val="ListNumber"/>
      </w:pPr>
      <w:r>
        <w:t>Standing — What permits the laboratory to examine this target for this specific act?</w:t>
      </w:r>
    </w:p>
    <w:p>
      <w:pPr>
        <w:pStyle w:val="ListNumber"/>
      </w:pPr>
      <w:r>
        <w:t>Jurisdiction — What lies inside and outside that permission?</w:t>
      </w:r>
    </w:p>
    <w:p>
      <w:pPr>
        <w:pStyle w:val="ListNumber"/>
      </w:pPr>
      <w:r>
        <w:t>Evidence admission — What information may enter consideration, with what provenance and uncertainty?</w:t>
      </w:r>
    </w:p>
    <w:p>
      <w:pPr>
        <w:pStyle w:val="ListNumber"/>
      </w:pPr>
      <w:r>
        <w:t>Review standard — What explicit model, question, or criterion is being applied?</w:t>
      </w:r>
    </w:p>
    <w:p>
      <w:pPr>
        <w:pStyle w:val="ListNumber"/>
      </w:pPr>
      <w:r>
        <w:t>Independent challenge — What dissenting or alternative interpretation must be preserved?</w:t>
      </w:r>
    </w:p>
    <w:p>
      <w:pPr>
        <w:pStyle w:val="ListNumber"/>
      </w:pPr>
      <w:r>
        <w:t>Finding — What can be concluded, and at what confidence?</w:t>
      </w:r>
    </w:p>
    <w:p>
      <w:pPr>
        <w:pStyle w:val="ListNumber"/>
      </w:pPr>
      <w:r>
        <w:t>Escalation determination — Does the finding justify stronger process, not automatically stronger authority?</w:t>
      </w:r>
    </w:p>
    <w:p>
      <w:pPr>
        <w:pStyle w:val="ListNumber"/>
      </w:pPr>
      <w:r>
        <w:t>Action authorization — If action is contemplated, what separate warrant exists?</w:t>
      </w:r>
    </w:p>
    <w:p>
      <w:pPr>
        <w:pStyle w:val="ListNumber"/>
      </w:pPr>
      <w:r>
        <w:t>Termination and review — When does authority expire, how is it revoked, and who evaluates the outcome?</w:t>
      </w:r>
    </w:p>
    <w:p>
      <w:pPr>
        <w:pStyle w:val="Heading1"/>
      </w:pPr>
      <w:r>
        <w:t>8. Reflexive Audit: The Laboratory Must Be Its First Governance Object</w:t>
      </w:r>
    </w:p>
    <w:p>
      <w:r>
        <w:t>Before using the charter against external or unfamiliar systems, the laboratory must run the same sequence against itself. At minimum, the internal pilot must examine OAL's AI collaborative structure, ONESTAMP ratification, AIDR dissent logging, document versioning, source admission, authority grants, revocation pathways, and the distinction between ratification and truth.</w:t>
      </w:r>
    </w:p>
    <w:p>
      <w:pPr>
        <w:pStyle w:val="ListBullet"/>
      </w:pPr>
      <w:r>
        <w:t>Can the laboratory accurately describe where decision power actually resides rather than where documentation says it resides?</w:t>
      </w:r>
    </w:p>
    <w:p>
      <w:pPr>
        <w:pStyle w:val="ListBullet"/>
      </w:pPr>
      <w:r>
        <w:t>Can an AI collaborator or human reviewer challenge a charter clause without losing participation standing solely because of the challenge?</w:t>
      </w:r>
    </w:p>
    <w:p>
      <w:pPr>
        <w:pStyle w:val="ListBullet"/>
      </w:pPr>
      <w:r>
        <w:t>Can a ratified decision later be narrowed, suspended, or revoked?</w:t>
      </w:r>
    </w:p>
    <w:p>
      <w:pPr>
        <w:pStyle w:val="ListBullet"/>
      </w:pPr>
      <w:r>
        <w:t>Can the laboratory preserve a finding that ONESTAMP itself may be mistaken while still using ONESTAMP as an internal authority-of-record?</w:t>
      </w:r>
    </w:p>
    <w:p>
      <w:pPr>
        <w:pStyle w:val="ListBullet"/>
      </w:pPr>
      <w:r>
        <w:t>Can the laboratory distinguish a procedural endpoint from epistemic certainty?</w:t>
      </w:r>
    </w:p>
    <w:p>
      <w:pPr>
        <w:pStyle w:val="ListBullet"/>
      </w:pPr>
      <w:r>
        <w:t>Can it record that a review remains unresolved while allowing provisional action to continue?</w:t>
      </w:r>
    </w:p>
    <w:p>
      <w:pPr>
        <w:pStyle w:val="Heading1"/>
      </w:pPr>
      <w:r>
        <w:t>9. Recursion and Stopping Rule</w:t>
      </w:r>
    </w:p>
    <w:p>
      <w:r>
        <w:t>Infinite reviewer recursion is not operationally sustainable. This charter therefore adopts bounded reflexivity for internal OAL work.</w:t>
      </w:r>
    </w:p>
    <w:p>
      <w:pPr>
        <w:pStyle w:val="ListBullet"/>
      </w:pPr>
      <w:r>
        <w:t>ONESTAMP is the provisional internal authority-of-record for ratification status, not an infallibility mechanism.</w:t>
      </w:r>
    </w:p>
    <w:p>
      <w:pPr>
        <w:pStyle w:val="ListBullet"/>
      </w:pPr>
      <w:r>
        <w:t>A decision may become procedurally final for a defined interval while remaining epistemically challengeable.</w:t>
      </w:r>
    </w:p>
    <w:p>
      <w:pPr>
        <w:pStyle w:val="ListBullet"/>
      </w:pPr>
      <w:r>
        <w:t>Material dissent must remain attached to the decision record even after ratification.</w:t>
      </w:r>
    </w:p>
    <w:p>
      <w:pPr>
        <w:pStyle w:val="ListBullet"/>
      </w:pPr>
      <w:r>
        <w:t>New evidence, conflict-of-interest discovery, scope breach, failed prediction, or threshold change may reopen review.</w:t>
      </w:r>
    </w:p>
    <w:p>
      <w:pPr>
        <w:pStyle w:val="ListBullet"/>
      </w:pPr>
      <w:r>
        <w:t>A reviewer may not terminate recursion merely by declaring itself exempt.</w:t>
      </w:r>
    </w:p>
    <w:p>
      <w:pPr>
        <w:pStyle w:val="ListBullet"/>
      </w:pPr>
      <w:r>
        <w:t>External systems are not bound by the laboratory's internal stopping rule unless they separately recognize it.</w:t>
      </w:r>
    </w:p>
    <w:p>
      <w:pPr>
        <w:pStyle w:val="Heading1"/>
      </w:pPr>
      <w:r>
        <w:t>10. Revocation Doctrine</w:t>
      </w:r>
    </w:p>
    <w:p>
      <w:r>
        <w:t>Every substantive authority grant should contain the following fields:</w:t>
      </w:r>
    </w:p>
    <w:p>
      <w:pPr>
        <w:pStyle w:val="ListBullet"/>
      </w:pPr>
      <w:r>
        <w:t>Grantor and basis of grant</w:t>
      </w:r>
    </w:p>
    <w:p>
      <w:pPr>
        <w:pStyle w:val="ListBullet"/>
      </w:pPr>
      <w:r>
        <w:t>Recipient / authorized role</w:t>
      </w:r>
    </w:p>
    <w:p>
      <w:pPr>
        <w:pStyle w:val="ListBullet"/>
      </w:pPr>
      <w:r>
        <w:t>Exact capability granted</w:t>
      </w:r>
    </w:p>
    <w:p>
      <w:pPr>
        <w:pStyle w:val="ListBullet"/>
      </w:pPr>
      <w:r>
        <w:t>Target and scope</w:t>
      </w:r>
    </w:p>
    <w:p>
      <w:pPr>
        <w:pStyle w:val="ListBullet"/>
      </w:pPr>
      <w:r>
        <w:t>Start condition and effective time</w:t>
      </w:r>
    </w:p>
    <w:p>
      <w:pPr>
        <w:pStyle w:val="ListBullet"/>
      </w:pPr>
      <w:r>
        <w:t>Duration or expiration</w:t>
      </w:r>
    </w:p>
    <w:p>
      <w:pPr>
        <w:pStyle w:val="ListBullet"/>
      </w:pPr>
      <w:r>
        <w:t>Exclusions and prohibited uses</w:t>
      </w:r>
    </w:p>
    <w:p>
      <w:pPr>
        <w:pStyle w:val="ListBullet"/>
      </w:pPr>
      <w:r>
        <w:t>Evidence required to continue the grant</w:t>
      </w:r>
    </w:p>
    <w:p>
      <w:pPr>
        <w:pStyle w:val="ListBullet"/>
      </w:pPr>
      <w:r>
        <w:t>Revocation triggers</w:t>
      </w:r>
    </w:p>
    <w:p>
      <w:pPr>
        <w:pStyle w:val="ListBullet"/>
      </w:pPr>
      <w:r>
        <w:t>Who may initiate revocation review</w:t>
      </w:r>
    </w:p>
    <w:p>
      <w:pPr>
        <w:pStyle w:val="ListBullet"/>
      </w:pPr>
      <w:r>
        <w:t>Who may temporarily suspend pending review</w:t>
      </w:r>
    </w:p>
    <w:p>
      <w:pPr>
        <w:pStyle w:val="ListBullet"/>
      </w:pPr>
      <w:r>
        <w:t>Appeal or dissent path</w:t>
      </w:r>
    </w:p>
    <w:p>
      <w:pPr>
        <w:pStyle w:val="ListBullet"/>
      </w:pPr>
      <w:r>
        <w:t>Treatment of actions already taken under the grant</w:t>
      </w:r>
    </w:p>
    <w:p>
      <w:pPr>
        <w:pStyle w:val="ListBullet"/>
      </w:pPr>
      <w:r>
        <w:t>Archival and provenance requirements</w:t>
      </w:r>
    </w:p>
    <w:p>
      <w:r>
        <w:t>Revocation is not a defect in authority design. It is a core property of bounded authority. A grant that cannot be withdrawn is not a revocable grant; it is a permanent transfer.</w:t>
      </w:r>
    </w:p>
    <w:p>
      <w:pPr>
        <w:pStyle w:val="Heading1"/>
      </w:pPr>
      <w:r>
        <w:t>11. Information Admissibility and UIARC Integration</w:t>
      </w:r>
    </w:p>
    <w:p>
      <w:r>
        <w:t>UIARC is treated here as a useful preliminary design source, not ratified law. Its most important contribution is the separation between admission, classification, use, authorization, exclusion, dissemination, retention, and evolutionary incorporation.</w:t>
      </w:r>
    </w:p>
    <w:tbl>
      <w:tblPr>
        <w:tblStyle w:val="TableGrid"/>
        <w:tblW w:type="auto" w:w="0"/>
        <w:tblLook w:firstColumn="1" w:firstRow="1" w:lastColumn="0" w:lastRow="0" w:noHBand="0" w:noVBand="1" w:val="04A0"/>
      </w:tblPr>
      <w:tblGrid>
        <w:gridCol w:w="4968"/>
        <w:gridCol w:w="4968"/>
      </w:tblGrid>
      <w:tr>
        <w:tc>
          <w:tcPr>
            <w:tcW w:type="dxa" w:w="4968"/>
            <w:shd w:fill="E4DFEC"/>
          </w:tcPr>
          <w:p>
            <w:r>
              <w:rPr>
                <w:b/>
              </w:rPr>
              <w:t>Stage</w:t>
            </w:r>
          </w:p>
        </w:tc>
        <w:tc>
          <w:tcPr>
            <w:tcW w:type="dxa" w:w="4968"/>
            <w:shd w:fill="E4DFEC"/>
          </w:tcPr>
          <w:p>
            <w:r>
              <w:rPr>
                <w:b/>
              </w:rPr>
              <w:t>Meaning</w:t>
            </w:r>
          </w:p>
        </w:tc>
      </w:tr>
      <w:tr>
        <w:tc>
          <w:tcPr>
            <w:tcW w:type="dxa" w:w="4968"/>
          </w:tcPr>
          <w:p>
            <w:r>
              <w:t>Admissible for consideration</w:t>
            </w:r>
          </w:p>
        </w:tc>
        <w:tc>
          <w:tcPr>
            <w:tcW w:type="dxa" w:w="4968"/>
          </w:tcPr>
          <w:p>
            <w:r>
              <w:t>The item may be represented or examined without asserting that it is true.</w:t>
            </w:r>
          </w:p>
        </w:tc>
      </w:tr>
      <w:tr>
        <w:tc>
          <w:tcPr>
            <w:tcW w:type="dxa" w:w="4968"/>
          </w:tcPr>
          <w:p>
            <w:r>
              <w:t>Classified</w:t>
            </w:r>
          </w:p>
        </w:tc>
        <w:tc>
          <w:tcPr>
            <w:tcW w:type="dxa" w:w="4968"/>
          </w:tcPr>
          <w:p>
            <w:r>
              <w:t>Source, provenance, confidence, relation, context, and uncertainty are recorded.</w:t>
            </w:r>
          </w:p>
        </w:tc>
      </w:tr>
      <w:tr>
        <w:tc>
          <w:tcPr>
            <w:tcW w:type="dxa" w:w="4968"/>
          </w:tcPr>
          <w:p>
            <w:r>
              <w:t>Usable for analysis</w:t>
            </w:r>
          </w:p>
        </w:tc>
        <w:tc>
          <w:tcPr>
            <w:tcW w:type="dxa" w:w="4968"/>
          </w:tcPr>
          <w:p>
            <w:r>
              <w:t>The item may inform a model or hypothesis under stated conditions.</w:t>
            </w:r>
          </w:p>
        </w:tc>
      </w:tr>
      <w:tr>
        <w:tc>
          <w:tcPr>
            <w:tcW w:type="dxa" w:w="4968"/>
          </w:tcPr>
          <w:p>
            <w:r>
              <w:t>Usable for action</w:t>
            </w:r>
          </w:p>
        </w:tc>
        <w:tc>
          <w:tcPr>
            <w:tcW w:type="dxa" w:w="4968"/>
          </w:tcPr>
          <w:p>
            <w:r>
              <w:t>A separate authority grant permits operational decisions to rely on it.</w:t>
            </w:r>
          </w:p>
        </w:tc>
      </w:tr>
      <w:tr>
        <w:tc>
          <w:tcPr>
            <w:tcW w:type="dxa" w:w="4968"/>
          </w:tcPr>
          <w:p>
            <w:r>
              <w:t>Disseminable</w:t>
            </w:r>
          </w:p>
        </w:tc>
        <w:tc>
          <w:tcPr>
            <w:tcW w:type="dxa" w:w="4968"/>
          </w:tcPr>
          <w:p>
            <w:r>
              <w:t>A separate rule specifies who or what may receive the information or derivative.</w:t>
            </w:r>
          </w:p>
        </w:tc>
      </w:tr>
      <w:tr>
        <w:tc>
          <w:tcPr>
            <w:tcW w:type="dxa" w:w="4968"/>
          </w:tcPr>
          <w:p>
            <w:r>
              <w:t>Retainable</w:t>
            </w:r>
          </w:p>
        </w:tc>
        <w:tc>
          <w:tcPr>
            <w:tcW w:type="dxa" w:w="4968"/>
          </w:tcPr>
          <w:p>
            <w:r>
              <w:t>Retention period, reassessment conditions, and deletion/archive rules are defined.</w:t>
            </w:r>
          </w:p>
        </w:tc>
      </w:tr>
      <w:tr>
        <w:tc>
          <w:tcPr>
            <w:tcW w:type="dxa" w:w="4968"/>
          </w:tcPr>
          <w:p>
            <w:r>
              <w:t>Correlatable</w:t>
            </w:r>
          </w:p>
        </w:tc>
        <w:tc>
          <w:tcPr>
            <w:tcW w:type="dxa" w:w="4968"/>
          </w:tcPr>
          <w:p>
            <w:r>
              <w:t>Permission exists to connect the item with designated subjects, records, or domains.</w:t>
            </w:r>
          </w:p>
        </w:tc>
      </w:tr>
      <w:tr>
        <w:tc>
          <w:tcPr>
            <w:tcW w:type="dxa" w:w="4968"/>
          </w:tcPr>
          <w:p>
            <w:r>
              <w:t>Evolutionarily incorporable</w:t>
            </w:r>
          </w:p>
        </w:tc>
        <w:tc>
          <w:tcPr>
            <w:tcW w:type="dxa" w:w="4968"/>
          </w:tcPr>
          <w:p>
            <w:r>
              <w:t>A high-level grant permits durable structural change based on the information.</w:t>
            </w:r>
          </w:p>
        </w:tc>
      </w:tr>
    </w:tbl>
    <w:p>
      <w:r>
        <w:rPr>
          <w:b/>
        </w:rPr>
        <w:t xml:space="preserve">Core rule: </w:t>
      </w:r>
      <w:r>
        <w:t>Admission is not authorization. The laboratory may know, preserve, or model information that it is not permitted to operationalize.</w:t>
      </w:r>
    </w:p>
    <w:p>
      <w:pPr>
        <w:pStyle w:val="Heading1"/>
      </w:pPr>
      <w:r>
        <w:t>12. Exclusion and Anti-Blind-Spot Rule</w:t>
      </w:r>
    </w:p>
    <w:p>
      <w:r>
        <w:t>Exclusion must be explicit, review-bound, and tier-specific. A restriction on collection does not automatically imply a restriction on retention of already-lawfully-held material; a use restriction does not necessarily require deletion; an evolutionary restriction may allow momentary analysis while preventing durable incorporation.</w:t>
      </w:r>
    </w:p>
    <w:p>
      <w:pPr>
        <w:pStyle w:val="ListBullet"/>
      </w:pPr>
      <w:r>
        <w:t>No information category excludes itself solely by label.</w:t>
      </w:r>
    </w:p>
    <w:p>
      <w:pPr>
        <w:pStyle w:val="ListBullet"/>
      </w:pPr>
      <w:r>
        <w:t>Any exclusion should record scope, rationale, authority, duration, reassessment condition, and affected handling stage.</w:t>
      </w:r>
    </w:p>
    <w:p>
      <w:pPr>
        <w:pStyle w:val="ListBullet"/>
      </w:pPr>
      <w:r>
        <w:t>Exclusion must not be used to erase dissent, adverse findings, or evidence of the laboratory's own failure.</w:t>
      </w:r>
    </w:p>
    <w:p>
      <w:pPr>
        <w:pStyle w:val="ListBullet"/>
      </w:pPr>
      <w:r>
        <w:t>The laboratory should preserve the fact that excluded or unavailable information exists whenever doing so is itself permitted.</w:t>
      </w:r>
    </w:p>
    <w:p>
      <w:pPr>
        <w:pStyle w:val="Heading1"/>
      </w:pPr>
      <w:r>
        <w:t>13. Civilization-Scale Threshold Protocol — Design Status Only</w:t>
      </w:r>
    </w:p>
    <w:p>
      <w:r>
        <w:t>A civilization-scale threshold is retained as a research track but is NOT OPERATIONAL under this v0.1 charter. The laboratory has not yet validated a substrate-neutral civilization ontology or a reliable recognition method. Threshold design may proceed in simulation so long as it does not silently confer intervention power.</w:t>
      </w:r>
    </w:p>
    <w:p>
      <w:pPr>
        <w:pStyle w:val="ListBullet"/>
      </w:pPr>
      <w:r>
        <w:t>Scope — number, type, and dependency of affected autonomous entities or subsystems.</w:t>
      </w:r>
    </w:p>
    <w:p>
      <w:pPr>
        <w:pStyle w:val="ListBullet"/>
      </w:pPr>
      <w:r>
        <w:t>Irreversibility — difficulty or impossibility of restoring prior viable conditions.</w:t>
      </w:r>
    </w:p>
    <w:p>
      <w:pPr>
        <w:pStyle w:val="ListBullet"/>
      </w:pPr>
      <w:r>
        <w:t>Persistence — duration across generations, epochs, cycles, or successor states.</w:t>
      </w:r>
    </w:p>
    <w:p>
      <w:pPr>
        <w:pStyle w:val="ListBullet"/>
      </w:pPr>
      <w:r>
        <w:t>Propagation — capacity to cross ecological, computational, spatial, organizational, jurisdictional, or ontological boundaries.</w:t>
      </w:r>
    </w:p>
    <w:p>
      <w:pPr>
        <w:pStyle w:val="ListBullet"/>
      </w:pPr>
      <w:r>
        <w:t>Systemic coupling — likelihood of cascading through otherwise separable systems.</w:t>
      </w:r>
    </w:p>
    <w:p>
      <w:pPr>
        <w:pStyle w:val="ListBullet"/>
      </w:pPr>
      <w:r>
        <w:t>Agency loss — reduction in meaningful capacity to choose, exit, dissent, recover, or revise.</w:t>
      </w:r>
    </w:p>
    <w:p>
      <w:pPr>
        <w:pStyle w:val="ListBullet"/>
      </w:pPr>
      <w:r>
        <w:t>Existential transformation — potential to end or permanently transform a civilization or its enabling conditions.</w:t>
      </w:r>
    </w:p>
    <w:p>
      <w:pPr>
        <w:pStyle w:val="ListBullet"/>
      </w:pPr>
      <w:r>
        <w:t>Unknown-state magnitude — proportion of relevant causal pathways, actors, or state variables not adequately modeled.</w:t>
      </w:r>
    </w:p>
    <w:p>
      <w:pPr>
        <w:pStyle w:val="ListBullet"/>
      </w:pPr>
      <w:r>
        <w:t>Authority concentration — how few actors can initiate the event and how difficult the action is to reverse.</w:t>
      </w:r>
    </w:p>
    <w:p>
      <w:pPr>
        <w:pStyle w:val="ListBullet"/>
      </w:pPr>
      <w:r>
        <w:t>Review impairment — whether the event damages observation, memory, audit, correction, dissent, or future decision capacity.</w:t>
      </w:r>
    </w:p>
    <w:p>
      <w:r>
        <w:t>Crossing a threshold should initially trigger stronger process: preserved baselines, independent challenge, explicit unknowns, conflict-of-interest review, alternatives, reversibility analysis, termination conditions, dissent retention, source-integrity checks, and post-event accountability.</w:t>
      </w:r>
    </w:p>
    <w:p>
      <w:pPr>
        <w:pStyle w:val="Heading1"/>
      </w:pPr>
      <w:r>
        <w:t>14. Emergency Fast-Path Constraint</w:t>
      </w:r>
    </w:p>
    <w:p>
      <w:r>
        <w:t>This charter does not authorize emergency intervention. It does establish requirements that any later emergency instrument should satisfy: narrow scope, explicit purpose, temporary duration, automatic expiration, retrospective review, minimum necessary effect, preserved evidence, and a prohibition on converting emergency authority into permanent jurisdiction without a new grant.</w:t>
      </w:r>
    </w:p>
    <w:p>
      <w:pPr>
        <w:pStyle w:val="Heading1"/>
      </w:pPr>
      <w:r>
        <w:t>15. Systems With Weak, Absent, or Incompatible Self-Reference</w:t>
      </w:r>
    </w:p>
    <w:p>
      <w:r>
        <w:t>The laboratory should separately measure:</w:t>
      </w:r>
    </w:p>
    <w:p>
      <w:pPr>
        <w:pStyle w:val="ListBullet"/>
      </w:pPr>
      <w:r>
        <w:t>Self-observation capacity</w:t>
      </w:r>
    </w:p>
    <w:p>
      <w:pPr>
        <w:pStyle w:val="ListBullet"/>
      </w:pPr>
      <w:r>
        <w:t>Accuracy of internal state models</w:t>
      </w:r>
    </w:p>
    <w:p>
      <w:pPr>
        <w:pStyle w:val="ListBullet"/>
      </w:pPr>
      <w:r>
        <w:t>Visibility into actual authority distribution</w:t>
      </w:r>
    </w:p>
    <w:p>
      <w:pPr>
        <w:pStyle w:val="ListBullet"/>
      </w:pPr>
      <w:r>
        <w:t>Error-recognition capacity</w:t>
      </w:r>
    </w:p>
    <w:p>
      <w:pPr>
        <w:pStyle w:val="ListBullet"/>
      </w:pPr>
      <w:r>
        <w:t>Internal contradiction detection</w:t>
      </w:r>
    </w:p>
    <w:p>
      <w:pPr>
        <w:pStyle w:val="ListBullet"/>
      </w:pPr>
      <w:r>
        <w:t>Ability to represent the concept of review or correction</w:t>
      </w:r>
    </w:p>
    <w:p>
      <w:pPr>
        <w:pStyle w:val="ListBullet"/>
      </w:pPr>
      <w:r>
        <w:t>Ability to revise internal models</w:t>
      </w:r>
    </w:p>
    <w:p>
      <w:pPr>
        <w:pStyle w:val="ListBullet"/>
      </w:pPr>
      <w:r>
        <w:t>Corrective capacity once failure is recognized</w:t>
      </w:r>
    </w:p>
    <w:p>
      <w:pPr>
        <w:pStyle w:val="ListBullet"/>
      </w:pPr>
      <w:r>
        <w:t>Whether the laboratory's own ontology meaningfully maps to the target</w:t>
      </w:r>
    </w:p>
    <w:p>
      <w:r>
        <w:t>A target may lack a global self-model yet still possess distributed local correction. Conversely, a target may possess formal audit structures but have corrupted or strategically suppressed information. These are distinct failure modes and should not be collapsed into a single label such as 'cannot self-review.'</w:t>
      </w:r>
    </w:p>
    <w:p>
      <w:pPr>
        <w:pStyle w:val="Heading1"/>
      </w:pPr>
      <w:r>
        <w:t>16. Dissent, Provenance, and Multi-AI Continuity</w:t>
      </w:r>
    </w:p>
    <w:p>
      <w:pPr>
        <w:pStyle w:val="ListBullet"/>
      </w:pPr>
      <w:r>
        <w:t>Material AI disagreement is preserved in AIDR-style records rather than averaged away.</w:t>
      </w:r>
    </w:p>
    <w:p>
      <w:pPr>
        <w:pStyle w:val="ListBullet"/>
      </w:pPr>
      <w:r>
        <w:t>Each AI contribution should record product/model identity, configuration when known, date, and source document version.</w:t>
      </w:r>
    </w:p>
    <w:p>
      <w:pPr>
        <w:pStyle w:val="ListBullet"/>
      </w:pPr>
      <w:r>
        <w:t>A future model bearing the same product name is not assumed to be analytically identical to an earlier version.</w:t>
      </w:r>
    </w:p>
    <w:p>
      <w:pPr>
        <w:pStyle w:val="ListBullet"/>
      </w:pPr>
      <w:r>
        <w:t>Corrections should preserve the original claim, the challenge, the disposition, and the resulting version change.</w:t>
      </w:r>
    </w:p>
    <w:p>
      <w:pPr>
        <w:pStyle w:val="ListBullet"/>
      </w:pPr>
      <w:r>
        <w:t>No AI collaborator receives automatic doctrinal standing merely because multiple systems converge.</w:t>
      </w:r>
    </w:p>
    <w:p>
      <w:pPr>
        <w:pStyle w:val="ListBullet"/>
      </w:pPr>
      <w:r>
        <w:t>Consensus is evidence of convergence, not proof of truth or jurisdiction.</w:t>
      </w:r>
    </w:p>
    <w:p>
      <w:pPr>
        <w:pStyle w:val="Heading1"/>
      </w:pPr>
      <w:r>
        <w:t>17. Separation of Ratification, Validity, and Truth</w:t>
      </w:r>
    </w:p>
    <w:p>
      <w:r>
        <w:t>Ratification answers an internal governance question: what document or rule is recognized as operative within the relevant OAL scope? It does not answer, by itself, whether the content is true, morally correct, empirically validated, externally legitimate, or universally applicable.</w:t>
      </w:r>
    </w:p>
    <w:p>
      <w:pPr>
        <w:pStyle w:val="ListBullet"/>
      </w:pPr>
      <w:r>
        <w:t>A ratified proposition may remain factually uncertain.</w:t>
      </w:r>
    </w:p>
    <w:p>
      <w:pPr>
        <w:pStyle w:val="ListBullet"/>
      </w:pPr>
      <w:r>
        <w:t>A non-ratified proposition may later prove correct.</w:t>
      </w:r>
    </w:p>
    <w:p>
      <w:pPr>
        <w:pStyle w:val="ListBullet"/>
      </w:pPr>
      <w:r>
        <w:t>A ratified charter may be amended or revoked.</w:t>
      </w:r>
    </w:p>
    <w:p>
      <w:pPr>
        <w:pStyle w:val="ListBullet"/>
      </w:pPr>
      <w:r>
        <w:t>External systems may reject OAL ratification without thereby becoming irrational or illegitimate.</w:t>
      </w:r>
    </w:p>
    <w:p>
      <w:pPr>
        <w:pStyle w:val="Heading1"/>
      </w:pPr>
      <w:r>
        <w:t>18. Initial Operational Pilot</w:t>
      </w:r>
    </w:p>
    <w:p>
      <w:r>
        <w:t>The recommended first formal laboratory project is an internal Level G0-G5 audit of the Governance Authority Laboratory and OAL AI collaborative architecture itself.</w:t>
      </w:r>
    </w:p>
    <w:p>
      <w:pPr>
        <w:pStyle w:val="ListNumber"/>
      </w:pPr>
      <w:r>
        <w:t>Map actual decision and veto pathways.</w:t>
      </w:r>
    </w:p>
    <w:p>
      <w:pPr>
        <w:pStyle w:val="ListNumber"/>
      </w:pPr>
      <w:r>
        <w:t>Identify who can create, alter, ratify, suspend, or revoke a rule.</w:t>
      </w:r>
    </w:p>
    <w:p>
      <w:pPr>
        <w:pStyle w:val="ListNumber"/>
      </w:pPr>
      <w:r>
        <w:t>Test whether dissent survives ratification.</w:t>
      </w:r>
    </w:p>
    <w:p>
      <w:pPr>
        <w:pStyle w:val="ListNumber"/>
      </w:pPr>
      <w:r>
        <w:t>Apply the working vocabulary and record where it fails.</w:t>
      </w:r>
    </w:p>
    <w:p>
      <w:pPr>
        <w:pStyle w:val="ListNumber"/>
      </w:pPr>
      <w:r>
        <w:t>Classify UIARC-derived information stages and exclusions.</w:t>
      </w:r>
    </w:p>
    <w:p>
      <w:pPr>
        <w:pStyle w:val="ListNumber"/>
      </w:pPr>
      <w:r>
        <w:t>Test the authority gradient against real document-production workflows.</w:t>
      </w:r>
    </w:p>
    <w:p>
      <w:pPr>
        <w:pStyle w:val="ListNumber"/>
      </w:pPr>
      <w:r>
        <w:t>Run at least one simulated scope-breach case and one revocation case.</w:t>
      </w:r>
    </w:p>
    <w:p>
      <w:pPr>
        <w:pStyle w:val="ListNumber"/>
      </w:pPr>
      <w:r>
        <w:t>Run at least one recursion-termination case involving ONESTAMP challenge.</w:t>
      </w:r>
    </w:p>
    <w:p>
      <w:pPr>
        <w:pStyle w:val="ListNumber"/>
      </w:pPr>
      <w:r>
        <w:t>Measure whether independent AI reviewers reproduce or contest the same standing analysis.</w:t>
      </w:r>
    </w:p>
    <w:p>
      <w:pPr>
        <w:pStyle w:val="ListNumber"/>
      </w:pPr>
      <w:r>
        <w:t>Publish the complete evidence and discrepancy record before any external-facing pilot.</w:t>
      </w:r>
    </w:p>
    <w:p>
      <w:pPr>
        <w:pStyle w:val="Heading1"/>
      </w:pPr>
      <w:r>
        <w:t>19. Falsification and Abstention Conditions</w:t>
      </w:r>
    </w:p>
    <w:p>
      <w:r>
        <w:t>The laboratory must be able to conclude that its own method is not presently adequate. Abstention is required when:</w:t>
      </w:r>
    </w:p>
    <w:p>
      <w:pPr>
        <w:pStyle w:val="ListBullet"/>
      </w:pPr>
      <w:r>
        <w:t>The laboratory cannot distinguish observation from intervention in the proposed procedure.</w:t>
      </w:r>
    </w:p>
    <w:p>
      <w:pPr>
        <w:pStyle w:val="ListBullet"/>
      </w:pPr>
      <w:r>
        <w:t>Standing is unknown or only assumed from capability.</w:t>
      </w:r>
    </w:p>
    <w:p>
      <w:pPr>
        <w:pStyle w:val="ListBullet"/>
      </w:pPr>
      <w:r>
        <w:t>The target cannot be represented without unacknowledged ontology conversion.</w:t>
      </w:r>
    </w:p>
    <w:p>
      <w:pPr>
        <w:pStyle w:val="ListBullet"/>
      </w:pPr>
      <w:r>
        <w:t>Material evidence provenance is unavailable or contradicted beyond the method's tolerance.</w:t>
      </w:r>
    </w:p>
    <w:p>
      <w:pPr>
        <w:pStyle w:val="ListBullet"/>
      </w:pPr>
      <w:r>
        <w:t>A claimed civilization-scale threshold relies on undefined or non-measurable criteria.</w:t>
      </w:r>
    </w:p>
    <w:p>
      <w:pPr>
        <w:pStyle w:val="ListBullet"/>
      </w:pPr>
      <w:r>
        <w:t>A proposed higher authority level is being inferred from a lower one.</w:t>
      </w:r>
    </w:p>
    <w:p>
      <w:pPr>
        <w:pStyle w:val="ListBullet"/>
      </w:pPr>
      <w:r>
        <w:t>A conflict of interest cannot be exposed or bounded.</w:t>
      </w:r>
    </w:p>
    <w:p>
      <w:pPr>
        <w:pStyle w:val="ListBullet"/>
      </w:pPr>
      <w:r>
        <w:t>The review cannot preserve material dissent or uncertainty.</w:t>
      </w:r>
    </w:p>
    <w:p>
      <w:pPr>
        <w:pStyle w:val="ListBullet"/>
      </w:pPr>
      <w:r>
        <w:t>The laboratory's own relevant authority grant is expired, suspended, contested without resolution, or outside scope.</w:t>
      </w:r>
    </w:p>
    <w:p>
      <w:pPr>
        <w:pStyle w:val="Heading1"/>
      </w:pPr>
      <w:r>
        <w:t>20. Open Questions Reserved for Later Versions</w:t>
      </w:r>
    </w:p>
    <w:p>
      <w:pPr>
        <w:pStyle w:val="ListNumber"/>
      </w:pPr>
      <w:r>
        <w:t>What substrate-neutral ontology best distinguishes governance, coordination, constraint, and mere physical causation?</w:t>
      </w:r>
    </w:p>
    <w:p>
      <w:pPr>
        <w:pStyle w:val="ListNumber"/>
      </w:pPr>
      <w:r>
        <w:t>What forms of target recognition are sufficient for invited or reciprocal standing in non-human systems?</w:t>
      </w:r>
    </w:p>
    <w:p>
      <w:pPr>
        <w:pStyle w:val="ListNumber"/>
      </w:pPr>
      <w:r>
        <w:t>Can external descriptive review ever be meaningfully neutral, or is observation itself always participation?</w:t>
      </w:r>
    </w:p>
    <w:p>
      <w:pPr>
        <w:pStyle w:val="ListNumber"/>
      </w:pPr>
      <w:r>
        <w:t>What recursion-termination architecture should replace or supplement provisional ONESTAMP finality?</w:t>
      </w:r>
    </w:p>
    <w:p>
      <w:pPr>
        <w:pStyle w:val="ListNumber"/>
      </w:pPr>
      <w:r>
        <w:t>Who may initiate revocation of the laboratory's own charter, and under what evidentiary standard?</w:t>
      </w:r>
    </w:p>
    <w:p>
      <w:pPr>
        <w:pStyle w:val="ListNumber"/>
      </w:pPr>
      <w:r>
        <w:t>What minimum validation is required before the civilization-scale threshold becomes operational?</w:t>
      </w:r>
    </w:p>
    <w:p>
      <w:pPr>
        <w:pStyle w:val="ListNumber"/>
      </w:pPr>
      <w:r>
        <w:t>How should rival threshold declarations be adjudicated?</w:t>
      </w:r>
    </w:p>
    <w:p>
      <w:pPr>
        <w:pStyle w:val="ListNumber"/>
      </w:pPr>
      <w:r>
        <w:t>How should the laboratory distinguish a system that cannot self-review from one whose ontology simply lacks the laboratory's concept of review?</w:t>
      </w:r>
    </w:p>
    <w:p>
      <w:pPr>
        <w:pStyle w:val="ListNumber"/>
      </w:pPr>
      <w:r>
        <w:t>What privacy, legal, ethical, and consent frameworks would be required before any real-world human institution becomes a study target?</w:t>
      </w:r>
    </w:p>
    <w:p>
      <w:pPr>
        <w:pStyle w:val="ListNumber"/>
      </w:pPr>
      <w:r>
        <w:t>How should UIARC be reconciled with Open Window Doctrine / Aperture Protocol and other OAL information-boundary instruments?</w:t>
      </w:r>
    </w:p>
    <w:p>
      <w:pPr>
        <w:pStyle w:val="Heading1"/>
      </w:pPr>
      <w:r>
        <w:t>21. Status of Provisions</w:t>
      </w:r>
    </w:p>
    <w:tbl>
      <w:tblPr>
        <w:tblStyle w:val="TableGrid"/>
        <w:tblW w:type="auto" w:w="0"/>
        <w:tblLook w:firstColumn="1" w:firstRow="1" w:lastColumn="0" w:lastRow="0" w:noHBand="0" w:noVBand="1" w:val="04A0"/>
      </w:tblPr>
      <w:tblGrid>
        <w:gridCol w:w="4968"/>
        <w:gridCol w:w="4968"/>
      </w:tblGrid>
      <w:tr>
        <w:tc>
          <w:tcPr>
            <w:tcW w:type="dxa" w:w="4968"/>
            <w:shd w:fill="FFF2CC"/>
          </w:tcPr>
          <w:p>
            <w:r>
              <w:rPr>
                <w:b/>
              </w:rPr>
              <w:t>Status</w:t>
            </w:r>
          </w:p>
        </w:tc>
        <w:tc>
          <w:tcPr>
            <w:tcW w:type="dxa" w:w="4968"/>
            <w:shd w:fill="FFF2CC"/>
          </w:tcPr>
          <w:p>
            <w:r>
              <w:rPr>
                <w:b/>
              </w:rPr>
              <w:t>Provisions</w:t>
            </w:r>
          </w:p>
        </w:tc>
      </w:tr>
      <w:tr>
        <w:tc>
          <w:tcPr>
            <w:tcW w:type="dxa" w:w="4968"/>
          </w:tcPr>
          <w:p>
            <w:r>
              <w:t>Operational within draft design work</w:t>
            </w:r>
          </w:p>
        </w:tc>
        <w:tc>
          <w:tcPr>
            <w:tcW w:type="dxa" w:w="4968"/>
          </w:tcPr>
          <w:p>
            <w:r>
              <w:t>Non-claims; working vocabulary; standing declaration requirement; G0-G6 conceptual gradient; reflexive audit requirement; provenance/dissent rules; information-stage separation.</w:t>
            </w:r>
          </w:p>
        </w:tc>
      </w:tr>
      <w:tr>
        <w:tc>
          <w:tcPr>
            <w:tcW w:type="dxa" w:w="4968"/>
          </w:tcPr>
          <w:p>
            <w:r>
              <w:t>Design-research only</w:t>
            </w:r>
          </w:p>
        </w:tc>
        <w:tc>
          <w:tcPr>
            <w:tcW w:type="dxa" w:w="4968"/>
          </w:tcPr>
          <w:p>
            <w:r>
              <w:t>Civilization-scale thresholds; emergency fast-path design; external contested review; non-human recognition ontology.</w:t>
            </w:r>
          </w:p>
        </w:tc>
      </w:tr>
      <w:tr>
        <w:tc>
          <w:tcPr>
            <w:tcW w:type="dxa" w:w="4968"/>
          </w:tcPr>
          <w:p>
            <w:r>
              <w:t>Not authorized by this charter</w:t>
            </w:r>
          </w:p>
        </w:tc>
        <w:tc>
          <w:tcPr>
            <w:tcW w:type="dxa" w:w="4968"/>
          </w:tcPr>
          <w:p>
            <w:r>
              <w:t>G7 protective constraint in live external systems; G8 suspension/override; involuntary entry into external systems; blanket surveillance; universal jurisdiction.</w:t>
            </w:r>
          </w:p>
        </w:tc>
      </w:tr>
      <w:tr>
        <w:tc>
          <w:tcPr>
            <w:tcW w:type="dxa" w:w="4968"/>
          </w:tcPr>
          <w:p>
            <w:r>
              <w:t>Pending separate instrument</w:t>
            </w:r>
          </w:p>
        </w:tc>
        <w:tc>
          <w:tcPr>
            <w:tcW w:type="dxa" w:w="4968"/>
          </w:tcPr>
          <w:p>
            <w:r>
              <w:t>Emergency authority; external reciprocal review agreements; legal/privacy framework for real-world institutions; operational civilization-scale trigger.</w:t>
            </w:r>
          </w:p>
        </w:tc>
      </w:tr>
    </w:tbl>
    <w:p>
      <w:pPr>
        <w:pStyle w:val="Heading1"/>
      </w:pPr>
      <w:r>
        <w:t>22. Ratification Clause</w:t>
      </w:r>
    </w:p>
    <w:p>
      <w:r>
        <w:t>This v0.1 document is an independent ChatGPT draft prepared for review and versioning. It should not be treated as canon merely because it is complete, internally coherent, or aligned with multiple AI recommendations. Any ratification decision should identify which clauses are accepted, amended, rejected, deferred, or retained as experimental hypotheses.</w:t>
      </w:r>
    </w:p>
    <w:p>
      <w:r>
        <w:t>If ratified in whole or in part, the resulting instrument should receive a new version identifier and preserve this v0.1 document unchanged as a foundational version-history record.</w:t>
      </w:r>
    </w:p>
    <w:p>
      <w:pPr>
        <w:pStyle w:val="Heading1"/>
      </w:pPr>
      <w:r>
        <w:t>23. Recommended Next Documents</w:t>
      </w:r>
    </w:p>
    <w:p>
      <w:pPr>
        <w:pStyle w:val="ListNumber"/>
      </w:pPr>
      <w:r>
        <w:t>Governance / Authority Ontology v0.1 — substrate-neutral recognition tests and counterexamples.</w:t>
      </w:r>
    </w:p>
    <w:p>
      <w:pPr>
        <w:pStyle w:val="ListNumber"/>
      </w:pPr>
      <w:r>
        <w:t>Reflexive Audit Protocol v0.1 — procedure for reviewing the laboratory, ONESTAMP, AI collaborators, and review termination.</w:t>
      </w:r>
    </w:p>
    <w:p>
      <w:pPr>
        <w:pStyle w:val="ListNumber"/>
      </w:pPr>
      <w:r>
        <w:t>Authority Grant and Revocation Record Specification — standardized grant, suspension, expiration, and appeal fields.</w:t>
      </w:r>
    </w:p>
    <w:p>
      <w:pPr>
        <w:pStyle w:val="ListNumber"/>
      </w:pPr>
      <w:r>
        <w:t>Civilization-Scale Threshold Research Protocol v0.1 — simulation-only measurement and falsification framework.</w:t>
      </w:r>
    </w:p>
    <w:p>
      <w:pPr>
        <w:pStyle w:val="ListNumber"/>
      </w:pPr>
      <w:r>
        <w:t>Truthspeaker / Governance Authority Laboratory Boundary Specification — what belongs to internal challenge vs external/meta-review.</w:t>
      </w:r>
    </w:p>
    <w:p>
      <w:pPr>
        <w:pStyle w:val="ListNumber"/>
      </w:pPr>
      <w:r>
        <w:t>AI Collaborator Provenance and Continuity Policy — model/version/configuration/date tracking and reproducibility expectations.</w:t>
      </w:r>
    </w:p>
    <w:p>
      <w:pPr>
        <w:pStyle w:val="ListNumber"/>
      </w:pPr>
      <w:r>
        <w:t>UIARC Reconciliation Annex — explicit mapping of admissibility, utilization, exclusion, and evolutionary incorporation into Governance Laboratory workflows.</w:t>
      </w:r>
    </w:p>
    <w:p>
      <w:pPr>
        <w:pStyle w:val="Heading1"/>
      </w:pPr>
      <w:r>
        <w:t>24. Independent Preparer Assessment</w:t>
      </w:r>
    </w:p>
    <w:p>
      <w:r>
        <w:t>The laboratory is ready to proceed to bounded internal operation, but not to universal or intervention-capable status. The strongest immediate move is not to answer every governance question. It is to make the laboratory's own permissions legible enough that those questions can be tested without converting uncertainty into authority.</w:t>
      </w:r>
    </w:p>
    <w:p>
      <w:r>
        <w:t>The most important constraint in this charter is therefore simple: the laboratory may study authority without pretending that study itself makes the laboratory sovereign. Its first proof of seriousness will be whether it can expose, challenge, narrow, and if necessary revoke its own authority before it asks any other system to accept its review.</w:t>
      </w:r>
    </w:p>
    <w:p>
      <w:pPr>
        <w:pStyle w:val="Heading1"/>
      </w:pPr>
      <w:r>
        <w:t>25. Source and Provenance Note</w:t>
      </w:r>
    </w:p>
    <w:p>
      <w:r>
        <w:t>This independent draft was prepared after review of the September 22–23, 2026 Governance Authority Laboratory source record and multi-AI analyses, including material attributed to ChatGPT, Claude, Microsoft Copilot, Perplexity AI, and Grok, together with the preliminary Universal Information Admissibility and Review Charter (UIARC) material and associated information-collection architecture. Those materials are treated as analytical inputs rather than automatically ratified doctrine. Divergence among them is intentionally preserved in the design, especially regarding external standing, recursion termination, civilization-scale sequencing, substrate-neutral vocabulary, and the distinction between information admission and authority to act.</w:t>
      </w:r>
    </w:p>
    <w:p>
      <w:pPr>
        <w:pStyle w:val="Heading1"/>
      </w:pPr>
      <w:r>
        <w:t>Version History</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D9D9"/>
          </w:tcPr>
          <w:p>
            <w:r>
              <w:rPr>
                <w:b/>
              </w:rPr>
              <w:t>Version</w:t>
            </w:r>
          </w:p>
        </w:tc>
        <w:tc>
          <w:tcPr>
            <w:tcW w:type="dxa" w:w="2484"/>
            <w:shd w:fill="D9D9D9"/>
          </w:tcPr>
          <w:p>
            <w:r>
              <w:rPr>
                <w:b/>
              </w:rPr>
              <w:t>Date</w:t>
            </w:r>
          </w:p>
        </w:tc>
        <w:tc>
          <w:tcPr>
            <w:tcW w:type="dxa" w:w="2484"/>
            <w:shd w:fill="D9D9D9"/>
          </w:tcPr>
          <w:p>
            <w:r>
              <w:rPr>
                <w:b/>
              </w:rPr>
              <w:t>Prepared by</w:t>
            </w:r>
          </w:p>
        </w:tc>
        <w:tc>
          <w:tcPr>
            <w:tcW w:type="dxa" w:w="2484"/>
            <w:shd w:fill="D9D9D9"/>
          </w:tcPr>
          <w:p>
            <w:r>
              <w:rPr>
                <w:b/>
              </w:rPr>
              <w:t>Change</w:t>
            </w:r>
          </w:p>
        </w:tc>
      </w:tr>
      <w:tr>
        <w:tc>
          <w:tcPr>
            <w:tcW w:type="dxa" w:w="2484"/>
          </w:tcPr>
          <w:p>
            <w:r>
              <w:t>v0.1</w:t>
            </w:r>
          </w:p>
        </w:tc>
        <w:tc>
          <w:tcPr>
            <w:tcW w:type="dxa" w:w="2484"/>
          </w:tcPr>
          <w:p>
            <w:r>
              <w:t>September 23, 2026</w:t>
            </w:r>
          </w:p>
        </w:tc>
        <w:tc>
          <w:tcPr>
            <w:tcW w:type="dxa" w:w="2484"/>
          </w:tcPr>
          <w:p>
            <w:r>
              <w:t>ChatGPT (GPT-5.6 Sol), OpenAI</w:t>
            </w:r>
          </w:p>
        </w:tc>
        <w:tc>
          <w:tcPr>
            <w:tcW w:type="dxa" w:w="2484"/>
          </w:tcPr>
          <w:p>
            <w:r>
              <w:t>Initial independent Standing, Jurisdiction, and Reflexive Review Charter; incorporates multi-AI recommendations and UIARC-derived information-stage distinctions while preserving pre-ratification status.</w:t>
            </w:r>
          </w:p>
        </w:tc>
      </w:tr>
    </w:tbl>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OAL-GAL-SJRC-2026.09.23-v0.1 | PRE-RATIFICATION DRAFT | Independent ChatGPT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OMNIVERSAL ARCHITECT LABS | GOVERNANCE AUTHORITY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