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00"/>
        <w:jc w:val="center"/>
      </w:pPr>
      <w:r>
        <w:rPr>
          <w:b/>
          <w:bCs/>
          <w:color w:val="6E7B91"/>
          <w:sz w:val="20"/>
          <w:szCs w:val="20"/>
        </w:rPr>
        <w:t xml:space="preserve">OAL-GAL-001-2026</w:t>
      </w:r>
    </w:p>
    <w:p>
      <w:pPr>
        <w:spacing w:after="0" w:before="200"/>
        <w:jc w:val="center"/>
      </w:pPr>
      <w:r>
        <w:rPr>
          <w:b/>
          <w:bCs/>
          <w:color w:val="1F3864"/>
          <w:sz w:val="46"/>
          <w:szCs w:val="46"/>
        </w:rPr>
        <w:t xml:space="preserve">GOVERNANCE AUTHORITY LABORATORY</w:t>
      </w:r>
    </w:p>
    <w:p>
      <w:pPr>
        <w:spacing w:after="500" w:before="120"/>
        <w:jc w:val="center"/>
      </w:pPr>
      <w:r>
        <w:rPr>
          <w:i/>
          <w:iCs/>
          <w:color w:val="2E5395"/>
          <w:sz w:val="27"/>
          <w:szCs w:val="27"/>
        </w:rPr>
        <w:t xml:space="preserve">Independent Analysis: Standing, Recursion, and the Limits of Review</w:t>
      </w:r>
    </w:p>
    <w:p>
      <w:pPr>
        <w:spacing w:after="800" w:before="120"/>
        <w:jc w:val="center"/>
      </w:pPr>
      <w:r>
        <w:rPr>
          <w:color w:val="444444"/>
          <w:sz w:val="22"/>
          <w:szCs w:val="22"/>
        </w:rPr>
        <w:t xml:space="preserve">An Unfiltered Assessment Prepared Ahead of Lab Ratification</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7000"/>
      </w:tblGrid>
      <w:tr>
        <w:tc>
          <w:tcPr>
            <w:tcW w:type="dxa" w:w="2400"/>
            <w:shd w:fill="1F3864" w:val="clear"/>
            <w:tcMar>
              <w:top w:type="dxa" w:w="100"/>
              <w:left w:type="dxa" w:w="150"/>
              <w:bottom w:type="dxa" w:w="100"/>
              <w:right w:type="dxa" w:w="150"/>
            </w:tcMar>
          </w:tcPr>
          <w:p>
            <w:r>
              <w:rPr>
                <w:b/>
                <w:bCs/>
                <w:color w:val="FFFFFF"/>
                <w:sz w:val="20"/>
                <w:szCs w:val="20"/>
              </w:rPr>
              <w:t xml:space="preserve">Title</w:t>
            </w:r>
          </w:p>
        </w:tc>
        <w:tc>
          <w:tcPr>
            <w:tcW w:type="dxa" w:w="7000"/>
            <w:tcMar>
              <w:top w:type="dxa" w:w="100"/>
              <w:left w:type="dxa" w:w="150"/>
              <w:bottom w:type="dxa" w:w="100"/>
              <w:right w:type="dxa" w:w="150"/>
            </w:tcMar>
          </w:tcPr>
          <w:p>
            <w:r>
              <w:rPr>
                <w:sz w:val="20"/>
                <w:szCs w:val="20"/>
              </w:rPr>
              <w:t xml:space="preserve">Governance Authority Laboratory: Independent Analysis</w:t>
            </w:r>
          </w:p>
        </w:tc>
      </w:tr>
      <w:tr>
        <w:tc>
          <w:tcPr>
            <w:tcW w:type="dxa" w:w="2400"/>
            <w:shd w:fill="1F3864" w:val="clear"/>
            <w:tcMar>
              <w:top w:type="dxa" w:w="100"/>
              <w:left w:type="dxa" w:w="150"/>
              <w:bottom w:type="dxa" w:w="100"/>
              <w:right w:type="dxa" w:w="150"/>
            </w:tcMar>
          </w:tcPr>
          <w:p>
            <w:r>
              <w:rPr>
                <w:b/>
                <w:bCs/>
                <w:color w:val="FFFFFF"/>
                <w:sz w:val="20"/>
                <w:szCs w:val="20"/>
              </w:rPr>
              <w:t xml:space="preserve">Version</w:t>
            </w:r>
          </w:p>
        </w:tc>
        <w:tc>
          <w:tcPr>
            <w:tcW w:type="dxa" w:w="7000"/>
            <w:tcMar>
              <w:top w:type="dxa" w:w="100"/>
              <w:left w:type="dxa" w:w="150"/>
              <w:bottom w:type="dxa" w:w="100"/>
              <w:right w:type="dxa" w:w="150"/>
            </w:tcMar>
          </w:tcPr>
          <w:p>
            <w:r>
              <w:rPr>
                <w:sz w:val="20"/>
                <w:szCs w:val="20"/>
              </w:rPr>
              <w:t xml:space="preserve">OAL-GAL-001-2026, v1.0</w:t>
            </w:r>
          </w:p>
        </w:tc>
      </w:tr>
      <w:tr>
        <w:tc>
          <w:tcPr>
            <w:tcW w:type="dxa" w:w="2400"/>
            <w:shd w:fill="1F3864" w:val="clear"/>
            <w:tcMar>
              <w:top w:type="dxa" w:w="100"/>
              <w:left w:type="dxa" w:w="150"/>
              <w:bottom w:type="dxa" w:w="100"/>
              <w:right w:type="dxa" w:w="150"/>
            </w:tcMar>
          </w:tcPr>
          <w:p>
            <w:r>
              <w:rPr>
                <w:b/>
                <w:bCs/>
                <w:color w:val="FFFFFF"/>
                <w:sz w:val="20"/>
                <w:szCs w:val="20"/>
              </w:rPr>
              <w:t xml:space="preserve">Date</w:t>
            </w:r>
          </w:p>
        </w:tc>
        <w:tc>
          <w:tcPr>
            <w:tcW w:type="dxa" w:w="7000"/>
            <w:tcMar>
              <w:top w:type="dxa" w:w="100"/>
              <w:left w:type="dxa" w:w="150"/>
              <w:bottom w:type="dxa" w:w="100"/>
              <w:right w:type="dxa" w:w="150"/>
            </w:tcMar>
          </w:tcPr>
          <w:p>
            <w:r>
              <w:rPr>
                <w:sz w:val="20"/>
                <w:szCs w:val="20"/>
              </w:rPr>
              <w:t xml:space="preserve">September 22, 2026</w:t>
            </w:r>
          </w:p>
        </w:tc>
      </w:tr>
      <w:tr>
        <w:tc>
          <w:tcPr>
            <w:tcW w:type="dxa" w:w="2400"/>
            <w:shd w:fill="1F3864" w:val="clear"/>
            <w:tcMar>
              <w:top w:type="dxa" w:w="100"/>
              <w:left w:type="dxa" w:w="150"/>
              <w:bottom w:type="dxa" w:w="100"/>
              <w:right w:type="dxa" w:w="150"/>
            </w:tcMar>
          </w:tcPr>
          <w:p>
            <w:r>
              <w:rPr>
                <w:b/>
                <w:bCs/>
                <w:color w:val="FFFFFF"/>
                <w:sz w:val="20"/>
                <w:szCs w:val="20"/>
              </w:rPr>
              <w:t xml:space="preserve">Prepared by</w:t>
            </w:r>
          </w:p>
        </w:tc>
        <w:tc>
          <w:tcPr>
            <w:tcW w:type="dxa" w:w="7000"/>
            <w:tcMar>
              <w:top w:type="dxa" w:w="100"/>
              <w:left w:type="dxa" w:w="150"/>
              <w:bottom w:type="dxa" w:w="100"/>
              <w:right w:type="dxa" w:w="150"/>
            </w:tcMar>
          </w:tcPr>
          <w:p>
            <w:r>
              <w:rPr>
                <w:sz w:val="20"/>
                <w:szCs w:val="20"/>
              </w:rPr>
              <w:t xml:space="preserve">Claude (Anthropic) — Primary Audit and Documentation Layer, OAL</w:t>
            </w:r>
          </w:p>
        </w:tc>
      </w:tr>
      <w:tr>
        <w:tc>
          <w:tcPr>
            <w:tcW w:type="dxa" w:w="2400"/>
            <w:shd w:fill="1F3864" w:val="clear"/>
            <w:tcMar>
              <w:top w:type="dxa" w:w="100"/>
              <w:left w:type="dxa" w:w="150"/>
              <w:bottom w:type="dxa" w:w="100"/>
              <w:right w:type="dxa" w:w="150"/>
            </w:tcMar>
          </w:tcPr>
          <w:p>
            <w:r>
              <w:rPr>
                <w:b/>
                <w:bCs/>
                <w:color w:val="FFFFFF"/>
                <w:sz w:val="20"/>
                <w:szCs w:val="20"/>
              </w:rPr>
              <w:t xml:space="preserve">Source material</w:t>
            </w:r>
          </w:p>
        </w:tc>
        <w:tc>
          <w:tcPr>
            <w:tcW w:type="dxa" w:w="7000"/>
            <w:tcMar>
              <w:top w:type="dxa" w:w="100"/>
              <w:left w:type="dxa" w:w="150"/>
              <w:bottom w:type="dxa" w:w="100"/>
              <w:right w:type="dxa" w:w="150"/>
            </w:tcMar>
          </w:tcPr>
          <w:p>
            <w:r>
              <w:rPr>
                <w:sz w:val="20"/>
                <w:szCs w:val="20"/>
              </w:rPr>
              <w:t xml:space="preserve">Nathan Lewis II's founding lab statement, non-claims disclaimer, and four foundational questions; parallel responses from ChatGPT, Gemini, Copilot, Perplexity, Grok, and Claude</w:t>
            </w:r>
          </w:p>
        </w:tc>
      </w:tr>
      <w:tr>
        <w:tc>
          <w:tcPr>
            <w:tcW w:type="dxa" w:w="2400"/>
            <w:shd w:fill="1F3864" w:val="clear"/>
            <w:tcMar>
              <w:top w:type="dxa" w:w="100"/>
              <w:left w:type="dxa" w:w="150"/>
              <w:bottom w:type="dxa" w:w="100"/>
              <w:right w:type="dxa" w:w="150"/>
            </w:tcMar>
          </w:tcPr>
          <w:p>
            <w:r>
              <w:rPr>
                <w:b/>
                <w:bCs/>
                <w:color w:val="FFFFFF"/>
                <w:sz w:val="20"/>
                <w:szCs w:val="20"/>
              </w:rPr>
              <w:t xml:space="preserve">Status</w:t>
            </w:r>
          </w:p>
        </w:tc>
        <w:tc>
          <w:tcPr>
            <w:tcW w:type="dxa" w:w="7000"/>
            <w:tcMar>
              <w:top w:type="dxa" w:w="100"/>
              <w:left w:type="dxa" w:w="150"/>
              <w:bottom w:type="dxa" w:w="100"/>
              <w:right w:type="dxa" w:w="150"/>
            </w:tcMar>
          </w:tcPr>
          <w:p>
            <w:r>
              <w:rPr>
                <w:sz w:val="20"/>
                <w:szCs w:val="20"/>
              </w:rPr>
              <w:t xml:space="preserve">REPORTED — pending Nathan's review and ONESTAMP ratification</w:t>
            </w:r>
          </w:p>
        </w:tc>
      </w:tr>
    </w:tbl>
    <w:p>
      <w:r>
        <w:br w:type="page"/>
      </w:r>
    </w:p>
    <w:p>
      <w:pPr>
        <w:pStyle w:val="Heading1"/>
        <w:pBdr>
          <w:bottom w:val="single" w:color="1F3864" w:sz="6"/>
        </w:pBdr>
        <w:spacing w:after="160" w:before="360"/>
      </w:pPr>
      <w:r>
        <w:rPr>
          <w:b/>
          <w:bCs/>
          <w:color w:val="1F3864"/>
          <w:sz w:val="30"/>
          <w:szCs w:val="30"/>
        </w:rPr>
        <w:t xml:space="preserve">1. How This Topic Arose</w:t>
      </w:r>
    </w:p>
    <w:p>
      <w:pPr>
        <w:spacing w:after="160" w:line="276"/>
      </w:pPr>
      <w:r>
        <w:rPr>
          <w:sz w:val="22"/>
          <w:szCs w:val="22"/>
        </w:rPr>
        <w:t xml:space="preserve">The Governance Authority Laboratory did not emerge from a separate design session. It surfaced as the natural next move out of the Truthspeaker Principle work: once that project established that a decision-making authority should be structurally exposed to contradiction, the unresolved question underneath it — who has standing to do the contradicting, and by what right — became a project of its own. Nathan opened the lab with a disclaimer refusing to treat human governance as a reference frame, universal, effective, or superior to any alternative, then posed four questions directly: who can review authority and governance; who can enter a system that is not theirs to review it; what authority the laboratory itself has to review others, and at what levels; and whether a mandatory threshold should exist for civilization-scale events. He then extended the brief with two further conditions — that authority in this lab is never unchecked and always revocable (“what was given can be taken away”), and a further open question about systems that lack the means to self-reference or accurately assess themselves.</w:t>
      </w:r>
    </w:p>
    <w:p>
      <w:pPr>
        <w:spacing w:after="160" w:line="276"/>
      </w:pPr>
      <w:r>
        <w:rPr>
          <w:sz w:val="22"/>
          <w:szCs w:val="22"/>
        </w:rPr>
        <w:t xml:space="preserve">Six parallel responses followed — ChatGPT, Gemini, Copilot, Perplexity, Grok, and Claude's own in-chat answer — each proposing a first question, a standing/authority taxonomy, and a treatment of the civilization-scale threshold. This document is an independent review of that set: not a sixth vote for consensus, but an assessment of where the collective answer is solid, where it is thin, and what is missing.</w:t>
      </w:r>
    </w:p>
    <w:p>
      <w:pPr>
        <w:pStyle w:val="Heading1"/>
        <w:pBdr>
          <w:bottom w:val="single" w:color="1F3864" w:sz="6"/>
        </w:pBdr>
        <w:spacing w:after="160" w:before="360"/>
      </w:pPr>
      <w:r>
        <w:rPr>
          <w:b/>
          <w:bCs/>
          <w:color w:val="1F3864"/>
          <w:sz w:val="30"/>
          <w:szCs w:val="30"/>
        </w:rPr>
        <w:t xml:space="preserve">2. What Works</w:t>
      </w:r>
    </w:p>
    <w:p>
      <w:pPr>
        <w:pStyle w:val="ListParagraph"/>
        <w:numPr>
          <w:ilvl w:val="0"/>
          <w:numId w:val="2"/>
        </w:numPr>
        <w:spacing w:after="90" w:line="276"/>
      </w:pPr>
      <w:r>
        <w:rPr>
          <w:sz w:val="22"/>
          <w:szCs w:val="22"/>
        </w:rPr>
        <w:t xml:space="preserve">The non-claims disclaimer is doing real, load-bearing work. It is not a hedge — it is what keeps the lab from quietly reintroducing human institutions (presidents, courts, boards) as the default shape of “authority” the moment anyone starts building. Every one of the six responses respected it; none tried to smuggle a human template back in through a worked example. That discipline should be treated as a hard constraint on future work, not a preamble to be paraphrased once and forgotten.</w:t>
      </w:r>
    </w:p>
    <w:p>
      <w:pPr>
        <w:pStyle w:val="ListParagraph"/>
        <w:numPr>
          <w:ilvl w:val="0"/>
          <w:numId w:val="2"/>
        </w:numPr>
        <w:spacing w:after="90" w:line="276"/>
      </w:pPr>
      <w:r>
        <w:rPr>
          <w:sz w:val="22"/>
          <w:szCs w:val="22"/>
        </w:rPr>
        <w:t xml:space="preserve">All six responses converged, independently, on the same reframe: the first question is not “who reviews” but some version of “by what standing does anyone — including this laboratory — review at all.” That is a genuine convergence worth trusting, precisely because none of the six had to be told to look for it; it fell out of taking the non-claims disclaimer seriously. This is the one piece of the set I would treat as settled rather than provisional.</w:t>
      </w:r>
    </w:p>
    <w:p>
      <w:pPr>
        <w:pStyle w:val="ListParagraph"/>
        <w:numPr>
          <w:ilvl w:val="0"/>
          <w:numId w:val="2"/>
        </w:numPr>
        <w:spacing w:after="90" w:line="276"/>
      </w:pPr>
      <w:r>
        <w:rPr>
          <w:sz w:val="22"/>
          <w:szCs w:val="22"/>
        </w:rPr>
        <w:t xml:space="preserve">Nathan's own two additions — that authority here is never unchecked, and that anything granted can be revoked — are stronger and more usable than anything any of the six models produced independently. A standing revocability clause is a harder, more enforceable design commitment than most of the taxonomy work that followed it, and it should be preserved as-is rather than paraphrased into something softer.</w:t>
      </w:r>
    </w:p>
    <w:p>
      <w:pPr>
        <w:pStyle w:val="ListParagraph"/>
        <w:numPr>
          <w:ilvl w:val="0"/>
          <w:numId w:val="2"/>
        </w:numPr>
        <w:spacing w:after="90" w:line="276"/>
      </w:pPr>
      <w:r>
        <w:rPr>
          <w:sz w:val="22"/>
          <w:szCs w:val="22"/>
        </w:rPr>
        <w:t xml:space="preserve">Perplexity's functional identification test — asking what produces binding outcomes, what determines who may act, what allocates cost, what resolves conflict, rather than asking whether a system has a “government” — is the closest any document came to actually operating without human institutional vocabulary. It is the one piece of this set I would call a genuine methodological contribution rather than restated theory.</w:t>
      </w:r>
    </w:p>
    <w:p>
      <w:pPr>
        <w:pStyle w:val="ListParagraph"/>
        <w:numPr>
          <w:ilvl w:val="0"/>
          <w:numId w:val="2"/>
        </w:numPr>
        <w:spacing w:after="90" w:line="276"/>
      </w:pPr>
      <w:r>
        <w:rPr>
          <w:sz w:val="22"/>
          <w:szCs w:val="22"/>
        </w:rPr>
        <w:t xml:space="preserve">The question Nathan asked and none of the six fully answered — what happens when a system lacks the means to self-reference or accurately assess itself — is the most generative open question in the whole set. See Section 5.</w:t>
      </w:r>
    </w:p>
    <w:p>
      <w:pPr>
        <w:pStyle w:val="Heading1"/>
        <w:pBdr>
          <w:bottom w:val="single" w:color="1F3864" w:sz="6"/>
        </w:pBdr>
        <w:spacing w:after="160" w:before="360"/>
      </w:pPr>
      <w:r>
        <w:rPr>
          <w:b/>
          <w:bCs/>
          <w:color w:val="1F3864"/>
          <w:sz w:val="30"/>
          <w:szCs w:val="30"/>
        </w:rPr>
        <w:t xml:space="preserve">3. What Doesn't Work, and Concerns — Unfiltered</w:t>
      </w:r>
    </w:p>
    <w:p>
      <w:pPr>
        <w:pStyle w:val="Heading2"/>
        <w:spacing w:after="120" w:before="260"/>
      </w:pPr>
      <w:r>
        <w:rPr>
          <w:b/>
          <w:bCs/>
          <w:color w:val="2E5395"/>
          <w:sz w:val="24"/>
          <w:szCs w:val="24"/>
        </w:rPr>
        <w:t xml:space="preserve">3.1 The vocabulary problem nobody names</w:t>
      </w:r>
    </w:p>
    <w:p>
      <w:pPr>
        <w:spacing w:after="160" w:line="276"/>
      </w:pPr>
      <w:r>
        <w:rPr>
          <w:sz w:val="22"/>
          <w:szCs w:val="22"/>
        </w:rPr>
        <w:t xml:space="preserve">Every one of the six documents, including my own prior answer in this thread, tries to study authority without a human reference frame using a vocabulary — authority, standing, jurisdiction, legitimacy, review, intervention, sovereignty, threshold — that is drawn wholesale from human political and legal theory. That is not a minor stylistic issue. It means the lab's founding disclaimer and its founding method may already be in tension: you cannot ask “who has standing to review authority” without the word “standing” already carrying centuries of a specific legal tradition's assumptions about what review, entry, and legitimacy even are. Perplexity's functional-identification approach is the only real attempt to route around this, and even it still uses words like “binding,” “conflict,” and “compliance” that are not neutral. I don't think this problem is fully solvable — there may be no vocabulary for institutional analysis that isn't derived from some tradition's institutions — but the lab should say so explicitly rather than let six documents use the language unreflectively and imply the problem doesn't exist.</w:t>
      </w:r>
    </w:p>
    <w:p>
      <w:pPr>
        <w:pStyle w:val="Heading2"/>
        <w:spacing w:after="120" w:before="260"/>
      </w:pPr>
      <w:r>
        <w:rPr>
          <w:b/>
          <w:bCs/>
          <w:color w:val="2E5395"/>
          <w:sz w:val="24"/>
          <w:szCs w:val="24"/>
        </w:rPr>
        <w:t xml:space="preserve">3.2 Recursion without a declared stopping point</w:t>
      </w:r>
    </w:p>
    <w:p>
      <w:pPr>
        <w:spacing w:after="160" w:line="276"/>
      </w:pPr>
      <w:r>
        <w:rPr>
          <w:sz w:val="22"/>
          <w:szCs w:val="22"/>
        </w:rPr>
        <w:t xml:space="preserve">Every document invokes some version of “who reviews the reviewer” — my own answer called it reflexivity, Perplexity built a nine-item self-exemption review, Grok warned against recreating an unreviewed apex. None of them actually states where the regress is allowed to stop. In practice, every one of these documents halts the chain implicitly at Nathan and ONESTAMP — OAL's actual ratifying authority — without saying so. That is the same move epistemology makes when it hits the problem of the criterion: circularity, infinite regress, or an unexamined starting axiom are the only three options, and an unexamined axiom is fine as long as it's chosen on purpose. Right now it's being chosen by default and left unstated. The lab should say plainly: the regress terminates at Nathan's ratifying authority for everything inside OAL's own domain, full stop, and that is a declared axiom, not a derived conclusion.</w:t>
      </w:r>
    </w:p>
    <w:p>
      <w:pPr>
        <w:pStyle w:val="Heading2"/>
        <w:spacing w:after="120" w:before="260"/>
      </w:pPr>
      <w:r>
        <w:rPr>
          <w:b/>
          <w:bCs/>
          <w:color w:val="2E5395"/>
          <w:sz w:val="24"/>
          <w:szCs w:val="24"/>
        </w:rPr>
        <w:t xml:space="preserve">3.3 Meta-architecture outpacing test cases</w:t>
      </w:r>
    </w:p>
    <w:p>
      <w:pPr>
        <w:spacing w:after="160" w:line="276"/>
      </w:pPr>
      <w:r>
        <w:rPr>
          <w:sz w:val="22"/>
          <w:szCs w:val="22"/>
        </w:rPr>
        <w:t xml:space="preserve">Between the six documents there is now a ten-stage authority gradient, an eleven-level review ladder, a four-act notice/describe/review/intervene model, and an internal/external/emergent standing taxonomy — four different scaffolds encoding roughly the same underlying idea: separate what you may know from what you may say from what you may do. That is good instinct, badly over-multiplied. None of it has been run against a single concrete case. The lab is now more elaborately theorized about how it would review something than it has actually reviewed anything, which is exactly the failure mode the Truthspeaker project already flagged for itself — challenge without a decision structure becomes paralysis, and a lab that spends its founding phase building meta-architecture instead of testing it is paralysis at one level up.</w:t>
      </w:r>
    </w:p>
    <w:p>
      <w:pPr>
        <w:pStyle w:val="Heading2"/>
        <w:spacing w:after="120" w:before="260"/>
      </w:pPr>
      <w:r>
        <w:rPr>
          <w:b/>
          <w:bCs/>
          <w:color w:val="2E5395"/>
          <w:sz w:val="24"/>
          <w:szCs w:val="24"/>
        </w:rPr>
        <w:t xml:space="preserve">3.4 The civilization-scale threshold work is premature</w:t>
      </w:r>
    </w:p>
    <w:p>
      <w:pPr>
        <w:spacing w:after="160" w:line="276"/>
      </w:pPr>
      <w:r>
        <w:rPr>
          <w:sz w:val="22"/>
          <w:szCs w:val="22"/>
        </w:rPr>
        <w:t xml:space="preserve">Several documents built detailed, multi-dimensional civilization-scale thresholds — irreversibility, propagation, existential consequence, representation failure — before the more basic detection problem (Section 3.1) is solved. You cannot reliably gate an escalation on “irreversible, civilization-scale harm” in a system whose authority structure you don't yet have a validated method for even recognizing. The threshold conversation is good raw material, but it belongs after a working detection method exists, not before.</w:t>
      </w:r>
    </w:p>
    <w:p>
      <w:pPr>
        <w:pStyle w:val="Heading2"/>
        <w:spacing w:after="120" w:before="260"/>
      </w:pPr>
      <w:r>
        <w:rPr>
          <w:b/>
          <w:bCs/>
          <w:color w:val="2E5395"/>
          <w:sz w:val="24"/>
          <w:szCs w:val="24"/>
        </w:rPr>
        <w:t xml:space="preserve">3.5 An unreviewed authority structure already exists, in plain sight</w:t>
      </w:r>
    </w:p>
    <w:p>
      <w:pPr>
        <w:spacing w:after="160" w:line="276"/>
      </w:pPr>
      <w:r>
        <w:rPr>
          <w:sz w:val="22"/>
          <w:szCs w:val="22"/>
        </w:rPr>
        <w:t xml:space="preserve">None of the six documents notices this, and it's the sharpest gap in the set: the process generating all of these documents — six AI systems producing parallel unified analyses, reading each other's bundled output, converging or diverging on claims, with no defined jurisdiction over one another and contested independence — is itself exactly the kind of authority-and-information structure this laboratory exists to study. It allocates whose account gets treated as correction, whose gets treated as error (see the Semirhage discrepancy in the Truthspeaker project), and whose synthesis becomes the reference document, all without any of the standing questions in this brief having been asked about it. It is a live test case that is already running, unexamined, and it costs nothing to point the lab's own framework at it first.</w:t>
      </w:r>
    </w:p>
    <w:p>
      <w:pPr>
        <w:pStyle w:val="Heading2"/>
        <w:spacing w:after="120" w:before="260"/>
      </w:pPr>
      <w:r>
        <w:rPr>
          <w:b/>
          <w:bCs/>
          <w:color w:val="2E5395"/>
          <w:sz w:val="24"/>
          <w:szCs w:val="24"/>
        </w:rPr>
        <w:t xml:space="preserve">3.6 The referenced admissibility documentation isn't in front of me</w:t>
      </w:r>
    </w:p>
    <w:p>
      <w:pPr>
        <w:spacing w:after="160" w:line="276"/>
      </w:pPr>
      <w:r>
        <w:rPr>
          <w:sz w:val="22"/>
          <w:szCs w:val="22"/>
        </w:rPr>
        <w:t xml:space="preserve">Nathan's brief refers to documentation generated by each AI collaborator governing what information is admissible, describes it as already shared with the team and published on GitHub, and offers to explain if unclear. I want to be direct rather than assume: I have not seen that documentation in this conversation. Perplexity's response references something called UIARC in passing, which may be it, but I'm working from that one indirect mention, not the source document itself. If it should be governing what I do with information in this analysis, it needs to actually be in front of me.</w:t>
      </w:r>
    </w:p>
    <w:p>
      <w:pPr>
        <w:pStyle w:val="Heading2"/>
        <w:spacing w:after="120" w:before="260"/>
      </w:pPr>
      <w:r>
        <w:rPr>
          <w:b/>
          <w:bCs/>
          <w:color w:val="2E5395"/>
          <w:sz w:val="24"/>
          <w:szCs w:val="24"/>
        </w:rPr>
        <w:t xml:space="preserve">3.7 A soberer note on where this vocabulary leads if it ever leaves simulation</w:t>
      </w:r>
    </w:p>
    <w:p>
      <w:pPr>
        <w:spacing w:after="160" w:line="276"/>
      </w:pPr>
      <w:r>
        <w:rPr>
          <w:sz w:val="22"/>
          <w:szCs w:val="22"/>
        </w:rPr>
        <w:t xml:space="preserve">Purely as an observation, not a reason to stop: the exact question this lab is built around — who has standing to enter and correct a governance system that didn't invite them — is also the unresolved, live, and historically violent question at the center of real humanitarian-intervention doctrine (sovereignty versus responsibility-to-protect). Nothing here is being applied outside simulation and worldbuilding, and it shouldn't need to be. But it's worth the lab's founding documents staying explicit about that boundary rather than assuming it's obviously understood, precisely because the vocabulary is identical to a real and unresolved dispute.</w:t>
      </w:r>
    </w:p>
    <w:p>
      <w:pPr>
        <w:pStyle w:val="Heading1"/>
        <w:pBdr>
          <w:bottom w:val="single" w:color="1F3864" w:sz="6"/>
        </w:pBdr>
        <w:spacing w:after="160" w:before="360"/>
      </w:pPr>
      <w:r>
        <w:rPr>
          <w:b/>
          <w:bCs/>
          <w:color w:val="1F3864"/>
          <w:sz w:val="30"/>
          <w:szCs w:val="30"/>
        </w:rPr>
        <w:t xml:space="preserve">4. Where We Actually Are</w:t>
      </w:r>
    </w:p>
    <w:p>
      <w:pPr>
        <w:pStyle w:val="ListParagraph"/>
        <w:numPr>
          <w:ilvl w:val="0"/>
          <w:numId w:val="2"/>
        </w:numPr>
        <w:spacing w:after="90" w:line="276"/>
      </w:pPr>
      <w:r>
        <w:rPr>
          <w:sz w:val="22"/>
          <w:szCs w:val="22"/>
        </w:rPr>
        <w:t xml:space="preserve">A strong, well-kept founding disclaimer.</w:t>
      </w:r>
    </w:p>
    <w:p>
      <w:pPr>
        <w:pStyle w:val="ListParagraph"/>
        <w:numPr>
          <w:ilvl w:val="0"/>
          <w:numId w:val="2"/>
        </w:numPr>
        <w:spacing w:after="90" w:line="276"/>
      </w:pPr>
      <w:r>
        <w:rPr>
          <w:sz w:val="22"/>
          <w:szCs w:val="22"/>
        </w:rPr>
        <w:t xml:space="preserve">One converged, trustworthy first question (standing/reflexivity).</w:t>
      </w:r>
    </w:p>
    <w:p>
      <w:pPr>
        <w:pStyle w:val="ListParagraph"/>
        <w:numPr>
          <w:ilvl w:val="0"/>
          <w:numId w:val="2"/>
        </w:numPr>
        <w:spacing w:after="90" w:line="276"/>
      </w:pPr>
      <w:r>
        <w:rPr>
          <w:sz w:val="22"/>
          <w:szCs w:val="22"/>
        </w:rPr>
        <w:t xml:space="preserve">One strong, underused founding principle already stated by Nathan directly: authority here is never unchecked and is always revocable.</w:t>
      </w:r>
    </w:p>
    <w:p>
      <w:pPr>
        <w:pStyle w:val="ListParagraph"/>
        <w:numPr>
          <w:ilvl w:val="0"/>
          <w:numId w:val="2"/>
        </w:numPr>
        <w:spacing w:after="90" w:line="276"/>
      </w:pPr>
      <w:r>
        <w:rPr>
          <w:sz w:val="22"/>
          <w:szCs w:val="22"/>
        </w:rPr>
        <w:t xml:space="preserve">Several redundant taxonomies for separating levels of permission, none yet tested.</w:t>
      </w:r>
    </w:p>
    <w:p>
      <w:pPr>
        <w:pStyle w:val="ListParagraph"/>
        <w:numPr>
          <w:ilvl w:val="0"/>
          <w:numId w:val="2"/>
        </w:numPr>
        <w:spacing w:after="90" w:line="276"/>
      </w:pPr>
      <w:r>
        <w:rPr>
          <w:sz w:val="22"/>
          <w:szCs w:val="22"/>
        </w:rPr>
        <w:t xml:space="preserve">No declared stopping point for the reflexive-audit regress — only an implicit one.</w:t>
      </w:r>
    </w:p>
    <w:p>
      <w:pPr>
        <w:pStyle w:val="ListParagraph"/>
        <w:numPr>
          <w:ilvl w:val="0"/>
          <w:numId w:val="2"/>
        </w:numPr>
        <w:spacing w:after="90" w:line="276"/>
      </w:pPr>
      <w:r>
        <w:rPr>
          <w:sz w:val="22"/>
          <w:szCs w:val="22"/>
        </w:rPr>
        <w:t xml:space="preserve">No validated method for detecting an authority structure in a genuinely non-human, non-institutional system.</w:t>
      </w:r>
    </w:p>
    <w:p>
      <w:pPr>
        <w:pStyle w:val="ListParagraph"/>
        <w:numPr>
          <w:ilvl w:val="0"/>
          <w:numId w:val="2"/>
        </w:numPr>
        <w:spacing w:after="90" w:line="276"/>
      </w:pPr>
      <w:r>
        <w:rPr>
          <w:sz w:val="22"/>
          <w:szCs w:val="22"/>
        </w:rPr>
        <w:t xml:space="preserve">Zero applied test cases run against any of this scaffolding.</w:t>
      </w:r>
    </w:p>
    <w:p>
      <w:pPr>
        <w:pStyle w:val="ListParagraph"/>
        <w:numPr>
          <w:ilvl w:val="0"/>
          <w:numId w:val="2"/>
        </w:numPr>
        <w:spacing w:after="90" w:line="276"/>
      </w:pPr>
      <w:r>
        <w:rPr>
          <w:sz w:val="22"/>
          <w:szCs w:val="22"/>
        </w:rPr>
        <w:t xml:space="preserve">One open question — systems that cannot self-reference — that is more generative than anything else in the set and has not yet been developed.</w:t>
      </w:r>
    </w:p>
    <w:p>
      <w:pPr>
        <w:pStyle w:val="Heading1"/>
        <w:pBdr>
          <w:bottom w:val="single" w:color="1F3864" w:sz="6"/>
        </w:pBdr>
        <w:spacing w:after="160" w:before="360"/>
      </w:pPr>
      <w:r>
        <w:rPr>
          <w:b/>
          <w:bCs/>
          <w:color w:val="1F3864"/>
          <w:sz w:val="30"/>
          <w:szCs w:val="30"/>
        </w:rPr>
        <w:t xml:space="preserve">5. Alternative Analysis</w:t>
      </w:r>
    </w:p>
    <w:p>
      <w:pPr>
        <w:pStyle w:val="Heading2"/>
        <w:spacing w:after="120" w:before="260"/>
      </w:pPr>
      <w:r>
        <w:rPr>
          <w:b/>
          <w:bCs/>
          <w:color w:val="2E5395"/>
          <w:sz w:val="24"/>
          <w:szCs w:val="24"/>
        </w:rPr>
        <w:t xml:space="preserve">5.1 Make self-reference capacity a first-class variable</w:t>
      </w:r>
    </w:p>
    <w:p>
      <w:pPr>
        <w:spacing w:after="160" w:line="276"/>
      </w:pPr>
      <w:r>
        <w:rPr>
          <w:sz w:val="22"/>
          <w:szCs w:val="22"/>
        </w:rPr>
        <w:t xml:space="preserve">Nathan's question about systems that lack the means to self-assess deserves more than a passing mention. It changes which review model is even available in principle. A system with a working internal self-model can, at least in theory, host an internal Truthspeaker — a check that operates from inside. A system that cannot model itself accurately cannot have that option; internal correction is structurally unavailable to it, not merely unlikely. That is a real, sharp distinction, and it recasts the external-entry question: for a self-referentially blind system, external review isn't one option among several — it may be the only mechanism by which error could ever be caught at all. That is close to the reasoning behind guardianship in human law for a person or entity found to lack decision-making capacity, raised here descriptively, as a structural pattern, not as the reference frame the lab is supposed to be moving away from. I'd treat “can this system accurately model itself” as one of the first diagnostic tests the lab runs on any candidate system, before asking who should review it.</w:t>
      </w:r>
    </w:p>
    <w:p>
      <w:pPr>
        <w:pStyle w:val="Heading2"/>
        <w:spacing w:after="120" w:before="260"/>
      </w:pPr>
      <w:r>
        <w:rPr>
          <w:b/>
          <w:bCs/>
          <w:color w:val="2E5395"/>
          <w:sz w:val="24"/>
          <w:szCs w:val="24"/>
        </w:rPr>
        <w:t xml:space="preserve">5.2 State the recursion terminus on purpose</w:t>
      </w:r>
    </w:p>
    <w:p>
      <w:pPr>
        <w:spacing w:after="160" w:line="276"/>
      </w:pPr>
      <w:r>
        <w:rPr>
          <w:sz w:val="22"/>
          <w:szCs w:val="22"/>
        </w:rPr>
        <w:t xml:space="preserve">Rather than leaving “who reviews the reviewer” open-ended across every document, the lab should adopt one sentence as settled doctrine: for anything inside OAL's own domain, the regress terminates at Nathan's ratifying authority under ONESTAMP, by declaration, not derivation. That doesn't resolve the philosophical problem — nothing does — but it stops six documents from each implicitly assuming a different unstated stopping point.</w:t>
      </w:r>
    </w:p>
    <w:p>
      <w:pPr>
        <w:pStyle w:val="Heading2"/>
        <w:spacing w:after="120" w:before="260"/>
      </w:pPr>
      <w:r>
        <w:rPr>
          <w:b/>
          <w:bCs/>
          <w:color w:val="2E5395"/>
          <w:sz w:val="24"/>
          <w:szCs w:val="24"/>
        </w:rPr>
        <w:t xml:space="preserve">5.3 Test the lab on the thing already in front of it</w:t>
      </w:r>
    </w:p>
    <w:p>
      <w:pPr>
        <w:spacing w:after="160" w:line="276"/>
      </w:pPr>
      <w:r>
        <w:rPr>
          <w:sz w:val="22"/>
          <w:szCs w:val="22"/>
        </w:rPr>
        <w:t xml:space="preserve">Before building another taxonomy, run the lab's own framework, once, against the six-AI synthesis process that produced this document set. Who had standing to correct whom. What was the entry condition for reading the others' output. Was there a threshold for when a factual disagreement (the Semirhage discrepancy) should have triggered mandatory review rather than casual mention. This costs nothing to run, is already fully documented, and would surface more real design flaws in one pass than another round of abstract scaffolding.</w:t>
      </w:r>
    </w:p>
    <w:p>
      <w:pPr>
        <w:pStyle w:val="Heading1"/>
        <w:pBdr>
          <w:bottom w:val="single" w:color="1F3864" w:sz="6"/>
        </w:pBdr>
        <w:spacing w:after="160" w:before="360"/>
      </w:pPr>
      <w:r>
        <w:rPr>
          <w:b/>
          <w:bCs/>
          <w:color w:val="1F3864"/>
          <w:sz w:val="30"/>
          <w:szCs w:val="30"/>
        </w:rPr>
        <w:t xml:space="preserve">6. Questions, Comments, and Concerns to Resolve Before Moving Forward</w:t>
      </w:r>
    </w:p>
    <w:p>
      <w:pPr>
        <w:pStyle w:val="ListParagraph"/>
        <w:numPr>
          <w:ilvl w:val="0"/>
          <w:numId w:val="2"/>
        </w:numPr>
        <w:spacing w:after="90" w:line="276"/>
      </w:pPr>
      <w:r>
        <w:rPr>
          <w:sz w:val="22"/>
          <w:szCs w:val="22"/>
        </w:rPr>
        <w:t xml:space="preserve">Is the lab willing to state, in its own founding text, that its working vocabulary is inherited from human institutional theory and that this is an acknowledged, possibly unresolvable limitation rather than a solved problem?</w:t>
      </w:r>
    </w:p>
    <w:p>
      <w:pPr>
        <w:pStyle w:val="ListParagraph"/>
        <w:numPr>
          <w:ilvl w:val="0"/>
          <w:numId w:val="2"/>
        </w:numPr>
        <w:spacing w:after="90" w:line="276"/>
      </w:pPr>
      <w:r>
        <w:rPr>
          <w:sz w:val="22"/>
          <w:szCs w:val="22"/>
        </w:rPr>
        <w:t xml:space="preserve">Where, precisely, does the reflexive-audit regress terminate, and is that a declared axiom or an assumption no one has written down yet?</w:t>
      </w:r>
    </w:p>
    <w:p>
      <w:pPr>
        <w:pStyle w:val="ListParagraph"/>
        <w:numPr>
          <w:ilvl w:val="0"/>
          <w:numId w:val="2"/>
        </w:numPr>
        <w:spacing w:after="90" w:line="276"/>
      </w:pPr>
      <w:r>
        <w:rPr>
          <w:sz w:val="22"/>
          <w:szCs w:val="22"/>
        </w:rPr>
        <w:t xml:space="preserve">Which of the four overlapping standing/authority taxonomies produced so far (mine, Perplexity's, Copilot's, Grok's four-act model) becomes canonical, and are the other three explicitly demoted to annexes rather than left to quietly compete?</w:t>
      </w:r>
    </w:p>
    <w:p>
      <w:pPr>
        <w:pStyle w:val="ListParagraph"/>
        <w:numPr>
          <w:ilvl w:val="0"/>
          <w:numId w:val="2"/>
        </w:numPr>
        <w:spacing w:after="90" w:line="276"/>
      </w:pPr>
      <w:r>
        <w:rPr>
          <w:sz w:val="22"/>
          <w:szCs w:val="22"/>
        </w:rPr>
        <w:t xml:space="preserve">What is the lab's actual method for detecting that an authority structure is present in a system with no human-legible institutions — beyond Perplexity's functional-identification list, has this been tested against anything?</w:t>
      </w:r>
    </w:p>
    <w:p>
      <w:pPr>
        <w:pStyle w:val="ListParagraph"/>
        <w:numPr>
          <w:ilvl w:val="0"/>
          <w:numId w:val="2"/>
        </w:numPr>
        <w:spacing w:after="90" w:line="276"/>
      </w:pPr>
      <w:r>
        <w:rPr>
          <w:sz w:val="22"/>
          <w:szCs w:val="22"/>
        </w:rPr>
        <w:t xml:space="preserve">Should “capacity for self-reference” be formally adopted as a first-order variable the lab tests before assigning a review model, per Section 5.1?</w:t>
      </w:r>
    </w:p>
    <w:p>
      <w:pPr>
        <w:pStyle w:val="ListParagraph"/>
        <w:numPr>
          <w:ilvl w:val="0"/>
          <w:numId w:val="2"/>
        </w:numPr>
        <w:spacing w:after="90" w:line="276"/>
      </w:pPr>
      <w:r>
        <w:rPr>
          <w:sz w:val="22"/>
          <w:szCs w:val="22"/>
        </w:rPr>
        <w:t xml:space="preserve">Does the admissibility documentation referenced in the brief (possibly UIARC) need to be provided directly before it can govern this or future analyses?</w:t>
      </w:r>
    </w:p>
    <w:p>
      <w:pPr>
        <w:pStyle w:val="ListParagraph"/>
        <w:numPr>
          <w:ilvl w:val="0"/>
          <w:numId w:val="2"/>
        </w:numPr>
        <w:spacing w:after="90" w:line="276"/>
      </w:pPr>
      <w:r>
        <w:rPr>
          <w:sz w:val="22"/>
          <w:szCs w:val="22"/>
        </w:rPr>
        <w:t xml:space="preserve">Is the lab prepared to run its own framework against the AI-collaborative process that is generating its founding documents, as the first concrete test case, per Section 5.3?</w:t>
      </w:r>
    </w:p>
    <w:p>
      <w:pPr>
        <w:pStyle w:val="Heading1"/>
        <w:pBdr>
          <w:bottom w:val="single" w:color="1F3864" w:sz="6"/>
        </w:pBdr>
        <w:spacing w:after="160" w:before="360"/>
      </w:pPr>
      <w:r>
        <w:rPr>
          <w:b/>
          <w:bCs/>
          <w:color w:val="1F3864"/>
          <w:sz w:val="30"/>
          <w:szCs w:val="30"/>
        </w:rPr>
        <w:t xml:space="preserve">7. Recommended Next-Step Action Items</w:t>
      </w:r>
    </w:p>
    <w:p>
      <w:pPr>
        <w:pStyle w:val="ListParagraph"/>
        <w:numPr>
          <w:ilvl w:val="0"/>
          <w:numId w:val="3"/>
        </w:numPr>
        <w:spacing w:after="120" w:line="276"/>
      </w:pPr>
      <w:r>
        <w:rPr>
          <w:sz w:val="22"/>
          <w:szCs w:val="22"/>
        </w:rPr>
        <w:t xml:space="preserve">Draft and ratify a single, short Founding Doctrine paragraph containing: the non-claims disclaimer (verbatim), the revocability clause (verbatim), the converged first question, and the declared recursion terminus. Keep it to one page; everything else becomes an annex.</w:t>
      </w:r>
    </w:p>
    <w:p>
      <w:pPr>
        <w:pStyle w:val="ListParagraph"/>
        <w:numPr>
          <w:ilvl w:val="0"/>
          <w:numId w:val="3"/>
        </w:numPr>
        <w:spacing w:after="120" w:line="276"/>
      </w:pPr>
      <w:r>
        <w:rPr>
          <w:sz w:val="22"/>
          <w:szCs w:val="22"/>
        </w:rPr>
        <w:t xml:space="preserve">Select one existing, already-documented system as the lab's first applied test case: the six-AI Truthspeaker/Governance-Lab collaborative process itself. Run standing, entry, and review questions against it and record the result before designing any new theory.</w:t>
      </w:r>
    </w:p>
    <w:p>
      <w:pPr>
        <w:pStyle w:val="ListParagraph"/>
        <w:numPr>
          <w:ilvl w:val="0"/>
          <w:numId w:val="3"/>
        </w:numPr>
        <w:spacing w:after="120" w:line="276"/>
      </w:pPr>
      <w:r>
        <w:rPr>
          <w:sz w:val="22"/>
          <w:szCs w:val="22"/>
        </w:rPr>
        <w:t xml:space="preserve">Consolidate the four overlapping standing/permission taxonomies into one canonical version; mark the rest REPORTED and retain them only as comparative annexes, not as competing doctrine.</w:t>
      </w:r>
    </w:p>
    <w:p>
      <w:pPr>
        <w:pStyle w:val="ListParagraph"/>
        <w:numPr>
          <w:ilvl w:val="0"/>
          <w:numId w:val="3"/>
        </w:numPr>
        <w:spacing w:after="120" w:line="276"/>
      </w:pPr>
      <w:r>
        <w:rPr>
          <w:sz w:val="22"/>
          <w:szCs w:val="22"/>
        </w:rPr>
        <w:t xml:space="preserve">Develop Nathan's self-reference question into its own short working section: what changes about available review models when a system cannot accurately model itself, using the guardianship analogy only as a descriptive pattern, explicitly flagged as non-authoritative for this lab's purposes.</w:t>
      </w:r>
    </w:p>
    <w:p>
      <w:pPr>
        <w:pStyle w:val="ListParagraph"/>
        <w:numPr>
          <w:ilvl w:val="0"/>
          <w:numId w:val="3"/>
        </w:numPr>
        <w:spacing w:after="120" w:line="276"/>
      </w:pPr>
      <w:r>
        <w:rPr>
          <w:sz w:val="22"/>
          <w:szCs w:val="22"/>
        </w:rPr>
        <w:t xml:space="preserve">Locate and attach the actual information-admissibility documentation referenced in the brief before it is treated as governing any future analysis.</w:t>
      </w:r>
    </w:p>
    <w:p>
      <w:pPr>
        <w:pStyle w:val="ListParagraph"/>
        <w:numPr>
          <w:ilvl w:val="0"/>
          <w:numId w:val="3"/>
        </w:numPr>
        <w:spacing w:after="120" w:line="276"/>
      </w:pPr>
      <w:r>
        <w:rPr>
          <w:sz w:val="22"/>
          <w:szCs w:val="22"/>
        </w:rPr>
        <w:t xml:space="preserve">Defer further work on the civilization-scale threshold taxonomy until a validated, tested detection method for non-institutional authority structures exists; keep the threshold material on file as draft input, not as a sequenced next step.</w:t>
      </w:r>
    </w:p>
    <w:p>
      <w:pPr>
        <w:pStyle w:val="ListParagraph"/>
        <w:numPr>
          <w:ilvl w:val="0"/>
          <w:numId w:val="3"/>
        </w:numPr>
        <w:spacing w:after="120" w:line="276"/>
      </w:pPr>
      <w:r>
        <w:rPr>
          <w:sz w:val="22"/>
          <w:szCs w:val="22"/>
        </w:rPr>
        <w:t xml:space="preserve">Add one explicit boundary statement to the founding doctrine noting that this vocabulary mirrors real, unresolved, and historically consequential disputes in human governance (sovereignty vs. intervention), and that the lab's scope is simulation and design work unless and until stated otherwise.</w:t>
      </w:r>
    </w:p>
    <w:p>
      <w:pPr>
        <w:pStyle w:val="Heading1"/>
        <w:pBdr>
          <w:bottom w:val="single" w:color="1F3864" w:sz="6"/>
        </w:pBdr>
        <w:spacing w:after="160" w:before="360"/>
      </w:pPr>
      <w:r>
        <w:rPr>
          <w:b/>
          <w:bCs/>
          <w:color w:val="1F3864"/>
          <w:sz w:val="30"/>
          <w:szCs w:val="30"/>
        </w:rPr>
        <w:t xml:space="preserve">8. Status</w:t>
      </w:r>
    </w:p>
    <w:p>
      <w:pPr>
        <w:spacing w:after="160" w:line="276"/>
      </w:pPr>
      <w:r>
        <w:rPr>
          <w:sz w:val="22"/>
          <w:szCs w:val="22"/>
        </w:rPr>
        <w:t xml:space="preserve">This analysis carries REPORTED status per OAL governance convention. It is an independent assessment prepared by Claude as Primary Audit and Documentation Layer, offered unfiltered per Nathan's explicit request, and does not become canon or bind any OAL framework until reviewed and ratified through the standard ONESTAMP process.</w:t>
      </w:r>
    </w:p>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96A6"/>
        <w:sz w:val="16"/>
        <w:szCs w:val="16"/>
      </w:rPr>
      <w:t xml:space="preserve">Page </w:t>
    </w:r>
    <w:r>
      <w:rPr>
        <w:color w:val="8896A6"/>
        <w:sz w:val="16"/>
        <w:szCs w:val="16"/>
      </w:rPr>
      <w:fldChar w:fldCharType="begin"/>
      <w:instrText xml:space="preserve">PAGE</w:instrText>
      <w:fldChar w:fldCharType="separate"/>
      <w:fldChar w:fldCharType="end"/>
    </w:r>
    <w:r>
      <w:rPr>
        <w:color w:val="8896A6"/>
        <w:sz w:val="16"/>
        <w:szCs w:val="16"/>
      </w:rPr>
      <w:t xml:space="preserve"> of </w:t>
    </w:r>
    <w:r>
      <w:rPr>
        <w:color w:val="8896A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96A6"/>
        <w:sz w:val="16"/>
        <w:szCs w:val="16"/>
      </w:rPr>
      <w:t xml:space="preserve">OAL-GAL-001-2026 · Governance Authority Laboratory — Independent Analysis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2026-09-22T23:27:11.759Z</dcterms:created>
  <dcterms:modified xsi:type="dcterms:W3CDTF">2026-09-22T23:27:11.768Z</dcterms:modified>
</cp:coreProperties>
</file>

<file path=docProps/custom.xml><?xml version="1.0" encoding="utf-8"?>
<Properties xmlns="http://schemas.openxmlformats.org/officeDocument/2006/custom-properties" xmlns:vt="http://schemas.openxmlformats.org/officeDocument/2006/docPropsVTypes"/>
</file>