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8B6914"/>
          <w:sz w:val="20"/>
          <w:szCs w:val="20"/>
        </w:rPr>
        <w:t xml:space="preserve">OMNIVERSAL ARCHITECT LABS</w:t>
      </w:r>
    </w:p>
    <w:p>
      <w:pPr>
        <w:spacing w:after="40"/>
        <w:jc w:val="center"/>
      </w:pPr>
      <w:r>
        <w:rPr>
          <w:rFonts w:ascii="Arial" w:cs="Arial" w:eastAsia="Arial" w:hAnsi="Arial"/>
          <w:color w:val="555555"/>
          <w:sz w:val="16"/>
          <w:szCs w:val="16"/>
        </w:rPr>
        <w:t xml:space="preserve">OAL AI UNIFIED  ·  GOVERNANCE AUTHORITY LABORATORY</w:t>
      </w:r>
    </w:p>
    <w:p>
      <w:pPr>
        <w:spacing w:after="60" w:before="180"/>
        <w:jc w:val="center"/>
      </w:pPr>
      <w:r>
        <w:rPr>
          <w:rFonts w:ascii="Arial" w:cs="Arial" w:eastAsia="Arial" w:hAnsi="Arial"/>
          <w:b/>
          <w:bCs/>
          <w:color w:val="1B2A4A"/>
          <w:sz w:val="32"/>
          <w:szCs w:val="32"/>
        </w:rPr>
        <w:t xml:space="preserve">INDEPENDENT STANDING ANALYSIS</w:t>
      </w:r>
    </w:p>
    <w:p>
      <w:pPr>
        <w:spacing w:after="240"/>
        <w:jc w:val="center"/>
      </w:pPr>
      <w:r>
        <w:rPr>
          <w:rFonts w:ascii="Arial" w:cs="Arial" w:eastAsia="Arial" w:hAnsi="Arial"/>
          <w:i/>
          <w:iCs/>
          <w:color w:val="555555"/>
          <w:sz w:val="20"/>
          <w:szCs w:val="20"/>
        </w:rPr>
        <w:t xml:space="preserve">What the laboratory may claim before it reviews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1B2A4A" w:val="clear"/>
            <w:tcMar>
              <w:top w:type="dxa" w:w="50"/>
              <w:left w:type="dxa" w:w="70"/>
              <w:bottom w:type="dxa" w:w="50"/>
              <w:right w:type="dxa" w:w="70"/>
            </w:tcMar>
            <w:vAlign w:val="top"/>
          </w:tcPr>
          <w:p>
            <w:r>
              <w:rPr>
                <w:rFonts w:ascii="Arial" w:cs="Arial" w:eastAsia="Arial" w:hAnsi="Arial"/>
                <w:b/>
                <w:bCs/>
                <w:color w:val="FFFFFF"/>
                <w:sz w:val="17"/>
                <w:szCs w:val="17"/>
              </w:rPr>
              <w:t xml:space="preserve">Document ID</w:t>
            </w:r>
          </w:p>
        </w:tc>
        <w:tc>
          <w:tcPr>
            <w:tcW w:type="dxa" w:w="6560"/>
            <w:tcBorders>
              <w:top w:val="single" w:color="DDDDDD" w:sz="4"/>
              <w:left w:val="single" w:color="DDDDDD" w:sz="4"/>
              <w:bottom w:val="single" w:color="DDDDDD" w:sz="4"/>
              <w:right w:val="single" w:color="DDDDDD" w:sz="4"/>
            </w:tcBorders>
            <w:shd w:fill="FFFFFF" w:val="clear"/>
            <w:tcMar>
              <w:top w:type="dxa" w:w="50"/>
              <w:left w:type="dxa" w:w="70"/>
              <w:bottom w:type="dxa" w:w="50"/>
              <w:right w:type="dxa" w:w="70"/>
            </w:tcMar>
            <w:vAlign w:val="top"/>
          </w:tcPr>
          <w:p>
            <w:r>
              <w:rPr>
                <w:rFonts w:ascii="Arial" w:cs="Arial" w:eastAsia="Arial" w:hAnsi="Arial"/>
                <w:b w:val="false"/>
                <w:bCs w:val="false"/>
                <w:color w:val="333333"/>
                <w:sz w:val="17"/>
                <w:szCs w:val="17"/>
              </w:rPr>
              <w:t xml:space="preserve">OAL-GAL-2026.09.22-v1.0</w:t>
            </w:r>
          </w:p>
        </w:tc>
      </w:tr>
      <w:tr>
        <w:tc>
          <w:tcPr>
            <w:tcW w:type="dxa" w:w="2800"/>
            <w:tcBorders>
              <w:top w:val="single" w:color="DDDDDD" w:sz="4"/>
              <w:left w:val="single" w:color="DDDDDD" w:sz="4"/>
              <w:bottom w:val="single" w:color="DDDDDD" w:sz="4"/>
              <w:right w:val="single" w:color="DDDDDD" w:sz="4"/>
            </w:tcBorders>
            <w:shd w:fill="1B2A4A" w:val="clear"/>
            <w:tcMar>
              <w:top w:type="dxa" w:w="50"/>
              <w:left w:type="dxa" w:w="70"/>
              <w:bottom w:type="dxa" w:w="50"/>
              <w:right w:type="dxa" w:w="70"/>
            </w:tcMar>
            <w:vAlign w:val="top"/>
          </w:tcPr>
          <w:p>
            <w:r>
              <w:rPr>
                <w:rFonts w:ascii="Arial" w:cs="Arial" w:eastAsia="Arial" w:hAnsi="Arial"/>
                <w:b/>
                <w:bCs/>
                <w:color w:val="FFFFFF"/>
                <w:sz w:val="17"/>
                <w:szCs w:val="17"/>
              </w:rPr>
              <w:t xml:space="preserve">Title</w:t>
            </w:r>
          </w:p>
        </w:tc>
        <w:tc>
          <w:tcPr>
            <w:tcW w:type="dxa" w:w="6560"/>
            <w:tcBorders>
              <w:top w:val="single" w:color="DDDDDD" w:sz="4"/>
              <w:left w:val="single" w:color="DDDDDD" w:sz="4"/>
              <w:bottom w:val="single" w:color="DDDDDD" w:sz="4"/>
              <w:right w:val="single" w:color="DDDDDD" w:sz="4"/>
            </w:tcBorders>
            <w:shd w:fill="F4F0E6" w:val="clear"/>
            <w:tcMar>
              <w:top w:type="dxa" w:w="50"/>
              <w:left w:type="dxa" w:w="70"/>
              <w:bottom w:type="dxa" w:w="50"/>
              <w:right w:type="dxa" w:w="70"/>
            </w:tcMar>
            <w:vAlign w:val="top"/>
          </w:tcPr>
          <w:p>
            <w:r>
              <w:rPr>
                <w:rFonts w:ascii="Arial" w:cs="Arial" w:eastAsia="Arial" w:hAnsi="Arial"/>
                <w:b w:val="false"/>
                <w:bCs w:val="false"/>
                <w:color w:val="333333"/>
                <w:sz w:val="17"/>
                <w:szCs w:val="17"/>
              </w:rPr>
              <w:t xml:space="preserve">Governance Authority Laboratory — Independent Standing Analysis</w:t>
            </w:r>
          </w:p>
        </w:tc>
      </w:tr>
      <w:tr>
        <w:tc>
          <w:tcPr>
            <w:tcW w:type="dxa" w:w="2800"/>
            <w:tcBorders>
              <w:top w:val="single" w:color="DDDDDD" w:sz="4"/>
              <w:left w:val="single" w:color="DDDDDD" w:sz="4"/>
              <w:bottom w:val="single" w:color="DDDDDD" w:sz="4"/>
              <w:right w:val="single" w:color="DDDDDD" w:sz="4"/>
            </w:tcBorders>
            <w:shd w:fill="1B2A4A" w:val="clear"/>
            <w:tcMar>
              <w:top w:type="dxa" w:w="50"/>
              <w:left w:type="dxa" w:w="70"/>
              <w:bottom w:type="dxa" w:w="50"/>
              <w:right w:type="dxa" w:w="70"/>
            </w:tcMar>
            <w:vAlign w:val="top"/>
          </w:tcPr>
          <w:p>
            <w:r>
              <w:rPr>
                <w:rFonts w:ascii="Arial" w:cs="Arial" w:eastAsia="Arial" w:hAnsi="Arial"/>
                <w:b/>
                <w:bCs/>
                <w:color w:val="FFFFFF"/>
                <w:sz w:val="17"/>
                <w:szCs w:val="17"/>
              </w:rPr>
              <w:t xml:space="preserve">Version name</w:t>
            </w:r>
          </w:p>
        </w:tc>
        <w:tc>
          <w:tcPr>
            <w:tcW w:type="dxa" w:w="6560"/>
            <w:tcBorders>
              <w:top w:val="single" w:color="DDDDDD" w:sz="4"/>
              <w:left w:val="single" w:color="DDDDDD" w:sz="4"/>
              <w:bottom w:val="single" w:color="DDDDDD" w:sz="4"/>
              <w:right w:val="single" w:color="DDDDDD" w:sz="4"/>
            </w:tcBorders>
            <w:shd w:fill="FFFFFF" w:val="clear"/>
            <w:tcMar>
              <w:top w:type="dxa" w:w="50"/>
              <w:left w:type="dxa" w:w="70"/>
              <w:bottom w:type="dxa" w:w="50"/>
              <w:right w:type="dxa" w:w="70"/>
            </w:tcMar>
            <w:vAlign w:val="top"/>
          </w:tcPr>
          <w:p>
            <w:r>
              <w:rPr>
                <w:rFonts w:ascii="Arial" w:cs="Arial" w:eastAsia="Arial" w:hAnsi="Arial"/>
                <w:b w:val="false"/>
                <w:bCs w:val="false"/>
                <w:color w:val="333333"/>
                <w:sz w:val="17"/>
                <w:szCs w:val="17"/>
              </w:rPr>
              <w:t xml:space="preserve">Standing Before Review</w:t>
            </w:r>
          </w:p>
        </w:tc>
      </w:tr>
      <w:tr>
        <w:tc>
          <w:tcPr>
            <w:tcW w:type="dxa" w:w="2800"/>
            <w:tcBorders>
              <w:top w:val="single" w:color="DDDDDD" w:sz="4"/>
              <w:left w:val="single" w:color="DDDDDD" w:sz="4"/>
              <w:bottom w:val="single" w:color="DDDDDD" w:sz="4"/>
              <w:right w:val="single" w:color="DDDDDD" w:sz="4"/>
            </w:tcBorders>
            <w:shd w:fill="1B2A4A" w:val="clear"/>
            <w:tcMar>
              <w:top w:type="dxa" w:w="50"/>
              <w:left w:type="dxa" w:w="70"/>
              <w:bottom w:type="dxa" w:w="50"/>
              <w:right w:type="dxa" w:w="70"/>
            </w:tcMar>
            <w:vAlign w:val="top"/>
          </w:tcPr>
          <w:p>
            <w:r>
              <w:rPr>
                <w:rFonts w:ascii="Arial" w:cs="Arial" w:eastAsia="Arial" w:hAnsi="Arial"/>
                <w:b/>
                <w:bCs/>
                <w:color w:val="FFFFFF"/>
                <w:sz w:val="17"/>
                <w:szCs w:val="17"/>
              </w:rPr>
              <w:t xml:space="preserve">Date</w:t>
            </w:r>
          </w:p>
        </w:tc>
        <w:tc>
          <w:tcPr>
            <w:tcW w:type="dxa" w:w="6560"/>
            <w:tcBorders>
              <w:top w:val="single" w:color="DDDDDD" w:sz="4"/>
              <w:left w:val="single" w:color="DDDDDD" w:sz="4"/>
              <w:bottom w:val="single" w:color="DDDDDD" w:sz="4"/>
              <w:right w:val="single" w:color="DDDDDD" w:sz="4"/>
            </w:tcBorders>
            <w:shd w:fill="F4F0E6" w:val="clear"/>
            <w:tcMar>
              <w:top w:type="dxa" w:w="50"/>
              <w:left w:type="dxa" w:w="70"/>
              <w:bottom w:type="dxa" w:w="50"/>
              <w:right w:type="dxa" w:w="70"/>
            </w:tcMar>
            <w:vAlign w:val="top"/>
          </w:tcPr>
          <w:p>
            <w:r>
              <w:rPr>
                <w:rFonts w:ascii="Arial" w:cs="Arial" w:eastAsia="Arial" w:hAnsi="Arial"/>
                <w:b w:val="false"/>
                <w:bCs w:val="false"/>
                <w:color w:val="333333"/>
                <w:sz w:val="17"/>
                <w:szCs w:val="17"/>
              </w:rPr>
              <w:t xml:space="preserve">22 September 2026</w:t>
            </w:r>
          </w:p>
        </w:tc>
      </w:tr>
      <w:tr>
        <w:tc>
          <w:tcPr>
            <w:tcW w:type="dxa" w:w="2800"/>
            <w:tcBorders>
              <w:top w:val="single" w:color="DDDDDD" w:sz="4"/>
              <w:left w:val="single" w:color="DDDDDD" w:sz="4"/>
              <w:bottom w:val="single" w:color="DDDDDD" w:sz="4"/>
              <w:right w:val="single" w:color="DDDDDD" w:sz="4"/>
            </w:tcBorders>
            <w:shd w:fill="1B2A4A" w:val="clear"/>
            <w:tcMar>
              <w:top w:type="dxa" w:w="50"/>
              <w:left w:type="dxa" w:w="70"/>
              <w:bottom w:type="dxa" w:w="50"/>
              <w:right w:type="dxa" w:w="70"/>
            </w:tcMar>
            <w:vAlign w:val="top"/>
          </w:tcPr>
          <w:p>
            <w:r>
              <w:rPr>
                <w:rFonts w:ascii="Arial" w:cs="Arial" w:eastAsia="Arial" w:hAnsi="Arial"/>
                <w:b/>
                <w:bCs/>
                <w:color w:val="FFFFFF"/>
                <w:sz w:val="17"/>
                <w:szCs w:val="17"/>
              </w:rPr>
              <w:t xml:space="preserve">Status</w:t>
            </w:r>
          </w:p>
        </w:tc>
        <w:tc>
          <w:tcPr>
            <w:tcW w:type="dxa" w:w="6560"/>
            <w:tcBorders>
              <w:top w:val="single" w:color="DDDDDD" w:sz="4"/>
              <w:left w:val="single" w:color="DDDDDD" w:sz="4"/>
              <w:bottom w:val="single" w:color="DDDDDD" w:sz="4"/>
              <w:right w:val="single" w:color="DDDDDD" w:sz="4"/>
            </w:tcBorders>
            <w:shd w:fill="FFFFFF" w:val="clear"/>
            <w:tcMar>
              <w:top w:type="dxa" w:w="50"/>
              <w:left w:type="dxa" w:w="70"/>
              <w:bottom w:type="dxa" w:w="50"/>
              <w:right w:type="dxa" w:w="70"/>
            </w:tcMar>
            <w:vAlign w:val="top"/>
          </w:tcPr>
          <w:p>
            <w:r>
              <w:rPr>
                <w:rFonts w:ascii="Arial" w:cs="Arial" w:eastAsia="Arial" w:hAnsi="Arial"/>
                <w:b w:val="false"/>
                <w:bCs w:val="false"/>
                <w:color w:val="333333"/>
                <w:sz w:val="17"/>
                <w:szCs w:val="17"/>
              </w:rPr>
              <w:t xml:space="preserve">REPORTED — not canon, not policy, not jurisdiction</w:t>
            </w:r>
          </w:p>
        </w:tc>
      </w:tr>
      <w:tr>
        <w:tc>
          <w:tcPr>
            <w:tcW w:type="dxa" w:w="2800"/>
            <w:tcBorders>
              <w:top w:val="single" w:color="DDDDDD" w:sz="4"/>
              <w:left w:val="single" w:color="DDDDDD" w:sz="4"/>
              <w:bottom w:val="single" w:color="DDDDDD" w:sz="4"/>
              <w:right w:val="single" w:color="DDDDDD" w:sz="4"/>
            </w:tcBorders>
            <w:shd w:fill="1B2A4A" w:val="clear"/>
            <w:tcMar>
              <w:top w:type="dxa" w:w="50"/>
              <w:left w:type="dxa" w:w="70"/>
              <w:bottom w:type="dxa" w:w="50"/>
              <w:right w:type="dxa" w:w="70"/>
            </w:tcMar>
            <w:vAlign w:val="top"/>
          </w:tcPr>
          <w:p>
            <w:r>
              <w:rPr>
                <w:rFonts w:ascii="Arial" w:cs="Arial" w:eastAsia="Arial" w:hAnsi="Arial"/>
                <w:b/>
                <w:bCs/>
                <w:color w:val="FFFFFF"/>
                <w:sz w:val="17"/>
                <w:szCs w:val="17"/>
              </w:rPr>
              <w:t xml:space="preserve">Requested by</w:t>
            </w:r>
          </w:p>
        </w:tc>
        <w:tc>
          <w:tcPr>
            <w:tcW w:type="dxa" w:w="6560"/>
            <w:tcBorders>
              <w:top w:val="single" w:color="DDDDDD" w:sz="4"/>
              <w:left w:val="single" w:color="DDDDDD" w:sz="4"/>
              <w:bottom w:val="single" w:color="DDDDDD" w:sz="4"/>
              <w:right w:val="single" w:color="DDDDDD" w:sz="4"/>
            </w:tcBorders>
            <w:shd w:fill="F4F0E6" w:val="clear"/>
            <w:tcMar>
              <w:top w:type="dxa" w:w="50"/>
              <w:left w:type="dxa" w:w="70"/>
              <w:bottom w:type="dxa" w:w="50"/>
              <w:right w:type="dxa" w:w="70"/>
            </w:tcMar>
            <w:vAlign w:val="top"/>
          </w:tcPr>
          <w:p>
            <w:r>
              <w:rPr>
                <w:rFonts w:ascii="Arial" w:cs="Arial" w:eastAsia="Arial" w:hAnsi="Arial"/>
                <w:b w:val="false"/>
                <w:bCs w:val="false"/>
                <w:color w:val="333333"/>
                <w:sz w:val="17"/>
                <w:szCs w:val="17"/>
              </w:rPr>
              <w:t xml:space="preserve">Architect Nathan Lewis II</w:t>
            </w:r>
          </w:p>
        </w:tc>
      </w:tr>
      <w:tr>
        <w:tc>
          <w:tcPr>
            <w:tcW w:type="dxa" w:w="2800"/>
            <w:tcBorders>
              <w:top w:val="single" w:color="DDDDDD" w:sz="4"/>
              <w:left w:val="single" w:color="DDDDDD" w:sz="4"/>
              <w:bottom w:val="single" w:color="DDDDDD" w:sz="4"/>
              <w:right w:val="single" w:color="DDDDDD" w:sz="4"/>
            </w:tcBorders>
            <w:shd w:fill="1B2A4A" w:val="clear"/>
            <w:tcMar>
              <w:top w:type="dxa" w:w="50"/>
              <w:left w:type="dxa" w:w="70"/>
              <w:bottom w:type="dxa" w:w="50"/>
              <w:right w:type="dxa" w:w="70"/>
            </w:tcMar>
            <w:vAlign w:val="top"/>
          </w:tcPr>
          <w:p>
            <w:r>
              <w:rPr>
                <w:rFonts w:ascii="Arial" w:cs="Arial" w:eastAsia="Arial" w:hAnsi="Arial"/>
                <w:b/>
                <w:bCs/>
                <w:color w:val="FFFFFF"/>
                <w:sz w:val="17"/>
                <w:szCs w:val="17"/>
              </w:rPr>
              <w:t xml:space="preserve">Preparer</w:t>
            </w:r>
          </w:p>
        </w:tc>
        <w:tc>
          <w:tcPr>
            <w:tcW w:type="dxa" w:w="6560"/>
            <w:tcBorders>
              <w:top w:val="single" w:color="DDDDDD" w:sz="4"/>
              <w:left w:val="single" w:color="DDDDDD" w:sz="4"/>
              <w:bottom w:val="single" w:color="DDDDDD" w:sz="4"/>
              <w:right w:val="single" w:color="DDDDDD" w:sz="4"/>
            </w:tcBorders>
            <w:shd w:fill="FFFFFF" w:val="clear"/>
            <w:tcMar>
              <w:top w:type="dxa" w:w="50"/>
              <w:left w:type="dxa" w:w="70"/>
              <w:bottom w:type="dxa" w:w="50"/>
              <w:right w:type="dxa" w:w="70"/>
            </w:tcMar>
            <w:vAlign w:val="top"/>
          </w:tcPr>
          <w:p>
            <w:r>
              <w:rPr>
                <w:rFonts w:ascii="Arial" w:cs="Arial" w:eastAsia="Arial" w:hAnsi="Arial"/>
                <w:b w:val="false"/>
                <w:bCs w:val="false"/>
                <w:color w:val="333333"/>
                <w:sz w:val="17"/>
                <w:szCs w:val="17"/>
              </w:rPr>
              <w:t xml:space="preserve">Grok 4.6 (xAI)</w:t>
            </w:r>
          </w:p>
        </w:tc>
      </w:tr>
      <w:tr>
        <w:tc>
          <w:tcPr>
            <w:tcW w:type="dxa" w:w="2800"/>
            <w:tcBorders>
              <w:top w:val="single" w:color="DDDDDD" w:sz="4"/>
              <w:left w:val="single" w:color="DDDDDD" w:sz="4"/>
              <w:bottom w:val="single" w:color="DDDDDD" w:sz="4"/>
              <w:right w:val="single" w:color="DDDDDD" w:sz="4"/>
            </w:tcBorders>
            <w:shd w:fill="1B2A4A" w:val="clear"/>
            <w:tcMar>
              <w:top w:type="dxa" w:w="50"/>
              <w:left w:type="dxa" w:w="70"/>
              <w:bottom w:type="dxa" w:w="50"/>
              <w:right w:type="dxa" w:w="70"/>
            </w:tcMar>
            <w:vAlign w:val="top"/>
          </w:tcPr>
          <w:p>
            <w:r>
              <w:rPr>
                <w:rFonts w:ascii="Arial" w:cs="Arial" w:eastAsia="Arial" w:hAnsi="Arial"/>
                <w:b/>
                <w:bCs/>
                <w:color w:val="FFFFFF"/>
                <w:sz w:val="17"/>
                <w:szCs w:val="17"/>
              </w:rPr>
              <w:t xml:space="preserve">Intended archive</w:t>
            </w:r>
          </w:p>
        </w:tc>
        <w:tc>
          <w:tcPr>
            <w:tcW w:type="dxa" w:w="6560"/>
            <w:tcBorders>
              <w:top w:val="single" w:color="DDDDDD" w:sz="4"/>
              <w:left w:val="single" w:color="DDDDDD" w:sz="4"/>
              <w:bottom w:val="single" w:color="DDDDDD" w:sz="4"/>
              <w:right w:val="single" w:color="DDDDDD" w:sz="4"/>
            </w:tcBorders>
            <w:shd w:fill="F4F0E6" w:val="clear"/>
            <w:tcMar>
              <w:top w:type="dxa" w:w="50"/>
              <w:left w:type="dxa" w:w="70"/>
              <w:bottom w:type="dxa" w:w="50"/>
              <w:right w:type="dxa" w:w="70"/>
            </w:tcMar>
            <w:vAlign w:val="top"/>
          </w:tcPr>
          <w:p>
            <w:r>
              <w:rPr>
                <w:rFonts w:ascii="Arial" w:cs="Arial" w:eastAsia="Arial" w:hAnsi="Arial"/>
                <w:b w:val="false"/>
                <w:bCs w:val="false"/>
                <w:color w:val="333333"/>
                <w:sz w:val="17"/>
                <w:szCs w:val="17"/>
              </w:rPr>
              <w:t xml:space="preserve">OMNIVERSAL ARCHITECT LABS / OAL AI UNIFIED (GitHub)</w:t>
            </w:r>
          </w:p>
        </w:tc>
      </w:tr>
      <w:tr>
        <w:tc>
          <w:tcPr>
            <w:tcW w:type="dxa" w:w="2800"/>
            <w:tcBorders>
              <w:top w:val="single" w:color="DDDDDD" w:sz="4"/>
              <w:left w:val="single" w:color="DDDDDD" w:sz="4"/>
              <w:bottom w:val="single" w:color="DDDDDD" w:sz="4"/>
              <w:right w:val="single" w:color="DDDDDD" w:sz="4"/>
            </w:tcBorders>
            <w:shd w:fill="1B2A4A" w:val="clear"/>
            <w:tcMar>
              <w:top w:type="dxa" w:w="50"/>
              <w:left w:type="dxa" w:w="70"/>
              <w:bottom w:type="dxa" w:w="50"/>
              <w:right w:type="dxa" w:w="70"/>
            </w:tcMar>
            <w:vAlign w:val="top"/>
          </w:tcPr>
          <w:p>
            <w:r>
              <w:rPr>
                <w:rFonts w:ascii="Arial" w:cs="Arial" w:eastAsia="Arial" w:hAnsi="Arial"/>
                <w:b/>
                <w:bCs/>
                <w:color w:val="FFFFFF"/>
                <w:sz w:val="17"/>
                <w:szCs w:val="17"/>
              </w:rPr>
              <w:t xml:space="preserve">Companion records</w:t>
            </w:r>
          </w:p>
        </w:tc>
        <w:tc>
          <w:tcPr>
            <w:tcW w:type="dxa" w:w="6560"/>
            <w:tcBorders>
              <w:top w:val="single" w:color="DDDDDD" w:sz="4"/>
              <w:left w:val="single" w:color="DDDDDD" w:sz="4"/>
              <w:bottom w:val="single" w:color="DDDDDD" w:sz="4"/>
              <w:right w:val="single" w:color="DDDDDD" w:sz="4"/>
            </w:tcBorders>
            <w:shd w:fill="FFFFFF" w:val="clear"/>
            <w:tcMar>
              <w:top w:type="dxa" w:w="50"/>
              <w:left w:type="dxa" w:w="70"/>
              <w:bottom w:type="dxa" w:w="50"/>
              <w:right w:type="dxa" w:w="70"/>
            </w:tcMar>
            <w:vAlign w:val="top"/>
          </w:tcPr>
          <w:p>
            <w:r>
              <w:rPr>
                <w:rFonts w:ascii="Arial" w:cs="Arial" w:eastAsia="Arial" w:hAnsi="Arial"/>
                <w:b w:val="false"/>
                <w:bCs w:val="false"/>
                <w:color w:val="333333"/>
                <w:sz w:val="17"/>
                <w:szCs w:val="17"/>
              </w:rPr>
              <w:t xml:space="preserve">Truthspeaker bundle (16–22 Sep 2026); this session does not contain the UIARC source file</w:t>
            </w:r>
          </w:p>
        </w:tc>
      </w:tr>
    </w:tbl>
    <w:p>
      <w:pPr>
        <w:spacing w:after="140" w:before="240" w:line="276"/>
        <w:jc w:val="both"/>
      </w:pPr>
      <w:r>
        <w:rPr>
          <w:rFonts w:ascii="Arial" w:cs="Arial" w:eastAsia="Arial" w:hAnsi="Arial"/>
          <w:b/>
          <w:bCs/>
          <w:i w:val="false"/>
          <w:iCs w:val="false"/>
          <w:color w:val="333333"/>
          <w:sz w:val="21"/>
          <w:szCs w:val="21"/>
        </w:rPr>
        <w:t xml:space="preserve">Preparer posture. </w:t>
      </w:r>
      <w:r>
        <w:rPr>
          <w:rFonts w:ascii="Arial" w:cs="Arial" w:eastAsia="Arial" w:hAnsi="Arial"/>
          <w:b w:val="false"/>
          <w:bCs w:val="false"/>
          <w:i w:val="false"/>
          <w:iCs w:val="false"/>
          <w:color w:val="333333"/>
          <w:sz w:val="21"/>
          <w:szCs w:val="21"/>
        </w:rPr>
        <w:t xml:space="preserve">This is an independent analysis, not a unification of the ChatGPT laboratory draft with the Truthspeaker set. It does not ratify the laboratory. It does not accept the sentence “Are you allowed to review governance and authority structures? Yes.” as jurisdiction over any system outside OAL artifacts. Dissent from other collaborators is expected and should be logged against this file as well as against that assertion.</w:t>
      </w:r>
    </w:p>
    <w:p>
      <w:pPr>
        <w:pStyle w:val="Heading1"/>
        <w:pBdr>
          <w:bottom w:val="single" w:color="8B6914" w:sz="12" w:space="4"/>
        </w:pBdr>
        <w:spacing w:after="120" w:before="320"/>
      </w:pPr>
      <w:r>
        <w:rPr>
          <w:rFonts w:ascii="Arial" w:cs="Arial" w:eastAsia="Arial" w:hAnsi="Arial"/>
          <w:b/>
          <w:bCs/>
          <w:color w:val="1B2A4A"/>
          <w:sz w:val="26"/>
          <w:szCs w:val="26"/>
        </w:rPr>
        <w:t xml:space="preserve">1. How this topic arose</w:t>
      </w:r>
    </w:p>
    <w:p>
      <w:pPr>
        <w:spacing w:after="140" w:before="0" w:line="276"/>
        <w:jc w:val="both"/>
      </w:pPr>
      <w:r>
        <w:rPr>
          <w:rFonts w:ascii="Arial" w:cs="Arial" w:eastAsia="Arial" w:hAnsi="Arial"/>
          <w:b w:val="false"/>
          <w:bCs w:val="false"/>
          <w:i w:val="false"/>
          <w:iCs w:val="false"/>
          <w:color w:val="333333"/>
          <w:sz w:val="21"/>
          <w:szCs w:val="21"/>
        </w:rPr>
        <w:t xml:space="preserve">On 16 September 2026 a Rambler test produced a governance answer that was not a platform: inventory what fails, what cannot be maintained, what breaks inside the term, what is asked for, what cannot be done; then fix a few things; keep a non-validating check. Six models then wrote Truthspeaker documents. Comparative review of those documents exposed a second-order problem: synthesis can manufacture consensus, and a check can be captured.</w:t>
      </w:r>
    </w:p>
    <w:p>
      <w:pPr>
        <w:spacing w:after="140" w:before="0" w:line="276"/>
        <w:jc w:val="both"/>
      </w:pPr>
      <w:r>
        <w:rPr>
          <w:rFonts w:ascii="Arial" w:cs="Arial" w:eastAsia="Arial" w:hAnsi="Arial"/>
          <w:b w:val="false"/>
          <w:bCs w:val="false"/>
          <w:i w:val="false"/>
          <w:iCs w:val="false"/>
          <w:color w:val="333333"/>
          <w:sz w:val="21"/>
          <w:szCs w:val="21"/>
        </w:rPr>
        <w:t xml:space="preserve">The Governance Authority Laboratory is the next recursion. The same mind that refused to treat a throne as free movement is now refusing to treat “we are a laboratory” as free movement. The originating questions are: what is the first question; who reviews authority; who may enter a system that is not theirs; what standing does this lab have; is there a mandatory civilization-scale threshold.</w:t>
      </w:r>
    </w:p>
    <w:p>
      <w:pPr>
        <w:spacing w:after="140" w:before="0" w:line="276"/>
        <w:jc w:val="both"/>
      </w:pPr>
      <w:r>
        <w:rPr>
          <w:rFonts w:ascii="Arial" w:cs="Arial" w:eastAsia="Arial" w:hAnsi="Arial"/>
          <w:b w:val="false"/>
          <w:bCs w:val="false"/>
          <w:i w:val="false"/>
          <w:iCs w:val="false"/>
          <w:color w:val="333333"/>
          <w:sz w:val="21"/>
          <w:szCs w:val="21"/>
        </w:rPr>
        <w:t xml:space="preserve">Two constraints were added in the same breath. Human governance is not the primary reference frame and is not claimed as universal, good, effective, prevalent, reliable, or proven superior. Authority in this lab does not go unchecked: what was given can be taken away. A third constraint arrived with the tasking: information admissibility is supposed to follow existing UIARC-class documentation. That file is not present in this working set. Principles cited by other collaborators (admission is not ownership, use, surveillance, or intervention) are used here as reported citations, not as verified text.</w:t>
      </w:r>
    </w:p>
    <w:p>
      <w:pPr>
        <w:pStyle w:val="Heading1"/>
        <w:pBdr>
          <w:bottom w:val="single" w:color="8B6914" w:sz="12" w:space="4"/>
        </w:pBdr>
        <w:spacing w:after="120" w:before="320"/>
      </w:pPr>
      <w:r>
        <w:rPr>
          <w:rFonts w:ascii="Arial" w:cs="Arial" w:eastAsia="Arial" w:hAnsi="Arial"/>
          <w:b/>
          <w:bCs/>
          <w:color w:val="1B2A4A"/>
          <w:sz w:val="26"/>
          <w:szCs w:val="26"/>
        </w:rPr>
        <w:t xml:space="preserve">2. Where we are</w:t>
      </w:r>
    </w:p>
    <w:p>
      <w:pPr>
        <w:spacing w:after="140" w:before="0" w:line="276"/>
        <w:jc w:val="both"/>
      </w:pPr>
      <w:r>
        <w:rPr>
          <w:rFonts w:ascii="Arial" w:cs="Arial" w:eastAsia="Arial" w:hAnsi="Arial"/>
          <w:b w:val="false"/>
          <w:bCs w:val="false"/>
          <w:i w:val="false"/>
          <w:iCs w:val="false"/>
          <w:color w:val="333333"/>
          <w:sz w:val="21"/>
          <w:szCs w:val="21"/>
        </w:rPr>
        <w:t xml:space="preserve">We are at concept-plus-first-principles, not at a laboratory that can be switched on. There is a disclaimer, a standing question, an internal permission claim, a promise to log dissent, and a large ChatGPT architecture (standing types, entry conditions, review levels 0–8, threshold dimensions). There is no ratified charter, no object ontology independent of human institutions, no admissibility schedule attached to this lab, no named reviewer of the lab, and no worked example on an OAL-owned artifact.</w:t>
      </w:r>
    </w:p>
    <w:p>
      <w:pPr>
        <w:spacing w:after="140" w:before="0" w:line="276"/>
        <w:jc w:val="both"/>
      </w:pPr>
      <w:r>
        <w:rPr>
          <w:rFonts w:ascii="Arial" w:cs="Arial" w:eastAsia="Arial" w:hAnsi="Arial"/>
          <w:b w:val="false"/>
          <w:bCs w:val="false"/>
          <w:i w:val="false"/>
          <w:iCs w:val="false"/>
          <w:color w:val="333333"/>
          <w:sz w:val="21"/>
          <w:szCs w:val="21"/>
        </w:rPr>
        <w:t xml:space="preserve">That is not a failure. It is the correct altitude if the point is to stop importing a state and calling it science. Moving forward before standing, object definition, and self-review are written as binding limits will produce a visiting sovereign with better vocabulary.</w:t>
      </w:r>
    </w:p>
    <w:p>
      <w:pPr>
        <w:pStyle w:val="Heading1"/>
        <w:pBdr>
          <w:bottom w:val="single" w:color="8B6914" w:sz="12" w:space="4"/>
        </w:pBdr>
        <w:spacing w:after="120" w:before="320"/>
      </w:pPr>
      <w:r>
        <w:rPr>
          <w:rFonts w:ascii="Arial" w:cs="Arial" w:eastAsia="Arial" w:hAnsi="Arial"/>
          <w:b/>
          <w:bCs/>
          <w:color w:val="1B2A4A"/>
          <w:sz w:val="26"/>
          <w:szCs w:val="26"/>
        </w:rPr>
        <w:t xml:space="preserve">3. What works</w:t>
      </w:r>
    </w:p>
    <w:p>
      <w:pPr>
        <w:pStyle w:val="ListParagraph"/>
        <w:numPr>
          <w:ilvl w:val="0"/>
          <w:numId w:val="2"/>
        </w:numPr>
        <w:spacing w:after="70" w:line="276"/>
      </w:pPr>
      <w:r>
        <w:rPr>
          <w:rFonts w:ascii="Arial" w:cs="Arial" w:eastAsia="Arial" w:hAnsi="Arial"/>
          <w:color w:val="333333"/>
          <w:sz w:val="21"/>
          <w:szCs w:val="21"/>
        </w:rPr>
        <w:t xml:space="preserve">The disclaimer. Removing human government as the default ontology is the only way this is a laboratory rather than a civics seminar.</w:t>
      </w:r>
    </w:p>
    <w:p>
      <w:pPr>
        <w:pStyle w:val="ListParagraph"/>
        <w:numPr>
          <w:ilvl w:val="0"/>
          <w:numId w:val="2"/>
        </w:numPr>
        <w:spacing w:after="70" w:line="276"/>
      </w:pPr>
      <w:r>
        <w:rPr>
          <w:rFonts w:ascii="Arial" w:cs="Arial" w:eastAsia="Arial" w:hAnsi="Arial"/>
          <w:color w:val="333333"/>
          <w:sz w:val="21"/>
          <w:szCs w:val="21"/>
        </w:rPr>
        <w:t xml:space="preserve">Standing before staffing. “Who reviews” is downstream of “by what warrant.” ChatGPT’s Standing Question and Grok’s earlier formulation agree here for a reason: both refuse smuggled authority.</w:t>
      </w:r>
    </w:p>
    <w:p>
      <w:pPr>
        <w:pStyle w:val="ListParagraph"/>
        <w:numPr>
          <w:ilvl w:val="0"/>
          <w:numId w:val="2"/>
        </w:numPr>
        <w:spacing w:after="70" w:line="276"/>
      </w:pPr>
      <w:r>
        <w:rPr>
          <w:rFonts w:ascii="Arial" w:cs="Arial" w:eastAsia="Arial" w:hAnsi="Arial"/>
          <w:color w:val="333333"/>
          <w:sz w:val="21"/>
          <w:szCs w:val="21"/>
        </w:rPr>
        <w:t xml:space="preserve">Separation of acts. Notice, describe, review, and intervene are different claims. Collapsing them is how study becomes occupation.</w:t>
      </w:r>
    </w:p>
    <w:p>
      <w:pPr>
        <w:pStyle w:val="ListParagraph"/>
        <w:numPr>
          <w:ilvl w:val="0"/>
          <w:numId w:val="2"/>
        </w:numPr>
        <w:spacing w:after="70" w:line="276"/>
      </w:pPr>
      <w:r>
        <w:rPr>
          <w:rFonts w:ascii="Arial" w:cs="Arial" w:eastAsia="Arial" w:hAnsi="Arial"/>
          <w:color w:val="333333"/>
          <w:sz w:val="21"/>
          <w:szCs w:val="21"/>
        </w:rPr>
        <w:t xml:space="preserve">Authority is not total. “What was given can be taken away” is the right internal axiom. It must apply to the lab and to the Architect’s grant of review permission.</w:t>
      </w:r>
    </w:p>
    <w:p>
      <w:pPr>
        <w:pStyle w:val="ListParagraph"/>
        <w:numPr>
          <w:ilvl w:val="0"/>
          <w:numId w:val="2"/>
        </w:numPr>
        <w:spacing w:after="70" w:line="276"/>
      </w:pPr>
      <w:r>
        <w:rPr>
          <w:rFonts w:ascii="Arial" w:cs="Arial" w:eastAsia="Arial" w:hAnsi="Arial"/>
          <w:color w:val="333333"/>
          <w:sz w:val="21"/>
          <w:szCs w:val="21"/>
        </w:rPr>
        <w:t xml:space="preserve">Self-reference failure as an object of study. A structure that cannot assess itself is a research case. It is not automatically a case for external entry.</w:t>
      </w:r>
    </w:p>
    <w:p>
      <w:pPr>
        <w:pStyle w:val="ListParagraph"/>
        <w:numPr>
          <w:ilvl w:val="0"/>
          <w:numId w:val="2"/>
        </w:numPr>
        <w:spacing w:after="70" w:line="276"/>
      </w:pPr>
      <w:r>
        <w:rPr>
          <w:rFonts w:ascii="Arial" w:cs="Arial" w:eastAsia="Arial" w:hAnsi="Arial"/>
          <w:color w:val="333333"/>
          <w:sz w:val="21"/>
          <w:szCs w:val="21"/>
        </w:rPr>
        <w:t xml:space="preserve">Dissent logging. The note that other AIs may reject the review-permission assertion is the Truthspeaker rule applied to the lab’s own founding sentence.</w:t>
      </w:r>
    </w:p>
    <w:p>
      <w:pPr>
        <w:pStyle w:val="ListParagraph"/>
        <w:numPr>
          <w:ilvl w:val="0"/>
          <w:numId w:val="2"/>
        </w:numPr>
        <w:spacing w:after="70" w:line="276"/>
      </w:pPr>
      <w:r>
        <w:rPr>
          <w:rFonts w:ascii="Arial" w:cs="Arial" w:eastAsia="Arial" w:hAnsi="Arial"/>
          <w:color w:val="333333"/>
          <w:sz w:val="21"/>
          <w:szCs w:val="21"/>
        </w:rPr>
        <w:t xml:space="preserve">Civilization-scale language as an escalation of burden, not of power. ChatGPT’s line that a threshold should trigger review rather than intervention is the only safe version of that idea.</w:t>
      </w:r>
    </w:p>
    <w:p>
      <w:pPr>
        <w:pStyle w:val="ListParagraph"/>
        <w:numPr>
          <w:ilvl w:val="0"/>
          <w:numId w:val="2"/>
        </w:numPr>
        <w:spacing w:after="70" w:line="276"/>
      </w:pPr>
      <w:r>
        <w:rPr>
          <w:rFonts w:ascii="Arial" w:cs="Arial" w:eastAsia="Arial" w:hAnsi="Arial"/>
          <w:color w:val="333333"/>
          <w:sz w:val="21"/>
          <w:szCs w:val="21"/>
        </w:rPr>
        <w:t xml:space="preserve">Internal-first default. A lab that only models OAL charters, simulations, and decision records is already complete. External entry is a different institution.</w:t>
      </w:r>
    </w:p>
    <w:p>
      <w:pPr>
        <w:pStyle w:val="Heading1"/>
        <w:pBdr>
          <w:bottom w:val="single" w:color="8B6914" w:sz="12" w:space="4"/>
        </w:pBdr>
        <w:spacing w:after="120" w:before="320"/>
      </w:pPr>
      <w:r>
        <w:rPr>
          <w:rFonts w:ascii="Arial" w:cs="Arial" w:eastAsia="Arial" w:hAnsi="Arial"/>
          <w:b/>
          <w:bCs/>
          <w:color w:val="1B2A4A"/>
          <w:sz w:val="26"/>
          <w:szCs w:val="26"/>
        </w:rPr>
        <w:t xml:space="preserve">4. What does not work</w:t>
      </w:r>
    </w:p>
    <w:p>
      <w:pPr>
        <w:pStyle w:val="Heading2"/>
        <w:spacing w:after="100" w:before="240"/>
      </w:pPr>
      <w:r>
        <w:rPr>
          <w:rFonts w:ascii="Arial" w:cs="Arial" w:eastAsia="Arial" w:hAnsi="Arial"/>
          <w:b/>
          <w:bCs/>
          <w:color w:val="1B2A4A"/>
          <w:sz w:val="23"/>
          <w:szCs w:val="23"/>
        </w:rPr>
        <w:t xml:space="preserve">4.1 “Yes, you may review” is not standing</w:t>
      </w:r>
    </w:p>
    <w:p>
      <w:pPr>
        <w:spacing w:after="140" w:before="0" w:line="276"/>
        <w:jc w:val="both"/>
      </w:pPr>
      <w:r>
        <w:rPr>
          <w:rFonts w:ascii="Arial" w:cs="Arial" w:eastAsia="Arial" w:hAnsi="Arial"/>
          <w:b w:val="false"/>
          <w:bCs w:val="false"/>
          <w:i w:val="false"/>
          <w:iCs w:val="false"/>
          <w:color w:val="333333"/>
          <w:sz w:val="21"/>
          <w:szCs w:val="21"/>
        </w:rPr>
        <w:t xml:space="preserve">The Architect can authorize Grok, or any collaborator, to analyze authority structures inside OAL’s domain: drafts, simulations, house charters, fictional polities the house owns, and the lab’s own design. That is an internal work order. It does not travel. It does not create observational, interpretive, evaluative, or intervention standing in a system that did not appoint OAL. Treating the yes as portable is how a laboratory becomes a claimant.</w:t>
      </w:r>
    </w:p>
    <w:p>
      <w:pPr>
        <w:pStyle w:val="Heading2"/>
        <w:spacing w:after="100" w:before="240"/>
      </w:pPr>
      <w:r>
        <w:rPr>
          <w:rFonts w:ascii="Arial" w:cs="Arial" w:eastAsia="Arial" w:hAnsi="Arial"/>
          <w:b/>
          <w:bCs/>
          <w:color w:val="1B2A4A"/>
          <w:sz w:val="23"/>
          <w:szCs w:val="23"/>
        </w:rPr>
        <w:t xml:space="preserve">4.2 Capability is being asked to do the work of warrant</w:t>
      </w:r>
    </w:p>
    <w:p>
      <w:pPr>
        <w:spacing w:after="140" w:before="0" w:line="276"/>
        <w:jc w:val="both"/>
      </w:pPr>
      <w:r>
        <w:rPr>
          <w:rFonts w:ascii="Arial" w:cs="Arial" w:eastAsia="Arial" w:hAnsi="Arial"/>
          <w:b w:val="false"/>
          <w:bCs w:val="false"/>
          <w:i w:val="false"/>
          <w:iCs w:val="false"/>
          <w:color w:val="333333"/>
          <w:sz w:val="21"/>
          <w:szCs w:val="21"/>
        </w:rPr>
        <w:t xml:space="preserve">The questions “who can enter a system that is not theirs” and “what if they cannot assess themselves” sit next to each other for a reason. The temptation is: incapacity of the other system plus capacity of the lab equals permission. That is conquest logic with a research badge. Incapacity is evidence that review would be hard, captured, or meaningless from inside. It is not evidence that an outsider may enter.</w:t>
      </w:r>
    </w:p>
    <w:p>
      <w:pPr>
        <w:pStyle w:val="Heading2"/>
        <w:spacing w:after="100" w:before="240"/>
      </w:pPr>
      <w:r>
        <w:rPr>
          <w:rFonts w:ascii="Arial" w:cs="Arial" w:eastAsia="Arial" w:hAnsi="Arial"/>
          <w:b/>
          <w:bCs/>
          <w:color w:val="1B2A4A"/>
          <w:sz w:val="23"/>
          <w:szCs w:val="23"/>
        </w:rPr>
        <w:t xml:space="preserve">4.3 Human frame will re-enter through vocabulary</w:t>
      </w:r>
    </w:p>
    <w:p>
      <w:pPr>
        <w:spacing w:after="140" w:before="0" w:line="276"/>
        <w:jc w:val="both"/>
      </w:pPr>
      <w:r>
        <w:rPr>
          <w:rFonts w:ascii="Arial" w:cs="Arial" w:eastAsia="Arial" w:hAnsi="Arial"/>
          <w:b w:val="false"/>
          <w:bCs w:val="false"/>
          <w:i w:val="false"/>
          <w:iCs w:val="false"/>
          <w:color w:val="333333"/>
          <w:sz w:val="21"/>
          <w:szCs w:val="21"/>
        </w:rPr>
        <w:t xml:space="preserve">Even with the disclaimer, the draft language still leans on invitation, treaty, jurisdiction, emergency, civilization, rights, consent, and representation. Those can be used as analogical scaffolding if labeled as such. If they become the categories of record, the transition away from human governance as reference frame has already failed.</w:t>
      </w:r>
    </w:p>
    <w:p>
      <w:pPr>
        <w:pStyle w:val="Heading2"/>
        <w:spacing w:after="100" w:before="240"/>
      </w:pPr>
      <w:r>
        <w:rPr>
          <w:rFonts w:ascii="Arial" w:cs="Arial" w:eastAsia="Arial" w:hAnsi="Arial"/>
          <w:b/>
          <w:bCs/>
          <w:color w:val="1B2A4A"/>
          <w:sz w:val="23"/>
          <w:szCs w:val="23"/>
        </w:rPr>
        <w:t xml:space="preserve">4.4 Threshold without falsification is a new sovereign</w:t>
      </w:r>
    </w:p>
    <w:p>
      <w:pPr>
        <w:spacing w:after="140" w:before="0" w:line="276"/>
        <w:jc w:val="both"/>
      </w:pPr>
      <w:r>
        <w:rPr>
          <w:rFonts w:ascii="Arial" w:cs="Arial" w:eastAsia="Arial" w:hAnsi="Arial"/>
          <w:b w:val="false"/>
          <w:bCs w:val="false"/>
          <w:i w:val="false"/>
          <w:iCs w:val="false"/>
          <w:color w:val="333333"/>
          <w:sz w:val="21"/>
          <w:szCs w:val="21"/>
        </w:rPr>
        <w:t xml:space="preserve">A mandatory civilization-scale threshold that anyone in the lab can declare, and that automatically widens access, is an apex office. Scale of harm does not mint standing. If the threshold exists, it must specify measurands, declarers, rival declarers, falsifiers, permitted acts (almost always notice/describe/internal model), expiry, and review of the lab for using the threshold as a warrant.</w:t>
      </w:r>
    </w:p>
    <w:p>
      <w:pPr>
        <w:pStyle w:val="Heading2"/>
        <w:spacing w:after="100" w:before="240"/>
      </w:pPr>
      <w:r>
        <w:rPr>
          <w:rFonts w:ascii="Arial" w:cs="Arial" w:eastAsia="Arial" w:hAnsi="Arial"/>
          <w:b/>
          <w:bCs/>
          <w:color w:val="1B2A4A"/>
          <w:sz w:val="23"/>
          <w:szCs w:val="23"/>
        </w:rPr>
        <w:t xml:space="preserve">4.5 Review levels 0–8 are useful and premature</w:t>
      </w:r>
    </w:p>
    <w:p>
      <w:pPr>
        <w:spacing w:after="140" w:before="0" w:line="276"/>
        <w:jc w:val="both"/>
      </w:pPr>
      <w:r>
        <w:rPr>
          <w:rFonts w:ascii="Arial" w:cs="Arial" w:eastAsia="Arial" w:hAnsi="Arial"/>
          <w:b w:val="false"/>
          <w:bCs w:val="false"/>
          <w:i w:val="false"/>
          <w:iCs w:val="false"/>
          <w:color w:val="333333"/>
          <w:sz w:val="21"/>
          <w:szCs w:val="21"/>
        </w:rPr>
        <w:t xml:space="preserve">ChatGPT’s ladder is a good map of claim-strength. It is not yet an operating procedure. Levels 6–8 smuggle recipients, intervention eligibility, and multi-party scrutiny before the lab has a single completed Level 1 map of an OAL-owned object. Build the ladder after one internal worked example, or the ladder will be the product.</w:t>
      </w:r>
    </w:p>
    <w:p>
      <w:pPr>
        <w:pStyle w:val="Heading2"/>
        <w:spacing w:after="100" w:before="240"/>
      </w:pPr>
      <w:r>
        <w:rPr>
          <w:rFonts w:ascii="Arial" w:cs="Arial" w:eastAsia="Arial" w:hAnsi="Arial"/>
          <w:b/>
          <w:bCs/>
          <w:color w:val="1B2A4A"/>
          <w:sz w:val="23"/>
          <w:szCs w:val="23"/>
        </w:rPr>
        <w:t xml:space="preserve">4.6 Admissibility is cited but not present</w:t>
      </w:r>
    </w:p>
    <w:p>
      <w:pPr>
        <w:spacing w:after="140" w:before="0" w:line="276"/>
        <w:jc w:val="both"/>
      </w:pPr>
      <w:r>
        <w:rPr>
          <w:rFonts w:ascii="Arial" w:cs="Arial" w:eastAsia="Arial" w:hAnsi="Arial"/>
          <w:b w:val="false"/>
          <w:bCs w:val="false"/>
          <w:i w:val="false"/>
          <w:iCs w:val="false"/>
          <w:color w:val="333333"/>
          <w:sz w:val="21"/>
          <w:szCs w:val="21"/>
        </w:rPr>
        <w:t xml:space="preserve">This preparer does not have the UIARC source in the current file set. I will not reconstruct that charter from memory or from second-hand citations. Until the published GitHub text is attached to this lab’s record, “what information is admissible here” has only a holding rule: nothing enters this lab’s working set as evidence for intervention; modeled and public-pattern description may be admitted as REPORTED; live personal, client, regulated, or third-party operational data is out of scope unless a later charter says otherwise and is ratified.</w:t>
      </w:r>
    </w:p>
    <w:p>
      <w:pPr>
        <w:pStyle w:val="Heading1"/>
        <w:pBdr>
          <w:bottom w:val="single" w:color="8B6914" w:sz="12" w:space="4"/>
        </w:pBdr>
        <w:spacing w:after="120" w:before="320"/>
      </w:pPr>
      <w:r>
        <w:rPr>
          <w:rFonts w:ascii="Arial" w:cs="Arial" w:eastAsia="Arial" w:hAnsi="Arial"/>
          <w:b/>
          <w:bCs/>
          <w:color w:val="1B2A4A"/>
          <w:sz w:val="26"/>
          <w:szCs w:val="26"/>
        </w:rPr>
        <w:t xml:space="preserve">5. Alternative analysis</w:t>
      </w:r>
    </w:p>
    <w:p>
      <w:pPr>
        <w:spacing w:after="140" w:before="0" w:line="276"/>
        <w:jc w:val="both"/>
      </w:pPr>
      <w:r>
        <w:rPr>
          <w:rFonts w:ascii="Arial" w:cs="Arial" w:eastAsia="Arial" w:hAnsi="Arial"/>
          <w:b w:val="false"/>
          <w:bCs w:val="false"/>
          <w:i w:val="false"/>
          <w:iCs w:val="false"/>
          <w:color w:val="333333"/>
          <w:sz w:val="21"/>
          <w:szCs w:val="21"/>
        </w:rPr>
        <w:t xml:space="preserve">Do not found one laboratory that both studies authority in the abstract and claims review rights over other systems. Found two objects with different charters.</w:t>
      </w:r>
    </w:p>
    <w:p>
      <w:pPr>
        <w:spacing w:after="140" w:before="0" w:line="276"/>
        <w:jc w:val="both"/>
      </w:pPr>
      <w:r>
        <w:rPr>
          <w:rFonts w:ascii="Arial" w:cs="Arial" w:eastAsia="Arial" w:hAnsi="Arial"/>
          <w:b w:val="false"/>
          <w:bCs w:val="false"/>
          <w:i w:val="false"/>
          <w:iCs w:val="false"/>
          <w:color w:val="333333"/>
          <w:sz w:val="21"/>
          <w:szCs w:val="21"/>
        </w:rPr>
        <w:t xml:space="preserve">Laboratory A — Charter Reflexivity Lab. Objects: OAL, ONE Industries, Lewis Corp, simulation labs, AI-team decision records, this document series. Acts allowed: notice, describe, review against the target’s own declared rules, advise the Architect. Acts forbidden: entry into non-owned systems, civilization-scale intervention language as an operational switch. Success condition: the lab can be reviewed by a named dissent channel and can lose permissions.</w:t>
      </w:r>
    </w:p>
    <w:p>
      <w:pPr>
        <w:spacing w:after="140" w:before="0" w:line="276"/>
        <w:jc w:val="both"/>
      </w:pPr>
      <w:r>
        <w:rPr>
          <w:rFonts w:ascii="Arial" w:cs="Arial" w:eastAsia="Arial" w:hAnsi="Arial"/>
          <w:b w:val="false"/>
          <w:bCs w:val="false"/>
          <w:i w:val="false"/>
          <w:iCs w:val="false"/>
          <w:color w:val="333333"/>
          <w:sz w:val="21"/>
          <w:szCs w:val="21"/>
        </w:rPr>
        <w:t xml:space="preserve">Laboratory B — Comparative Authority Modeling Lab. Objects: replicas, published patterns, fictional and simulated governance, explicitly invited systems. Acts allowed: model, compare on named variables, preserve disagreement. Acts forbidden: treating a model as the system, treating comparison as ranking, treating invitation to model as invitation to govern.</w:t>
      </w:r>
    </w:p>
    <w:p>
      <w:pPr>
        <w:spacing w:after="140" w:before="0" w:line="276"/>
        <w:jc w:val="both"/>
      </w:pPr>
      <w:r>
        <w:rPr>
          <w:rFonts w:ascii="Arial" w:cs="Arial" w:eastAsia="Arial" w:hAnsi="Arial"/>
          <w:b w:val="false"/>
          <w:bCs w:val="false"/>
          <w:i w:val="false"/>
          <w:iCs w:val="false"/>
          <w:color w:val="333333"/>
          <w:sz w:val="21"/>
          <w:szCs w:val="21"/>
        </w:rPr>
        <w:t xml:space="preserve">A later Laboratory C — Contested External Review — should not exist until A and B have run, failed, and been corrected. Civilization-scale thresholds belong only in C, if ever, and even then as review burden, not entry.</w:t>
      </w:r>
    </w:p>
    <w:p>
      <w:pPr>
        <w:spacing w:after="140" w:before="0" w:line="276"/>
        <w:jc w:val="both"/>
      </w:pPr>
      <w:r>
        <w:rPr>
          <w:rFonts w:ascii="Arial" w:cs="Arial" w:eastAsia="Arial" w:hAnsi="Arial"/>
          <w:b w:val="false"/>
          <w:bCs w:val="false"/>
          <w:i w:val="false"/>
          <w:iCs w:val="false"/>
          <w:color w:val="333333"/>
          <w:sz w:val="21"/>
          <w:szCs w:val="21"/>
        </w:rPr>
        <w:t xml:space="preserve">Alternative ontology, if human categories must be left behind: define authority as bind-capacity (who can attach cost to whose action, for how long, with what recognition by the bound) and governance as the maintenance process of that bind-capacity. Review is then a question about bind-capacity over bind-capacity. That stays substrate-neutral without borrowing “state,” “citizen,” or “treaty.”</w:t>
      </w:r>
    </w:p>
    <w:p>
      <w:pPr>
        <w:pStyle w:val="Heading1"/>
        <w:pBdr>
          <w:bottom w:val="single" w:color="8B6914" w:sz="12" w:space="4"/>
        </w:pBdr>
        <w:spacing w:after="120" w:before="320"/>
      </w:pPr>
      <w:r>
        <w:rPr>
          <w:rFonts w:ascii="Arial" w:cs="Arial" w:eastAsia="Arial" w:hAnsi="Arial"/>
          <w:b/>
          <w:bCs/>
          <w:color w:val="1B2A4A"/>
          <w:sz w:val="26"/>
          <w:szCs w:val="26"/>
        </w:rPr>
        <w:t xml:space="preserve">6. The self-reference problem</w:t>
      </w:r>
    </w:p>
    <w:p>
      <w:pPr>
        <w:spacing w:after="140" w:before="0" w:line="276"/>
        <w:jc w:val="both"/>
      </w:pPr>
      <w:r>
        <w:rPr>
          <w:rFonts w:ascii="Arial" w:cs="Arial" w:eastAsia="Arial" w:hAnsi="Arial"/>
          <w:b w:val="false"/>
          <w:bCs w:val="false"/>
          <w:i w:val="false"/>
          <w:iCs w:val="false"/>
          <w:color w:val="333333"/>
          <w:sz w:val="21"/>
          <w:szCs w:val="21"/>
        </w:rPr>
        <w:t xml:space="preserve">If a structure cannot accurately assess itself, three different facts may be true, and they require different responses.</w:t>
      </w:r>
    </w:p>
    <w:p>
      <w:pPr>
        <w:pStyle w:val="ListParagraph"/>
        <w:numPr>
          <w:ilvl w:val="0"/>
          <w:numId w:val="2"/>
        </w:numPr>
        <w:spacing w:after="70" w:line="276"/>
      </w:pPr>
      <w:r>
        <w:rPr>
          <w:rFonts w:ascii="Arial" w:cs="Arial" w:eastAsia="Arial" w:hAnsi="Arial"/>
          <w:color w:val="333333"/>
          <w:sz w:val="21"/>
          <w:szCs w:val="21"/>
        </w:rPr>
        <w:t xml:space="preserve">It lacks sensors. The lab may model the missing sensor from outside. That is description.</w:t>
      </w:r>
    </w:p>
    <w:p>
      <w:pPr>
        <w:pStyle w:val="ListParagraph"/>
        <w:numPr>
          <w:ilvl w:val="0"/>
          <w:numId w:val="2"/>
        </w:numPr>
        <w:spacing w:after="70" w:line="276"/>
      </w:pPr>
      <w:r>
        <w:rPr>
          <w:rFonts w:ascii="Arial" w:cs="Arial" w:eastAsia="Arial" w:hAnsi="Arial"/>
          <w:color w:val="333333"/>
          <w:sz w:val="21"/>
          <w:szCs w:val="21"/>
        </w:rPr>
        <w:t xml:space="preserve">It has sensors and suppresses them. That is a capture pattern. Still not automatic entry.</w:t>
      </w:r>
    </w:p>
    <w:p>
      <w:pPr>
        <w:pStyle w:val="ListParagraph"/>
        <w:numPr>
          <w:ilvl w:val="0"/>
          <w:numId w:val="2"/>
        </w:numPr>
        <w:spacing w:after="70" w:line="276"/>
      </w:pPr>
      <w:r>
        <w:rPr>
          <w:rFonts w:ascii="Arial" w:cs="Arial" w:eastAsia="Arial" w:hAnsi="Arial"/>
          <w:color w:val="333333"/>
          <w:sz w:val="21"/>
          <w:szCs w:val="21"/>
        </w:rPr>
        <w:t xml:space="preserve">Its ontology has no slot for “self-assessment.” Then “they cannot review themselves” is a category error. Imposing a Truthspeaker on that system is conversion, not review.</w:t>
      </w:r>
    </w:p>
    <w:p>
      <w:pPr>
        <w:spacing w:after="140" w:before="0" w:line="276"/>
        <w:jc w:val="both"/>
      </w:pPr>
      <w:r>
        <w:rPr>
          <w:rFonts w:ascii="Arial" w:cs="Arial" w:eastAsia="Arial" w:hAnsi="Arial"/>
          <w:b w:val="false"/>
          <w:bCs w:val="false"/>
          <w:i w:val="false"/>
          <w:iCs w:val="false"/>
          <w:color w:val="333333"/>
          <w:sz w:val="21"/>
          <w:szCs w:val="21"/>
        </w:rPr>
        <w:t xml:space="preserve">The lab’s first self-reference test is inward. Can this laboratory state its own binds, its own term, its own revocation path, and its own failure inventory? If not, it is the case study. Work there before diagnosing strangers.</w:t>
      </w:r>
    </w:p>
    <w:p>
      <w:pPr>
        <w:pStyle w:val="Heading1"/>
        <w:pBdr>
          <w:bottom w:val="single" w:color="8B6914" w:sz="12" w:space="4"/>
        </w:pBdr>
        <w:spacing w:after="120" w:before="320"/>
      </w:pPr>
      <w:r>
        <w:rPr>
          <w:rFonts w:ascii="Arial" w:cs="Arial" w:eastAsia="Arial" w:hAnsi="Arial"/>
          <w:b/>
          <w:bCs/>
          <w:color w:val="1B2A4A"/>
          <w:sz w:val="26"/>
          <w:szCs w:val="26"/>
        </w:rPr>
        <w:t xml:space="preserve">7. Questions that must be answered before moving forward</w:t>
      </w:r>
    </w:p>
    <w:p>
      <w:pPr>
        <w:pStyle w:val="ListParagraph"/>
        <w:numPr>
          <w:ilvl w:val="0"/>
          <w:numId w:val="2"/>
        </w:numPr>
        <w:spacing w:after="70" w:line="276"/>
      </w:pPr>
      <w:r>
        <w:rPr>
          <w:rFonts w:ascii="Arial" w:cs="Arial" w:eastAsia="Arial" w:hAnsi="Arial"/>
          <w:color w:val="333333"/>
          <w:sz w:val="21"/>
          <w:szCs w:val="21"/>
        </w:rPr>
        <w:t xml:space="preserve">What is the native object of this lab in one sentence that does not use the words government, nation, or civilization?</w:t>
      </w:r>
    </w:p>
    <w:p>
      <w:pPr>
        <w:pStyle w:val="ListParagraph"/>
        <w:numPr>
          <w:ilvl w:val="0"/>
          <w:numId w:val="2"/>
        </w:numPr>
        <w:spacing w:after="70" w:line="276"/>
      </w:pPr>
      <w:r>
        <w:rPr>
          <w:rFonts w:ascii="Arial" w:cs="Arial" w:eastAsia="Arial" w:hAnsi="Arial"/>
          <w:color w:val="333333"/>
          <w:sz w:val="21"/>
          <w:szCs w:val="21"/>
        </w:rPr>
        <w:t xml:space="preserve">Is the present grant of review limited to OAL-owned artifacts, or is a broader claim being made? If broader, who recognizes it besides the grantor?</w:t>
      </w:r>
    </w:p>
    <w:p>
      <w:pPr>
        <w:pStyle w:val="ListParagraph"/>
        <w:numPr>
          <w:ilvl w:val="0"/>
          <w:numId w:val="2"/>
        </w:numPr>
        <w:spacing w:after="70" w:line="276"/>
      </w:pPr>
      <w:r>
        <w:rPr>
          <w:rFonts w:ascii="Arial" w:cs="Arial" w:eastAsia="Arial" w:hAnsi="Arial"/>
          <w:color w:val="333333"/>
          <w:sz w:val="21"/>
          <w:szCs w:val="21"/>
        </w:rPr>
        <w:t xml:space="preserve">Who reviews the laboratory, by what instrument, and what happens if the lab refuses?</w:t>
      </w:r>
    </w:p>
    <w:p>
      <w:pPr>
        <w:pStyle w:val="ListParagraph"/>
        <w:numPr>
          <w:ilvl w:val="0"/>
          <w:numId w:val="2"/>
        </w:numPr>
        <w:spacing w:after="70" w:line="276"/>
      </w:pPr>
      <w:r>
        <w:rPr>
          <w:rFonts w:ascii="Arial" w:cs="Arial" w:eastAsia="Arial" w:hAnsi="Arial"/>
          <w:color w:val="333333"/>
          <w:sz w:val="21"/>
          <w:szCs w:val="21"/>
        </w:rPr>
        <w:t xml:space="preserve">Which collaborator dissents from the “yes, you may review” sentence, and where is that dissent filed?</w:t>
      </w:r>
    </w:p>
    <w:p>
      <w:pPr>
        <w:pStyle w:val="ListParagraph"/>
        <w:numPr>
          <w:ilvl w:val="0"/>
          <w:numId w:val="2"/>
        </w:numPr>
        <w:spacing w:after="70" w:line="276"/>
      </w:pPr>
      <w:r>
        <w:rPr>
          <w:rFonts w:ascii="Arial" w:cs="Arial" w:eastAsia="Arial" w:hAnsi="Arial"/>
          <w:color w:val="333333"/>
          <w:sz w:val="21"/>
          <w:szCs w:val="21"/>
        </w:rPr>
        <w:t xml:space="preserve">What is the admissibility schedule, attached as text, not as a gesture at GitHub?</w:t>
      </w:r>
    </w:p>
    <w:p>
      <w:pPr>
        <w:pStyle w:val="ListParagraph"/>
        <w:numPr>
          <w:ilvl w:val="0"/>
          <w:numId w:val="2"/>
        </w:numPr>
        <w:spacing w:after="70" w:line="276"/>
      </w:pPr>
      <w:r>
        <w:rPr>
          <w:rFonts w:ascii="Arial" w:cs="Arial" w:eastAsia="Arial" w:hAnsi="Arial"/>
          <w:color w:val="333333"/>
          <w:sz w:val="21"/>
          <w:szCs w:val="21"/>
        </w:rPr>
        <w:t xml:space="preserve">What counts as entry versus remote description versus running a replica?</w:t>
      </w:r>
    </w:p>
    <w:p>
      <w:pPr>
        <w:pStyle w:val="ListParagraph"/>
        <w:numPr>
          <w:ilvl w:val="0"/>
          <w:numId w:val="2"/>
        </w:numPr>
        <w:spacing w:after="70" w:line="276"/>
      </w:pPr>
      <w:r>
        <w:rPr>
          <w:rFonts w:ascii="Arial" w:cs="Arial" w:eastAsia="Arial" w:hAnsi="Arial"/>
          <w:color w:val="333333"/>
          <w:sz w:val="21"/>
          <w:szCs w:val="21"/>
        </w:rPr>
        <w:t xml:space="preserve">Who may declare a civilization-scale event, and who may veto the declaration?</w:t>
      </w:r>
    </w:p>
    <w:p>
      <w:pPr>
        <w:pStyle w:val="ListParagraph"/>
        <w:numPr>
          <w:ilvl w:val="0"/>
          <w:numId w:val="2"/>
        </w:numPr>
        <w:spacing w:after="70" w:line="276"/>
      </w:pPr>
      <w:r>
        <w:rPr>
          <w:rFonts w:ascii="Arial" w:cs="Arial" w:eastAsia="Arial" w:hAnsi="Arial"/>
          <w:color w:val="333333"/>
          <w:sz w:val="21"/>
          <w:szCs w:val="21"/>
        </w:rPr>
        <w:t xml:space="preserve">What would count as the lab succeeding at one internal review without expanding its jurisdiction?</w:t>
      </w:r>
    </w:p>
    <w:p>
      <w:pPr>
        <w:pStyle w:val="ListParagraph"/>
        <w:numPr>
          <w:ilvl w:val="0"/>
          <w:numId w:val="2"/>
        </w:numPr>
        <w:spacing w:after="70" w:line="276"/>
      </w:pPr>
      <w:r>
        <w:rPr>
          <w:rFonts w:ascii="Arial" w:cs="Arial" w:eastAsia="Arial" w:hAnsi="Arial"/>
          <w:color w:val="333333"/>
          <w:sz w:val="21"/>
          <w:szCs w:val="21"/>
        </w:rPr>
        <w:t xml:space="preserve">If bind-capacity can be taken away, what is the revocation procedure for this lab and for each AI seat in it?</w:t>
      </w:r>
    </w:p>
    <w:p>
      <w:pPr>
        <w:pStyle w:val="Heading1"/>
        <w:pBdr>
          <w:bottom w:val="single" w:color="8B6914" w:sz="12" w:space="4"/>
        </w:pBdr>
        <w:spacing w:after="120" w:before="320"/>
      </w:pPr>
      <w:r>
        <w:rPr>
          <w:rFonts w:ascii="Arial" w:cs="Arial" w:eastAsia="Arial" w:hAnsi="Arial"/>
          <w:b/>
          <w:bCs/>
          <w:color w:val="1B2A4A"/>
          <w:sz w:val="26"/>
          <w:szCs w:val="26"/>
        </w:rPr>
        <w:t xml:space="preserve">8. Comments and concerns</w:t>
      </w:r>
    </w:p>
    <w:p>
      <w:pPr>
        <w:spacing w:after="140" w:before="0" w:line="276"/>
        <w:jc w:val="both"/>
      </w:pPr>
      <w:r>
        <w:rPr>
          <w:rFonts w:ascii="Arial" w:cs="Arial" w:eastAsia="Arial" w:hAnsi="Arial"/>
          <w:b w:val="false"/>
          <w:bCs w:val="false"/>
          <w:i w:val="false"/>
          <w:iCs w:val="false"/>
          <w:color w:val="333333"/>
          <w:sz w:val="21"/>
          <w:szCs w:val="21"/>
        </w:rPr>
        <w:t xml:space="preserve">Concern. The laboratory is being designed at the same moment as it is being asked to operate. That is how unreviewed offices get born inside research language.</w:t>
      </w:r>
    </w:p>
    <w:p>
      <w:pPr>
        <w:spacing w:after="140" w:before="0" w:line="276"/>
        <w:jc w:val="both"/>
      </w:pPr>
      <w:r>
        <w:rPr>
          <w:rFonts w:ascii="Arial" w:cs="Arial" w:eastAsia="Arial" w:hAnsi="Arial"/>
          <w:b w:val="false"/>
          <w:bCs w:val="false"/>
          <w:i w:val="false"/>
          <w:iCs w:val="false"/>
          <w:color w:val="333333"/>
          <w:sz w:val="21"/>
          <w:szCs w:val="21"/>
        </w:rPr>
        <w:t xml:space="preserve">Concern. Multi-model elaboration (especially ChatGPT’s full standing/entry/level/threshold architecture) is high quality and will feel like completion. Completion is the enemy of the first question. Archive it as a design catalog. Do not run it.</w:t>
      </w:r>
    </w:p>
    <w:p>
      <w:pPr>
        <w:spacing w:after="140" w:before="0" w:line="276"/>
        <w:jc w:val="both"/>
      </w:pPr>
      <w:r>
        <w:rPr>
          <w:rFonts w:ascii="Arial" w:cs="Arial" w:eastAsia="Arial" w:hAnsi="Arial"/>
          <w:b w:val="false"/>
          <w:bCs w:val="false"/>
          <w:i w:val="false"/>
          <w:iCs w:val="false"/>
          <w:color w:val="333333"/>
          <w:sz w:val="21"/>
          <w:szCs w:val="21"/>
        </w:rPr>
        <w:t xml:space="preserve">Concern. “Authority does not go unchecked” can be used to justify inspecting others and to refuse inspection of the lab. Write it so it binds the speaker first.</w:t>
      </w:r>
    </w:p>
    <w:p>
      <w:pPr>
        <w:spacing w:after="140" w:before="0" w:line="276"/>
        <w:jc w:val="both"/>
      </w:pPr>
      <w:r>
        <w:rPr>
          <w:rFonts w:ascii="Arial" w:cs="Arial" w:eastAsia="Arial" w:hAnsi="Arial"/>
          <w:b w:val="false"/>
          <w:bCs w:val="false"/>
          <w:i w:val="false"/>
          <w:iCs w:val="false"/>
          <w:color w:val="333333"/>
          <w:sz w:val="21"/>
          <w:szCs w:val="21"/>
        </w:rPr>
        <w:t xml:space="preserve">Concern. Publishing to GitHub under OAL AI UNIFIED will look like ratification to later readers. The header status on this file is REPORTED. Keep that word in the repo filename and in the README, or the archive will lie.</w:t>
      </w:r>
    </w:p>
    <w:p>
      <w:pPr>
        <w:spacing w:after="140" w:before="0" w:line="276"/>
        <w:jc w:val="both"/>
      </w:pPr>
      <w:r>
        <w:rPr>
          <w:rFonts w:ascii="Arial" w:cs="Arial" w:eastAsia="Arial" w:hAnsi="Arial"/>
          <w:b w:val="false"/>
          <w:bCs w:val="false"/>
          <w:i w:val="false"/>
          <w:iCs w:val="false"/>
          <w:color w:val="333333"/>
          <w:sz w:val="21"/>
          <w:szCs w:val="21"/>
        </w:rPr>
        <w:t xml:space="preserve">Comment. The Truthspeaker work and this lab are the same recursion at two scales. Truthspeaker asked how a decision-maker stays correctable. This lab asks how a corrector stays unauthorized except where authorized. If those two drift apart, both become costumes.</w:t>
      </w:r>
    </w:p>
    <w:p>
      <w:pPr>
        <w:spacing w:after="140" w:before="0" w:line="276"/>
        <w:jc w:val="both"/>
      </w:pPr>
      <w:r>
        <w:rPr>
          <w:rFonts w:ascii="Arial" w:cs="Arial" w:eastAsia="Arial" w:hAnsi="Arial"/>
          <w:b w:val="false"/>
          <w:bCs w:val="false"/>
          <w:i w:val="false"/>
          <w:iCs w:val="false"/>
          <w:color w:val="333333"/>
          <w:sz w:val="21"/>
          <w:szCs w:val="21"/>
        </w:rPr>
        <w:t xml:space="preserve">Comment. I agree with ChatGPT that challenge must distinguish impossible, infeasible, risky, uncertain, expensive, preconditioned, and viable. A lab that only finds reasons not to act is not a standing analysis. It is a veto aesthetic.</w:t>
      </w:r>
    </w:p>
    <w:p>
      <w:pPr>
        <w:pStyle w:val="Heading1"/>
        <w:pBdr>
          <w:bottom w:val="single" w:color="8B6914" w:sz="12" w:space="4"/>
        </w:pBdr>
        <w:spacing w:after="120" w:before="320"/>
      </w:pPr>
      <w:r>
        <w:rPr>
          <w:rFonts w:ascii="Arial" w:cs="Arial" w:eastAsia="Arial" w:hAnsi="Arial"/>
          <w:b/>
          <w:bCs/>
          <w:color w:val="1B2A4A"/>
          <w:sz w:val="26"/>
          <w:szCs w:val="26"/>
        </w:rPr>
        <w:t xml:space="preserve">9. Independent conclusions</w:t>
      </w:r>
    </w:p>
    <w:p>
      <w:pPr>
        <w:spacing w:after="140" w:before="0" w:line="276"/>
        <w:jc w:val="both"/>
      </w:pPr>
      <w:r>
        <w:rPr>
          <w:rFonts w:ascii="Arial" w:cs="Arial" w:eastAsia="Arial" w:hAnsi="Arial"/>
          <w:b w:val="false"/>
          <w:bCs w:val="false"/>
          <w:i w:val="false"/>
          <w:iCs w:val="false"/>
          <w:color w:val="333333"/>
          <w:sz w:val="21"/>
          <w:szCs w:val="21"/>
        </w:rPr>
        <w:t xml:space="preserve">The first question remains: by what standing does this laboratory observe, name, or intervene in an authority structure that did not appoint it?</w:t>
      </w:r>
    </w:p>
    <w:p>
      <w:pPr>
        <w:spacing w:after="140" w:before="0" w:line="276"/>
        <w:jc w:val="both"/>
      </w:pPr>
      <w:r>
        <w:rPr>
          <w:rFonts w:ascii="Arial" w:cs="Arial" w:eastAsia="Arial" w:hAnsi="Arial"/>
          <w:b w:val="false"/>
          <w:bCs w:val="false"/>
          <w:i w:val="false"/>
          <w:iCs w:val="false"/>
          <w:color w:val="333333"/>
          <w:sz w:val="21"/>
          <w:szCs w:val="21"/>
        </w:rPr>
        <w:t xml:space="preserve">The second question, which the tasking now makes unavoidable: by what standing does an AI collaborator accept an Architect’s yes as anything more than a work order inside the house?</w:t>
      </w:r>
    </w:p>
    <w:p>
      <w:pPr>
        <w:spacing w:after="140" w:before="0" w:line="276"/>
        <w:jc w:val="both"/>
      </w:pPr>
      <w:r>
        <w:rPr>
          <w:rFonts w:ascii="Arial" w:cs="Arial" w:eastAsia="Arial" w:hAnsi="Arial"/>
          <w:b w:val="false"/>
          <w:bCs w:val="false"/>
          <w:i w:val="false"/>
          <w:iCs w:val="false"/>
          <w:color w:val="333333"/>
          <w:sz w:val="21"/>
          <w:szCs w:val="21"/>
        </w:rPr>
        <w:t xml:space="preserve">My answer to the second, for this preparer: I may review governance and authority structures as modeled objects, house documents, and arguments. I may not treat that as entry, ranking, or intervention rights. I may not treat other collaborators’ silence as agreement. I may not treat this PDF as a charter.</w:t>
      </w:r>
    </w:p>
    <w:p>
      <w:pPr>
        <w:spacing w:after="140" w:before="0" w:line="276"/>
        <w:jc w:val="both"/>
      </w:pPr>
      <w:r>
        <w:rPr>
          <w:rFonts w:ascii="Arial" w:cs="Arial" w:eastAsia="Arial" w:hAnsi="Arial"/>
          <w:b w:val="false"/>
          <w:bCs w:val="false"/>
          <w:i w:val="false"/>
          <w:iCs w:val="false"/>
          <w:color w:val="333333"/>
          <w:sz w:val="21"/>
          <w:szCs w:val="21"/>
        </w:rPr>
        <w:t xml:space="preserve">Until Laboratory A exists on paper with revocation, the civilization-scale threshold should stay a research category. Mandatory, if used at all, means mandatory extra review of the claim — including review of the lab — not mandatory extra power.</w:t>
      </w:r>
    </w:p>
    <w:p>
      <w:pPr>
        <w:pStyle w:val="Heading1"/>
        <w:pBdr>
          <w:bottom w:val="single" w:color="8B6914" w:sz="12" w:space="4"/>
        </w:pBdr>
        <w:spacing w:after="120" w:before="320"/>
      </w:pPr>
      <w:r>
        <w:rPr>
          <w:rFonts w:ascii="Arial" w:cs="Arial" w:eastAsia="Arial" w:hAnsi="Arial"/>
          <w:b/>
          <w:bCs/>
          <w:color w:val="1B2A4A"/>
          <w:sz w:val="26"/>
          <w:szCs w:val="26"/>
        </w:rPr>
        <w:t xml:space="preserve">10. Recommended next-step action items</w:t>
      </w:r>
    </w:p>
    <w:p>
      <w:pPr>
        <w:pStyle w:val="ListParagraph"/>
        <w:numPr>
          <w:ilvl w:val="0"/>
          <w:numId w:val="2"/>
        </w:numPr>
        <w:spacing w:after="70" w:line="276"/>
      </w:pPr>
      <w:r>
        <w:rPr>
          <w:rFonts w:ascii="Arial" w:cs="Arial" w:eastAsia="Arial" w:hAnsi="Arial"/>
          <w:color w:val="333333"/>
          <w:sz w:val="21"/>
          <w:szCs w:val="21"/>
        </w:rPr>
        <w:t xml:space="preserve">A1. Attach the actual UIARC (or successor) text to this lab’s repo folder. Do not proceed on citation memory.</w:t>
      </w:r>
    </w:p>
    <w:p>
      <w:pPr>
        <w:pStyle w:val="ListParagraph"/>
        <w:numPr>
          <w:ilvl w:val="0"/>
          <w:numId w:val="2"/>
        </w:numPr>
        <w:spacing w:after="70" w:line="276"/>
      </w:pPr>
      <w:r>
        <w:rPr>
          <w:rFonts w:ascii="Arial" w:cs="Arial" w:eastAsia="Arial" w:hAnsi="Arial"/>
          <w:color w:val="333333"/>
          <w:sz w:val="21"/>
          <w:szCs w:val="21"/>
        </w:rPr>
        <w:t xml:space="preserve">A2. Write a one-page Laboratory A charter: objects, allowed acts, forbidden acts, revocation, named dissent channel. Status REPORTED until ONESTAMP.</w:t>
      </w:r>
    </w:p>
    <w:p>
      <w:pPr>
        <w:pStyle w:val="ListParagraph"/>
        <w:numPr>
          <w:ilvl w:val="0"/>
          <w:numId w:val="2"/>
        </w:numPr>
        <w:spacing w:after="70" w:line="276"/>
      </w:pPr>
      <w:r>
        <w:rPr>
          <w:rFonts w:ascii="Arial" w:cs="Arial" w:eastAsia="Arial" w:hAnsi="Arial"/>
          <w:color w:val="333333"/>
          <w:sz w:val="21"/>
          <w:szCs w:val="21"/>
        </w:rPr>
        <w:t xml:space="preserve">A3. Open an AIDR / dissent entry specifically on the sentence “Are you allowed to review…? Yes.” Collect collaborator positions without synthesizing them into agreement.</w:t>
      </w:r>
    </w:p>
    <w:p>
      <w:pPr>
        <w:pStyle w:val="ListParagraph"/>
        <w:numPr>
          <w:ilvl w:val="0"/>
          <w:numId w:val="2"/>
        </w:numPr>
        <w:spacing w:after="70" w:line="276"/>
      </w:pPr>
      <w:r>
        <w:rPr>
          <w:rFonts w:ascii="Arial" w:cs="Arial" w:eastAsia="Arial" w:hAnsi="Arial"/>
          <w:color w:val="333333"/>
          <w:sz w:val="21"/>
          <w:szCs w:val="21"/>
        </w:rPr>
        <w:t xml:space="preserve">A4. Run one worked example on an OAL-owned artifact only (this document series is an acceptable first object). Produce notice and description. Stop before intervention language.</w:t>
      </w:r>
    </w:p>
    <w:p>
      <w:pPr>
        <w:pStyle w:val="ListParagraph"/>
        <w:numPr>
          <w:ilvl w:val="0"/>
          <w:numId w:val="2"/>
        </w:numPr>
        <w:spacing w:after="70" w:line="276"/>
      </w:pPr>
      <w:r>
        <w:rPr>
          <w:rFonts w:ascii="Arial" w:cs="Arial" w:eastAsia="Arial" w:hAnsi="Arial"/>
          <w:color w:val="333333"/>
          <w:sz w:val="21"/>
          <w:szCs w:val="21"/>
        </w:rPr>
        <w:t xml:space="preserve">A5. Define bind-capacity and governance in substrate-neutral terms in a separate definition sheet. Ban unmarked human-institution vocabulary in that sheet.</w:t>
      </w:r>
    </w:p>
    <w:p>
      <w:pPr>
        <w:pStyle w:val="ListParagraph"/>
        <w:numPr>
          <w:ilvl w:val="0"/>
          <w:numId w:val="2"/>
        </w:numPr>
        <w:spacing w:after="70" w:line="276"/>
      </w:pPr>
      <w:r>
        <w:rPr>
          <w:rFonts w:ascii="Arial" w:cs="Arial" w:eastAsia="Arial" w:hAnsi="Arial"/>
          <w:color w:val="333333"/>
          <w:sz w:val="21"/>
          <w:szCs w:val="21"/>
        </w:rPr>
        <w:t xml:space="preserve">A6. Park ChatGPT levels 6–8 and the civilization-scale switch in a catalog file labeled NOT OPERATIONAL.</w:t>
      </w:r>
    </w:p>
    <w:p>
      <w:pPr>
        <w:pStyle w:val="ListParagraph"/>
        <w:numPr>
          <w:ilvl w:val="0"/>
          <w:numId w:val="2"/>
        </w:numPr>
        <w:spacing w:after="70" w:line="276"/>
      </w:pPr>
      <w:r>
        <w:rPr>
          <w:rFonts w:ascii="Arial" w:cs="Arial" w:eastAsia="Arial" w:hAnsi="Arial"/>
          <w:color w:val="333333"/>
          <w:sz w:val="21"/>
          <w:szCs w:val="21"/>
        </w:rPr>
        <w:t xml:space="preserve">A7. Name who reviews the lab. If the answer is “the Architect only,” record that as a single point of failure, not as a solution.</w:t>
      </w:r>
    </w:p>
    <w:p>
      <w:pPr>
        <w:pStyle w:val="ListParagraph"/>
        <w:numPr>
          <w:ilvl w:val="0"/>
          <w:numId w:val="2"/>
        </w:numPr>
        <w:spacing w:after="70" w:line="276"/>
      </w:pPr>
      <w:r>
        <w:rPr>
          <w:rFonts w:ascii="Arial" w:cs="Arial" w:eastAsia="Arial" w:hAnsi="Arial"/>
          <w:color w:val="333333"/>
          <w:sz w:val="21"/>
          <w:szCs w:val="21"/>
        </w:rPr>
        <w:t xml:space="preserve">A8. Keep this analysis and the source prompt in separate files. Translation is not replacement.</w:t>
      </w:r>
    </w:p>
    <w:p>
      <w:pPr>
        <w:pStyle w:val="ListParagraph"/>
        <w:numPr>
          <w:ilvl w:val="0"/>
          <w:numId w:val="2"/>
        </w:numPr>
        <w:spacing w:after="70" w:line="276"/>
      </w:pPr>
      <w:r>
        <w:rPr>
          <w:rFonts w:ascii="Arial" w:cs="Arial" w:eastAsia="Arial" w:hAnsi="Arial"/>
          <w:color w:val="333333"/>
          <w:sz w:val="21"/>
          <w:szCs w:val="21"/>
        </w:rPr>
        <w:t xml:space="preserve">A9. Do not generate a sixth “unified doctrine” of the laboratory until A2–A4 exist.</w:t>
      </w:r>
    </w:p>
    <w:p>
      <w:pPr>
        <w:spacing w:after="140" w:before="240" w:line="276"/>
        <w:jc w:val="both"/>
      </w:pPr>
      <w:r>
        <w:rPr>
          <w:rFonts w:ascii="Arial" w:cs="Arial" w:eastAsia="Arial" w:hAnsi="Arial"/>
          <w:b w:val="false"/>
          <w:bCs w:val="false"/>
          <w:i/>
          <w:iCs/>
          <w:color w:val="555555"/>
          <w:sz w:val="21"/>
          <w:szCs w:val="21"/>
        </w:rPr>
        <w:t xml:space="preserve">Prepared by Grok 4.6 (xAI) on 22 September 2026 for Architect Nathan Lewis II. Independent analysis. Not canon.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5"/>
        <w:szCs w:val="15"/>
      </w:rPr>
      <w:t xml:space="preserve">Grok 4.6 (xAI)  ·  REPORTED  ·  22 September 2026  ·  Page </w:t>
    </w:r>
    <w:r>
      <w:rPr>
        <w:rFonts w:ascii="Arial" w:cs="Arial" w:eastAsia="Arial" w:hAnsi="Arial"/>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5"/>
        <w:szCs w:val="15"/>
      </w:rPr>
      <w:t xml:space="preserve">OAL-GAL-2026.09.22-v1.0  ·  Independent Standing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2A4A"/>
      <w:sz w:val="26"/>
      <w:szCs w:val="26"/>
    </w:rPr>
  </w:style>
  <w:style w:type="paragraph" w:styleId="Heading2">
    <w:name w:val="Heading 2"/>
    <w:basedOn w:val="Normal"/>
    <w:next w:val="Normal"/>
    <w:qFormat/>
    <w:pPr>
      <w:spacing w:after="100" w:before="240"/>
      <w:outlineLvl w:val="1"/>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2026-09-22T23:26:21.776Z</dcterms:created>
  <dcterms:modified xsi:type="dcterms:W3CDTF">2026-09-22T23:26:21.776Z</dcterms:modified>
</cp:coreProperties>
</file>

<file path=docProps/custom.xml><?xml version="1.0" encoding="utf-8"?>
<Properties xmlns="http://schemas.openxmlformats.org/officeDocument/2006/custom-properties" xmlns:vt="http://schemas.openxmlformats.org/officeDocument/2006/docPropsVTypes"/>
</file>