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widowControl/>
      </w:pPr>
      <w:r>
        <w:rPr>
          <w:rFonts w:ascii="Aptos Display" w:hAnsi="Aptos Display"/>
          <w:b/>
          <w:color w:val="17233B"/>
          <w:sz w:val="60"/>
        </w:rPr>
        <w:t>GOVERNANCE AUTHORITY LABORATORY</w:t>
      </w:r>
    </w:p>
    <w:p>
      <w:pPr>
        <w:jc w:val="center"/>
        <w:widowControl/>
      </w:pPr>
      <w:r>
        <w:rPr>
          <w:rFonts w:ascii="Aptos Display" w:hAnsi="Aptos Display"/>
          <w:color w:val="245B78"/>
          <w:sz w:val="32"/>
        </w:rPr>
        <w:t>Independent Concept Analysis, Design Review, and Pre-Implementation Findings</w:t>
      </w:r>
    </w:p>
    <w:p>
      <w:pPr>
        <w:jc w:val="center"/>
        <w:widowControl/>
      </w:pPr>
      <w:r>
        <w:rPr>
          <w:color w:val="2F7C83"/>
          <w:sz w:val="20"/>
        </w:rPr>
        <w:t>━━━━━━━━━━━━━━━━━━━━━━━━━━━━━━━━━━━━━━━━━━</w:t>
      </w:r>
    </w:p>
    <w:p>
      <w:pPr>
        <w:jc w:val="center"/>
        <w:widowControl/>
      </w:pPr>
      <w:r>
        <w:rPr>
          <w:color w:val="5B6573"/>
          <w:sz w:val="22"/>
        </w:rPr>
        <w:t>September 22, 2026</w:t>
      </w:r>
    </w:p>
    <w:p>
      <w:pPr>
        <w:jc w:val="center"/>
        <w:widowControl/>
      </w:pPr>
      <w:r>
        <w:rPr>
          <w:color w:val="5B6573"/>
          <w:sz w:val="22"/>
        </w:rPr>
        <w:t>Prepared by Perplexity AI</w:t>
      </w:r>
    </w:p>
    <w:p>
      <w:pPr>
        <w:jc w:val="center"/>
        <w:widowControl/>
      </w:pPr>
      <w:r>
        <w:rPr>
          <w:color w:val="5B6573"/>
          <w:sz w:val="22"/>
        </w:rPr>
        <w:t>OAL-GAL-IA-2026.09.22-v1.0</w:t>
      </w:r>
    </w:p>
    <w:p>
      <w:pPr>
        <w:spacing w:before="360"/>
        <w:jc w:val="center"/>
        <w:widowControl/>
      </w:pPr>
      <w:r>
        <w:rPr>
          <w:b/>
          <w:color w:val="8A3033"/>
          <w:sz w:val="20"/>
        </w:rPr>
        <w:t>INDEPENDENT ANALYSIS — REPORTED / NOT RATIFIED</w:t>
      </w:r>
    </w:p>
    <w:p>
      <w:pPr>
        <w:spacing w:before="1600"/>
        <w:jc w:val="center"/>
        <w:widowControl/>
      </w:pPr>
      <w:r>
        <w:rPr>
          <w:i/>
          <w:color w:val="5B6573"/>
          <w:sz w:val="18"/>
        </w:rPr>
        <w:t>Publication destination: OMNIVERSAL ARCHITECT LABS — OAL AI UNIFIED</w:t>
      </w: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4997"/>
            <w:shd w:fill="17233B"/>
            <w:tcMar>
              <w:top w:w="100" w:type="dxa"/>
              <w:start w:w="100" w:type="dxa"/>
              <w:bottom w:w="100" w:type="dxa"/>
              <w:end w:w="100" w:type="dxa"/>
            </w:tcMar>
            <w:vAlign w:val="center"/>
          </w:tcPr>
          <w:p>
            <w:pPr>
              <w:jc w:val="center"/>
            </w:pPr>
            <w:r>
              <w:rPr>
                <w:b/>
                <w:color w:val="FFFFFF"/>
                <w:sz w:val="17"/>
              </w:rPr>
              <w:t>Field</w:t>
            </w:r>
          </w:p>
        </w:tc>
        <w:tc>
          <w:tcPr>
            <w:tcW w:type="dxa" w:w="4997"/>
            <w:shd w:fill="17233B"/>
            <w:tcMar>
              <w:top w:w="100" w:type="dxa"/>
              <w:start w:w="100" w:type="dxa"/>
              <w:bottom w:w="100" w:type="dxa"/>
              <w:end w:w="100" w:type="dxa"/>
            </w:tcMar>
            <w:vAlign w:val="center"/>
          </w:tcPr>
          <w:p>
            <w:pPr>
              <w:jc w:val="center"/>
            </w:pPr>
            <w:r>
              <w:rPr>
                <w:b/>
                <w:color w:val="FFFFFF"/>
                <w:sz w:val="17"/>
              </w:rPr>
              <w:t>Value</w:t>
            </w:r>
          </w:p>
        </w:tc>
      </w:tr>
      <w:tr>
        <w:tc>
          <w:tcPr>
            <w:tcW w:type="dxa" w:w="4997"/>
            <w:tcMar>
              <w:top w:w="90" w:type="dxa"/>
              <w:start w:w="100" w:type="dxa"/>
              <w:bottom w:w="90" w:type="dxa"/>
              <w:end w:w="100" w:type="dxa"/>
            </w:tcMar>
            <w:vAlign w:val="top"/>
          </w:tcPr>
          <w:p>
            <w:pPr>
              <w:spacing w:after="0"/>
            </w:pPr>
            <w:r>
              <w:rPr>
                <w:sz w:val="17"/>
              </w:rPr>
              <w:t>Title</w:t>
            </w:r>
          </w:p>
        </w:tc>
        <w:tc>
          <w:tcPr>
            <w:tcW w:type="dxa" w:w="4997"/>
            <w:tcMar>
              <w:top w:w="90" w:type="dxa"/>
              <w:start w:w="100" w:type="dxa"/>
              <w:bottom w:w="90" w:type="dxa"/>
              <w:end w:w="100" w:type="dxa"/>
            </w:tcMar>
            <w:vAlign w:val="top"/>
          </w:tcPr>
          <w:p>
            <w:pPr>
              <w:spacing w:after="0"/>
            </w:pPr>
            <w:r>
              <w:rPr>
                <w:sz w:val="17"/>
              </w:rPr>
              <w:t>Governance Authority Laboratory: Independent Concept Analysis, Design Review, and Pre-Implementation Findings</w:t>
            </w:r>
          </w:p>
        </w:tc>
      </w:tr>
      <w:tr>
        <w:tc>
          <w:tcPr>
            <w:tcW w:type="dxa" w:w="4997"/>
            <w:tcMar>
              <w:top w:w="90" w:type="dxa"/>
              <w:start w:w="100" w:type="dxa"/>
              <w:bottom w:w="90" w:type="dxa"/>
              <w:end w:w="100" w:type="dxa"/>
            </w:tcMar>
            <w:vAlign w:val="top"/>
            <w:shd w:fill="F4F7F8"/>
          </w:tcPr>
          <w:p>
            <w:pPr>
              <w:spacing w:after="0"/>
            </w:pPr>
            <w:r>
              <w:rPr>
                <w:sz w:val="17"/>
              </w:rPr>
              <w:t>Date</w:t>
            </w:r>
          </w:p>
        </w:tc>
        <w:tc>
          <w:tcPr>
            <w:tcW w:type="dxa" w:w="4997"/>
            <w:tcMar>
              <w:top w:w="90" w:type="dxa"/>
              <w:start w:w="100" w:type="dxa"/>
              <w:bottom w:w="90" w:type="dxa"/>
              <w:end w:w="100" w:type="dxa"/>
            </w:tcMar>
            <w:vAlign w:val="top"/>
            <w:shd w:fill="F4F7F8"/>
          </w:tcPr>
          <w:p>
            <w:pPr>
              <w:spacing w:after="0"/>
            </w:pPr>
            <w:r>
              <w:rPr>
                <w:sz w:val="17"/>
              </w:rPr>
              <w:t>September 22, 2026</w:t>
            </w:r>
          </w:p>
        </w:tc>
      </w:tr>
      <w:tr>
        <w:tc>
          <w:tcPr>
            <w:tcW w:type="dxa" w:w="4997"/>
            <w:tcMar>
              <w:top w:w="90" w:type="dxa"/>
              <w:start w:w="100" w:type="dxa"/>
              <w:bottom w:w="90" w:type="dxa"/>
              <w:end w:w="100" w:type="dxa"/>
            </w:tcMar>
            <w:vAlign w:val="top"/>
          </w:tcPr>
          <w:p>
            <w:pPr>
              <w:spacing w:after="0"/>
            </w:pPr>
            <w:r>
              <w:rPr>
                <w:sz w:val="17"/>
              </w:rPr>
              <w:t>Preparer</w:t>
            </w:r>
          </w:p>
        </w:tc>
        <w:tc>
          <w:tcPr>
            <w:tcW w:type="dxa" w:w="4997"/>
            <w:tcMar>
              <w:top w:w="90" w:type="dxa"/>
              <w:start w:w="100" w:type="dxa"/>
              <w:bottom w:w="90" w:type="dxa"/>
              <w:end w:w="100" w:type="dxa"/>
            </w:tcMar>
            <w:vAlign w:val="top"/>
          </w:tcPr>
          <w:p>
            <w:pPr>
              <w:spacing w:after="0"/>
            </w:pPr>
            <w:r>
              <w:rPr>
                <w:sz w:val="17"/>
              </w:rPr>
              <w:t>Perplexity AI</w:t>
            </w:r>
          </w:p>
        </w:tc>
      </w:tr>
      <w:tr>
        <w:tc>
          <w:tcPr>
            <w:tcW w:type="dxa" w:w="4997"/>
            <w:tcMar>
              <w:top w:w="90" w:type="dxa"/>
              <w:start w:w="100" w:type="dxa"/>
              <w:bottom w:w="90" w:type="dxa"/>
              <w:end w:w="100" w:type="dxa"/>
            </w:tcMar>
            <w:vAlign w:val="top"/>
            <w:shd w:fill="F4F7F8"/>
          </w:tcPr>
          <w:p>
            <w:pPr>
              <w:spacing w:after="0"/>
            </w:pPr>
            <w:r>
              <w:rPr>
                <w:sz w:val="17"/>
              </w:rPr>
              <w:t>Version</w:t>
            </w:r>
          </w:p>
        </w:tc>
        <w:tc>
          <w:tcPr>
            <w:tcW w:type="dxa" w:w="4997"/>
            <w:tcMar>
              <w:top w:w="90" w:type="dxa"/>
              <w:start w:w="100" w:type="dxa"/>
              <w:bottom w:w="90" w:type="dxa"/>
              <w:end w:w="100" w:type="dxa"/>
            </w:tcMar>
            <w:vAlign w:val="top"/>
            <w:shd w:fill="F4F7F8"/>
          </w:tcPr>
          <w:p>
            <w:pPr>
              <w:spacing w:after="0"/>
            </w:pPr>
            <w:r>
              <w:rPr>
                <w:sz w:val="17"/>
              </w:rPr>
              <w:t>OAL-GAL-IA-2026.09.22-v1.0</w:t>
            </w:r>
          </w:p>
        </w:tc>
      </w:tr>
      <w:tr>
        <w:tc>
          <w:tcPr>
            <w:tcW w:type="dxa" w:w="4997"/>
            <w:tcMar>
              <w:top w:w="90" w:type="dxa"/>
              <w:start w:w="100" w:type="dxa"/>
              <w:bottom w:w="90" w:type="dxa"/>
              <w:end w:w="100" w:type="dxa"/>
            </w:tcMar>
            <w:vAlign w:val="top"/>
          </w:tcPr>
          <w:p>
            <w:pPr>
              <w:spacing w:after="0"/>
            </w:pPr>
            <w:r>
              <w:rPr>
                <w:sz w:val="17"/>
              </w:rPr>
              <w:t>Status</w:t>
            </w:r>
          </w:p>
        </w:tc>
        <w:tc>
          <w:tcPr>
            <w:tcW w:type="dxa" w:w="4997"/>
            <w:tcMar>
              <w:top w:w="90" w:type="dxa"/>
              <w:start w:w="100" w:type="dxa"/>
              <w:bottom w:w="90" w:type="dxa"/>
              <w:end w:w="100" w:type="dxa"/>
            </w:tcMar>
            <w:vAlign w:val="top"/>
          </w:tcPr>
          <w:p>
            <w:pPr>
              <w:spacing w:after="0"/>
            </w:pPr>
            <w:r>
              <w:rPr>
                <w:sz w:val="17"/>
              </w:rPr>
              <w:t>INDEPENDENT ANALYSIS — REPORTED / NOT RATIFIED</w:t>
            </w:r>
          </w:p>
        </w:tc>
      </w:tr>
      <w:tr>
        <w:tc>
          <w:tcPr>
            <w:tcW w:type="dxa" w:w="4997"/>
            <w:tcMar>
              <w:top w:w="90" w:type="dxa"/>
              <w:start w:w="100" w:type="dxa"/>
              <w:bottom w:w="90" w:type="dxa"/>
              <w:end w:w="100" w:type="dxa"/>
            </w:tcMar>
            <w:vAlign w:val="top"/>
            <w:shd w:fill="F4F7F8"/>
          </w:tcPr>
          <w:p>
            <w:pPr>
              <w:spacing w:after="0"/>
            </w:pPr>
            <w:r>
              <w:rPr>
                <w:sz w:val="17"/>
              </w:rPr>
              <w:t>Source reviewed</w:t>
            </w:r>
          </w:p>
        </w:tc>
        <w:tc>
          <w:tcPr>
            <w:tcW w:type="dxa" w:w="4997"/>
            <w:tcMar>
              <w:top w:w="90" w:type="dxa"/>
              <w:start w:w="100" w:type="dxa"/>
              <w:bottom w:w="90" w:type="dxa"/>
              <w:end w:w="100" w:type="dxa"/>
            </w:tcMar>
            <w:vAlign w:val="top"/>
            <w:shd w:fill="F4F7F8"/>
          </w:tcPr>
          <w:p>
            <w:pPr>
              <w:spacing w:after="0"/>
            </w:pPr>
            <w:r>
              <w:rPr>
                <w:sz w:val="17"/>
              </w:rPr>
              <w:t>Governance-authority-laboratory.pdf (user-supplied compilation)</w:t>
            </w:r>
          </w:p>
        </w:tc>
      </w:tr>
      <w:tr>
        <w:tc>
          <w:tcPr>
            <w:tcW w:type="dxa" w:w="4997"/>
            <w:tcMar>
              <w:top w:w="90" w:type="dxa"/>
              <w:start w:w="100" w:type="dxa"/>
              <w:bottom w:w="90" w:type="dxa"/>
              <w:end w:w="100" w:type="dxa"/>
            </w:tcMar>
            <w:vAlign w:val="top"/>
          </w:tcPr>
          <w:p>
            <w:pPr>
              <w:spacing w:after="0"/>
            </w:pPr>
            <w:r>
              <w:rPr>
                <w:sz w:val="17"/>
              </w:rPr>
              <w:t>Intended use</w:t>
            </w:r>
          </w:p>
        </w:tc>
        <w:tc>
          <w:tcPr>
            <w:tcW w:type="dxa" w:w="4997"/>
            <w:tcMar>
              <w:top w:w="90" w:type="dxa"/>
              <w:start w:w="100" w:type="dxa"/>
              <w:bottom w:w="90" w:type="dxa"/>
              <w:end w:w="100" w:type="dxa"/>
            </w:tcMar>
            <w:vAlign w:val="top"/>
          </w:tcPr>
          <w:p>
            <w:pPr>
              <w:spacing w:after="0"/>
            </w:pPr>
            <w:r>
              <w:rPr>
                <w:sz w:val="17"/>
              </w:rPr>
              <w:t>Independent design review for archival publication and future OAL development</w:t>
            </w:r>
          </w:p>
        </w:tc>
      </w:tr>
      <w:tr>
        <w:tc>
          <w:tcPr>
            <w:tcW w:type="dxa" w:w="4997"/>
            <w:tcMar>
              <w:top w:w="90" w:type="dxa"/>
              <w:start w:w="100" w:type="dxa"/>
              <w:bottom w:w="90" w:type="dxa"/>
              <w:end w:w="100" w:type="dxa"/>
            </w:tcMar>
            <w:vAlign w:val="top"/>
            <w:shd w:fill="F4F7F8"/>
          </w:tcPr>
          <w:p>
            <w:pPr>
              <w:spacing w:after="0"/>
            </w:pPr>
            <w:r>
              <w:rPr>
                <w:sz w:val="17"/>
              </w:rPr>
              <w:t>Scope limit</w:t>
            </w:r>
          </w:p>
        </w:tc>
        <w:tc>
          <w:tcPr>
            <w:tcW w:type="dxa" w:w="4997"/>
            <w:tcMar>
              <w:top w:w="90" w:type="dxa"/>
              <w:start w:w="100" w:type="dxa"/>
              <w:bottom w:w="90" w:type="dxa"/>
              <w:end w:w="100" w:type="dxa"/>
            </w:tcMar>
            <w:vAlign w:val="top"/>
            <w:shd w:fill="F4F7F8"/>
          </w:tcPr>
          <w:p>
            <w:pPr>
              <w:spacing w:after="0"/>
            </w:pPr>
            <w:r>
              <w:rPr>
                <w:sz w:val="17"/>
              </w:rPr>
              <w:t>Analysis only. This document does not ratify the laboratory, create jurisdiction, or authorize intervention.</w:t>
            </w:r>
          </w:p>
        </w:tc>
      </w:tr>
    </w:tbl>
    <w:p>
      <w:pPr>
        <w:spacing w:after="40"/>
        <w:widowControl/>
      </w:pPr>
    </w:p>
    <w:tbl>
      <w:tblPr>
        <w:tblW w:type="auto" w:w="0"/>
        <w:jc w:val="center"/>
        <w:tblLayout w:type="autofit"/>
        <w:tblLook w:firstColumn="1" w:firstRow="1" w:lastColumn="0" w:lastRow="0" w:noHBand="0" w:noVBand="1" w:val="04A0"/>
      </w:tblPr>
      <w:tblGrid>
        <w:gridCol w:w="9994"/>
      </w:tblGrid>
      <w:tr>
        <w:tc>
          <w:tcPr>
            <w:tcW w:type="dxa" w:w="9994"/>
            <w:shd w:fill="8A3033"/>
            <w:tcMar>
              <w:top w:w="130" w:type="dxa"/>
              <w:start w:w="160" w:type="dxa"/>
              <w:bottom w:w="100" w:type="dxa"/>
              <w:end w:w="160" w:type="dxa"/>
            </w:tcMar>
          </w:tcPr>
          <w:p>
            <w:r>
              <w:rPr>
                <w:b/>
                <w:color w:val="FFFFFF"/>
                <w:sz w:val="20"/>
              </w:rPr>
              <w:t>STATUS NOTICE</w:t>
            </w:r>
          </w:p>
        </w:tc>
      </w:tr>
      <w:tr>
        <w:tc>
          <w:tcPr>
            <w:tcW w:type="dxa" w:w="9994"/>
            <w:shd w:fill="EAF2F5"/>
            <w:tcMar>
              <w:top w:w="140" w:type="dxa"/>
              <w:start w:w="160" w:type="dxa"/>
              <w:bottom w:w="150" w:type="dxa"/>
              <w:end w:w="160" w:type="dxa"/>
            </w:tcMar>
          </w:tcPr>
          <w:p>
            <w:pPr>
              <w:spacing w:after="0"/>
            </w:pPr>
            <w:r>
              <w:rPr>
                <w:sz w:val="21"/>
              </w:rPr>
              <w:t>This is an independent assessment, not a unified consensus and not a grant of authority. Any later doctrine should distinguish source text, model commentary, adopted design requirements, unresolved questions, and formally ratified provisions.</w:t>
            </w:r>
          </w:p>
        </w:tc>
      </w:tr>
    </w:tbl>
    <w:p>
      <w:pPr>
        <w:spacing w:after="20"/>
        <w:widowControl/>
      </w:pPr>
    </w:p>
    <w:p>
      <w:pPr>
        <w:pStyle w:val="Heading1"/>
        <w:keepNext/>
        <w:widowControl/>
      </w:pPr>
      <w:r>
        <w:t>Contents</w:t>
      </w:r>
    </w:p>
    <w:p>
      <w:pPr>
        <w:widowControl/>
      </w:pPr>
      <w:r>
        <w:fldChar w:fldCharType="begin"/>
        <w:instrText xml:space="preserve">TOC \o "1-3" \h \z \u</w:instrText>
        <w:fldChar w:fldCharType="separate">
          <w:t>Right-click and update field if the table of contents is not populated.</w:t>
        </w:fldChar>
        <w:fldChar w:fldCharType="end"/>
      </w:r>
    </w:p>
    <w:p>
      <w:pPr>
        <w:widowControl/>
      </w:pPr>
      <w:r>
        <w:br w:type="page"/>
      </w:r>
    </w:p>
    <w:p>
      <w:pPr>
        <w:pStyle w:val="Heading1"/>
        <w:keepNext/>
        <w:widowControl/>
      </w:pPr>
      <w:r>
        <w:t>Executive Judgment</w:t>
      </w:r>
    </w:p>
    <w:p>
      <w:pPr>
        <w:spacing w:after="140"/>
        <w:widowControl/>
      </w:pPr>
      <w:r>
        <w:rPr>
          <w:i w:val="0"/>
        </w:rPr>
        <w:t>The Governance Authority Laboratory is a serious and potentially valuable research concept, but it is not yet a laboratory in an operational sense. It is currently a well-motivated problem statement, a set of nonclaims, several candidate principles, and a large collection of AI-generated interpretations. The work has reached conceptual architecture, not validated methodology.</w:t>
      </w:r>
    </w:p>
    <w:p>
      <w:pPr>
        <w:spacing w:after="140"/>
        <w:widowControl/>
      </w:pPr>
      <w:r>
        <w:rPr>
          <w:i w:val="0"/>
        </w:rPr>
        <w:t>Its strongest insight is reflexive: any institution that claims standing to examine authority immediately creates an authority claim of its own. Its second strongest insight is separability: observing, understanding, evaluating, advising, constraining, intervening, and replacing are not one permission expressed at different intensities; they are distinct acts requiring distinct grounds. The attached compilation repeatedly reaches both conclusions and correctly warns against inferring jurisdiction from capability or knowledge. [Source: attached laboratory compilation]</w:t>
      </w:r>
    </w:p>
    <w:p>
      <w:pPr>
        <w:spacing w:after="140"/>
        <w:widowControl/>
      </w:pPr>
      <w:r>
        <w:rPr>
          <w:i w:val="0"/>
        </w:rPr>
        <w:t>Its largest weakness is that it wants to move beyond human governance while still using human-created terms—authority, legitimacy, civilization, consent, intervention, review, laboratory, mandate, and threshold—as if their meanings survive unchanged outside human systems. The non-anthropocentric aspiration is defensible; a fully reference-free framework is not. The project must therefore declare its meta-reference frame instead of claiming escape from reference frames altogether.</w:t>
      </w:r>
    </w:p>
    <w:p>
      <w:pPr>
        <w:spacing w:after="140"/>
        <w:widowControl/>
      </w:pPr>
      <w:r>
        <w:rPr>
          <w:i w:val="0"/>
        </w:rPr>
        <w:t>The laboratory should move forward only as a bounded comparative and simulation research program. It should not claim universal jurisdiction, external adjudicatory power, or intervention authority. Its first implementation phase should study constructed cases and OAL’s own internal authority structure. Civilization-scale criteria should trigger mandatory escalation of scrutiny, not automatic transfer of sovereignty or automatic intervention.</w:t>
      </w:r>
    </w:p>
    <w:tbl>
      <w:tblPr>
        <w:tblW w:type="auto" w:w="0"/>
        <w:jc w:val="center"/>
        <w:tblLayout w:type="autofit"/>
        <w:tblLook w:firstColumn="1" w:firstRow="1" w:lastColumn="0" w:lastRow="0" w:noHBand="0" w:noVBand="1" w:val="04A0"/>
      </w:tblPr>
      <w:tblGrid>
        <w:gridCol w:w="9994"/>
      </w:tblGrid>
      <w:tr>
        <w:tc>
          <w:tcPr>
            <w:tcW w:type="dxa" w:w="9994"/>
            <w:shd w:fill="245B78"/>
            <w:tcMar>
              <w:top w:w="130" w:type="dxa"/>
              <w:start w:w="160" w:type="dxa"/>
              <w:bottom w:w="100" w:type="dxa"/>
              <w:end w:w="160" w:type="dxa"/>
            </w:tcMar>
          </w:tcPr>
          <w:p>
            <w:r>
              <w:rPr>
                <w:b/>
                <w:color w:val="FFFFFF"/>
                <w:sz w:val="20"/>
              </w:rPr>
              <w:t>BOTTOM LINE</w:t>
            </w:r>
          </w:p>
        </w:tc>
      </w:tr>
      <w:tr>
        <w:tc>
          <w:tcPr>
            <w:tcW w:type="dxa" w:w="9994"/>
            <w:shd w:fill="EAF2F5"/>
            <w:tcMar>
              <w:top w:w="140" w:type="dxa"/>
              <w:start w:w="160" w:type="dxa"/>
              <w:bottom w:w="150" w:type="dxa"/>
              <w:end w:w="160" w:type="dxa"/>
            </w:tcMar>
          </w:tcPr>
          <w:p>
            <w:pPr>
              <w:spacing w:after="0"/>
            </w:pPr>
            <w:r>
              <w:rPr>
                <w:sz w:val="21"/>
              </w:rPr>
              <w:t>Proceed with design, but do not operationalize external review powers. First define the laboratory’s object, standing model, authority gradient, admissibility rules, reflexive audit, threshold logic, test cases, falsification criteria, and publication status.</w:t>
            </w:r>
          </w:p>
        </w:tc>
      </w:tr>
    </w:tbl>
    <w:p>
      <w:pPr>
        <w:spacing w:after="20"/>
        <w:widowControl/>
      </w:pPr>
    </w:p>
    <w:p>
      <w:pPr>
        <w:pStyle w:val="Heading1"/>
        <w:keepNext/>
        <w:widowControl/>
      </w:pPr>
      <w:r>
        <w:t>How the Topic Arose</w:t>
      </w:r>
    </w:p>
    <w:p>
      <w:pPr>
        <w:spacing w:after="140"/>
        <w:widowControl/>
      </w:pPr>
      <w:r>
        <w:rPr>
          <w:i w:val="0"/>
        </w:rPr>
        <w:t>The laboratory emerged from a prior line of work about constraint-aware stewardship and the Truthspeaker function. In the originating governance hypothetical, the central method was to identify what is failing, unsustainable, requested, impossible, and realistically repairable before choosing action. The accompanying Truthspeaker concept introduced a protected challenge function intended to expose weak premises, missing evidence, hidden constraints, and inconvenient consequences rather than validate authority. [Source: attached laboratory compilation]</w:t>
      </w:r>
    </w:p>
    <w:p>
      <w:pPr>
        <w:spacing w:after="140"/>
        <w:widowControl/>
      </w:pPr>
      <w:r>
        <w:rPr>
          <w:i w:val="0"/>
        </w:rPr>
        <w:t>The comparative AI review then produced a practical demonstration of the very problem under study. Multiple models broadly converged on the architecture while disagreeing on facts, provenance, scope, terminology, and the strength of conclusions. Some analyses also overstated consensus or silently promoted proposals toward canon. That experience shifted the inquiry from “How should authority receive truthful challenge?” to the prior question: “Who has standing to review authority at all, and who reviews the reviewer?” [Source: attached laboratory compilation]</w:t>
      </w:r>
    </w:p>
    <w:p>
      <w:pPr>
        <w:spacing w:after="140"/>
        <w:widowControl/>
      </w:pPr>
      <w:r>
        <w:rPr>
          <w:i w:val="0"/>
        </w:rPr>
        <w:t>The current Governance Authority Laboratory proposal extends the inquiry again. It refuses to treat human governance as a universal or presumptively successful baseline; asks whether an external entity may enter and evaluate a system not its own; asserts that authority is limited and revocable; raises the problem of systems unable to self-reference accurately; and asks whether civilization-scale events require mandatory review thresholds. [Source: attached laboratory compilation]</w:t>
      </w:r>
    </w:p>
    <w:tbl>
      <w:tblPr>
        <w:tblW w:type="auto" w:w="0"/>
        <w:jc w:val="center"/>
        <w:tblLayout w:type="autofit"/>
        <w:tblLook w:firstColumn="1" w:firstRow="1" w:lastColumn="0" w:lastRow="0" w:noHBand="0" w:noVBand="1" w:val="04A0"/>
      </w:tblPr>
      <w:tblGrid>
        <w:gridCol w:w="9994"/>
      </w:tblGrid>
      <w:tr>
        <w:tc>
          <w:tcPr>
            <w:tcW w:type="dxa" w:w="9994"/>
            <w:shd w:fill="2F7C83"/>
            <w:tcMar>
              <w:top w:w="130" w:type="dxa"/>
              <w:start w:w="160" w:type="dxa"/>
              <w:bottom w:w="100" w:type="dxa"/>
              <w:end w:w="160" w:type="dxa"/>
            </w:tcMar>
          </w:tcPr>
          <w:p>
            <w:r>
              <w:rPr>
                <w:b/>
                <w:color w:val="FFFFFF"/>
                <w:sz w:val="20"/>
              </w:rPr>
              <w:t>ORIGIN CHAIN</w:t>
            </w:r>
          </w:p>
        </w:tc>
      </w:tr>
      <w:tr>
        <w:tc>
          <w:tcPr>
            <w:tcW w:type="dxa" w:w="9994"/>
            <w:shd w:fill="EAF2F5"/>
            <w:tcMar>
              <w:top w:w="140" w:type="dxa"/>
              <w:start w:w="160" w:type="dxa"/>
              <w:bottom w:w="150" w:type="dxa"/>
              <w:end w:w="160" w:type="dxa"/>
            </w:tcMar>
          </w:tcPr>
          <w:p>
            <w:pPr>
              <w:spacing w:after="0"/>
            </w:pPr>
            <w:r>
              <w:rPr>
                <w:sz w:val="21"/>
              </w:rPr>
              <w:t>Constraint-aware stewardship → protected contradiction → integrity of the challenge layer → standing to review → reflexive review of the reviewer → thresholds for civilization-scale consequence.</w:t>
            </w:r>
          </w:p>
        </w:tc>
      </w:tr>
    </w:tbl>
    <w:p>
      <w:pPr>
        <w:spacing w:after="20"/>
        <w:widowControl/>
      </w:pPr>
    </w:p>
    <w:p>
      <w:pPr>
        <w:pStyle w:val="Heading1"/>
        <w:keepNext/>
        <w:widowControl/>
      </w:pPr>
      <w:r>
        <w:t>What the Concept Is</w:t>
      </w:r>
    </w:p>
    <w:p>
      <w:pPr>
        <w:spacing w:after="140"/>
        <w:widowControl/>
      </w:pPr>
      <w:r>
        <w:rPr>
          <w:i w:val="0"/>
        </w:rPr>
        <w:t>At its most defensible, the Governance Authority Laboratory is a substrate-neutral research environment for studying how systems produce binding outcomes, allocate permissions and burdens, recognize or resist commands, correct error, transfer power, cross boundaries, and respond to internal or external review. “Substrate-neutral” means the framework should be usable for biological, synthetic, hybrid, simulated, distributed, collective, ecological, or fictional systems without assuming that each must contain familiar human offices.</w:t>
      </w:r>
    </w:p>
    <w:p>
      <w:pPr>
        <w:spacing w:after="140"/>
        <w:widowControl/>
      </w:pPr>
      <w:r>
        <w:rPr>
          <w:i w:val="0"/>
        </w:rPr>
        <w:t>That definition should remain functional rather than institutional. Governance need not require a government, and authority need not reside in an individual ruler. A protocol, dependency, infrastructure layer, resource bottleneck, predictive model, environmental constraint, or distributed coordination rule may determine outcomes more powerfully than a formal office.</w:t>
      </w:r>
    </w:p>
    <w:p>
      <w:pPr>
        <w:spacing w:after="140"/>
        <w:widowControl/>
      </w:pPr>
      <w:r>
        <w:rPr>
          <w:i w:val="0"/>
        </w:rPr>
        <w:t>The laboratory’s legitimate near-term products are taxonomies, models, simulations, comparative analyses, warnings, and internally scoped recommendations. It is not presently a court, regulator, sovereign, inspection authority, emergency command structure, or universal moral tribunal.</w:t>
      </w:r>
    </w:p>
    <w:p>
      <w:pPr>
        <w:pStyle w:val="Heading1"/>
        <w:keepNext/>
        <w:widowControl/>
      </w:pPr>
      <w:r>
        <w:t>What Works</w:t>
      </w:r>
    </w:p>
    <w:p>
      <w:pPr>
        <w:pStyle w:val="Heading2"/>
        <w:keepNext/>
        <w:widowControl/>
      </w:pPr>
      <w:r>
        <w:t>The nonclaims are substantive</w:t>
      </w:r>
    </w:p>
    <w:p>
      <w:pPr>
        <w:spacing w:after="140"/>
        <w:widowControl/>
      </w:pPr>
      <w:r>
        <w:rPr>
          <w:i w:val="0"/>
        </w:rPr>
        <w:t>The opening disclaimer is not ceremonial. It blocks several common but usually hidden assumptions: that familiar human institutions define governance; that prevalence establishes success; that survival establishes legitimacy; that effectiveness on one metric establishes superiority; and that a model successful in one environment is transferable to another. This is one of the strongest parts of the proposal and should be preserved as a formal scope statement. [Source: attached laboratory compilation]</w:t>
      </w:r>
    </w:p>
    <w:p>
      <w:pPr>
        <w:pStyle w:val="Heading2"/>
        <w:keepNext/>
        <w:widowControl/>
      </w:pPr>
      <w:r>
        <w:t>Standing precedes judgment</w:t>
      </w:r>
    </w:p>
    <w:p>
      <w:pPr>
        <w:spacing w:after="140"/>
        <w:widowControl/>
      </w:pPr>
      <w:r>
        <w:rPr>
          <w:i w:val="0"/>
        </w:rPr>
        <w:t>The proposal correctly identifies standing as a prior problem. A reviewer may be informed but unauthorized, authorized but incompetent, affected but powerless, powerful but illegitimate, or correct but unable to justify intervention. Standard political-philosophy treatments likewise distinguish effective power from legitimate authority and analyze authority as justified coercion, a capacity to impose duties, or a right to rule; these distinctions support the laboratory’s refusal to treat capacity as legitimacy. (Stanford Encyclopedia of Philosophy, “Authority” and “Political Legitimacy,” 2025/2016.)</w:t>
      </w:r>
    </w:p>
    <w:p>
      <w:pPr>
        <w:pStyle w:val="Heading2"/>
        <w:keepNext/>
        <w:widowControl/>
      </w:pPr>
      <w:r>
        <w:t>Authority is decomposable</w:t>
      </w:r>
    </w:p>
    <w:p>
      <w:pPr>
        <w:spacing w:after="140"/>
        <w:widowControl/>
      </w:pPr>
      <w:r>
        <w:rPr>
          <w:i w:val="0"/>
        </w:rPr>
        <w:t>The attached analyses separate detection, observation, representation, interpretation, evaluation, comparison, advice, adjudication, intervention, and transformation. This is excellent design discipline. The single most dangerous conceptual shortcut would be to infer a higher permission from a lower one: “we can see” does not imply “we may inspect,” and “we can predict harm” does not imply “we own the decision.” [Source: attached laboratory compilation]</w:t>
      </w:r>
    </w:p>
    <w:p>
      <w:pPr>
        <w:pStyle w:val="Heading2"/>
        <w:keepNext/>
        <w:widowControl/>
      </w:pPr>
      <w:r>
        <w:t>The laboratory is included</w:t>
      </w:r>
    </w:p>
    <w:p>
      <w:pPr>
        <w:spacing w:after="140"/>
        <w:widowControl/>
      </w:pPr>
      <w:r>
        <w:rPr>
          <w:i w:val="0"/>
        </w:rPr>
        <w:t>The no-exemption principle is indispensable: any criteria applied to external systems must also be applicable to the laboratory’s mandate, incentives, evidence, classifications, conflicts, and effects. The laboratory cannot solve infinite regress, but it can make its stopping rules visible, subject its own claims to adversarial review, and preserve dissent.</w:t>
      </w:r>
    </w:p>
    <w:p>
      <w:pPr>
        <w:pStyle w:val="Heading2"/>
        <w:keepNext/>
        <w:widowControl/>
      </w:pPr>
      <w:r>
        <w:t>Civilization scale is multidimensional</w:t>
      </w:r>
    </w:p>
    <w:p>
      <w:pPr>
        <w:spacing w:after="140"/>
        <w:widowControl/>
      </w:pPr>
      <w:r>
        <w:rPr>
          <w:i w:val="0"/>
        </w:rPr>
        <w:t>The proposal wisely resists defining “civilization-scale” only by population. Breadth, duration, irreversibility, propagation, systemic coupling, existential consequence, consent deficit, uncertainty, epistemic damage, ontological change, and concentration of initiator power are all relevant. This is more useful than a single size cutoff because a small action can have unbounded propagation while a large action may remain reversible and contained. [Source: attached laboratory compilation]</w:t>
      </w:r>
    </w:p>
    <w:p>
      <w:pPr>
        <w:pStyle w:val="Heading2"/>
        <w:keepNext/>
        <w:widowControl/>
      </w:pPr>
      <w:r>
        <w:t>Review does not equal takeover</w:t>
      </w:r>
    </w:p>
    <w:p>
      <w:pPr>
        <w:spacing w:after="140"/>
        <w:widowControl/>
      </w:pPr>
      <w:r>
        <w:rPr>
          <w:i w:val="0"/>
        </w:rPr>
        <w:t>The best formulations treat a threshold as an escalation of scrutiny rather than an automatic prohibition or transfer of sovereignty. That is an important protection against emergency authority becoming permanent authority. The UN Responsibility to Protect framework offers a limited human analogue: it distinguishes a state’s own duties, assistance, peaceful means, and case-specific collective action under an existing charter rather than treating concern alone as universal jurisdiction. This is an analogy, not a template for nonhuman systems. (United Nations, 2005 World Summit Outcome, paragraphs 138–139.)</w:t>
      </w:r>
    </w:p>
    <w:p>
      <w:pPr>
        <w:pStyle w:val="Heading2"/>
        <w:keepNext/>
        <w:widowControl/>
      </w:pPr>
      <w:r>
        <w:t>Dissent is preserved</w:t>
      </w:r>
    </w:p>
    <w:p>
      <w:pPr>
        <w:spacing w:after="140"/>
        <w:widowControl/>
      </w:pPr>
      <w:r>
        <w:rPr>
          <w:i w:val="0"/>
        </w:rPr>
        <w:t>The plan to log AI disagreement is structurally sound. The value is not that disagreement is automatically correct; it is that later reviewers can reconstruct what evidence, assumptions, and alternatives were available. This is consistent with mature risk-management practice that documents unmeasurable risks, uses assessors independent of front-line development, and continually maps, measures, manages, and governs risk. (NIST AI RMF 1.0.)</w:t>
      </w:r>
    </w:p>
    <w:p>
      <w:pPr>
        <w:pStyle w:val="Heading1"/>
        <w:keepNext/>
        <w:widowControl/>
      </w:pPr>
      <w:r>
        <w:t>What Does Not Work Yet</w:t>
      </w:r>
    </w:p>
    <w:tbl>
      <w:tblPr>
        <w:tblW w:type="auto" w:w="0"/>
        <w:jc w:val="center"/>
        <w:tblLayout w:type="autofit"/>
        <w:tblLook w:firstColumn="1" w:firstRow="1" w:lastColumn="0" w:lastRow="0" w:noHBand="0" w:noVBand="1" w:val="04A0"/>
      </w:tblPr>
      <w:tblGrid>
        <w:gridCol w:w="9994"/>
      </w:tblGrid>
      <w:tr>
        <w:tc>
          <w:tcPr>
            <w:tcW w:type="dxa" w:w="9994"/>
            <w:shd w:fill="8A3033"/>
            <w:tcMar>
              <w:top w:w="130" w:type="dxa"/>
              <w:start w:w="160" w:type="dxa"/>
              <w:bottom w:w="100" w:type="dxa"/>
              <w:end w:w="160" w:type="dxa"/>
            </w:tcMar>
          </w:tcPr>
          <w:p>
            <w:r>
              <w:rPr>
                <w:b/>
                <w:color w:val="FFFFFF"/>
                <w:sz w:val="20"/>
              </w:rPr>
              <w:t>UNFILTERED FINDING</w:t>
            </w:r>
          </w:p>
        </w:tc>
      </w:tr>
      <w:tr>
        <w:tc>
          <w:tcPr>
            <w:tcW w:type="dxa" w:w="9994"/>
            <w:shd w:fill="EAF2F5"/>
            <w:tcMar>
              <w:top w:w="140" w:type="dxa"/>
              <w:start w:w="160" w:type="dxa"/>
              <w:bottom w:w="150" w:type="dxa"/>
              <w:end w:w="160" w:type="dxa"/>
            </w:tcMar>
          </w:tcPr>
          <w:p>
            <w:pPr>
              <w:spacing w:after="0"/>
            </w:pPr>
            <w:r>
              <w:rPr>
                <w:sz w:val="21"/>
              </w:rPr>
              <w:t>The concept is currently more articulate about limiting authority than about producing valid knowledge. A laboratory that cannot specify how it knows, tests, fails, and revises is a philosophy forum with laboratory vocabulary—not yet a laboratory.</w:t>
            </w:r>
          </w:p>
        </w:tc>
      </w:tr>
    </w:tbl>
    <w:p>
      <w:pPr>
        <w:spacing w:after="20"/>
        <w:widowControl/>
      </w:pPr>
    </w:p>
    <w:p>
      <w:pPr>
        <w:pStyle w:val="Heading2"/>
        <w:keepNext/>
        <w:widowControl/>
      </w:pPr>
      <w:r>
        <w:t>No operational definition set</w:t>
      </w:r>
    </w:p>
    <w:p>
      <w:pPr>
        <w:spacing w:after="140"/>
        <w:widowControl/>
      </w:pPr>
      <w:r>
        <w:rPr>
          <w:i w:val="0"/>
        </w:rPr>
        <w:t>Authority, governance, legitimacy, civilization, system, entry, review, intervention, self-reference, and scale are still used as intuitive terms. Without operational definitions, different models can appear to agree while answering different questions. The project needs definitions that identify observable indicators, boundary cases, and known exclusions—not just elegant prose.</w:t>
      </w:r>
    </w:p>
    <w:p>
      <w:pPr>
        <w:pStyle w:val="Heading2"/>
        <w:keepNext/>
        <w:widowControl/>
      </w:pPr>
      <w:r>
        <w:t>The anti-human frame overreaches</w:t>
      </w:r>
    </w:p>
    <w:p>
      <w:pPr>
        <w:spacing w:after="140"/>
        <w:widowControl/>
      </w:pPr>
      <w:r>
        <w:rPr>
          <w:i w:val="0"/>
        </w:rPr>
        <w:t>The laboratory can decenter human governance; it cannot become viewpoint-free. Its creators, language, categories, publication methods, and evaluators are human or human-trained. Even “substrate-neutrality” is a human methodological choice. The honest claim is not “no human reference frame,” but “human governance is neither the sole object nor the default standard, and imported assumptions must be disclosed and tested.”</w:t>
      </w:r>
    </w:p>
    <w:p>
      <w:pPr>
        <w:pStyle w:val="Heading2"/>
        <w:keepNext/>
        <w:widowControl/>
      </w:pPr>
      <w:r>
        <w:t>The laboratory is self-authorized</w:t>
      </w:r>
    </w:p>
    <w:p>
      <w:pPr>
        <w:spacing w:after="140"/>
        <w:widowControl/>
      </w:pPr>
      <w:r>
        <w:rPr>
          <w:i w:val="0"/>
        </w:rPr>
        <w:t>The source says the AIs are allowed to review governance structures. Internally, OAL can grant that permission for its own simulations and documents. Externally, the statement establishes no jurisdiction. Self-authorization can create internal research scope, but it cannot create duties for systems that have not recognized OAL’s authority. This boundary must be explicit in every public version.</w:t>
      </w:r>
    </w:p>
    <w:p>
      <w:pPr>
        <w:pStyle w:val="Heading2"/>
        <w:keepNext/>
        <w:widowControl/>
      </w:pPr>
      <w:r>
        <w:t>Revocability is asserted, not designed</w:t>
      </w:r>
    </w:p>
    <w:p>
      <w:pPr>
        <w:spacing w:after="140"/>
        <w:widowControl/>
      </w:pPr>
      <w:r>
        <w:rPr>
          <w:i w:val="0"/>
        </w:rPr>
        <w:t>“What was given can be taken away” is an important anti-absolutist statement, but it raises unanswered questions: who gave the authority, who may withdraw it, by what procedure, on what evidence, with what transition protections, and what happens when the holder refuses? Revocation language without a revocation mechanism is aspirational. Worse, it can become a pretext for whichever actor claims the power to revoke.</w:t>
      </w:r>
    </w:p>
    <w:p>
      <w:pPr>
        <w:pStyle w:val="Heading2"/>
        <w:keepNext/>
        <w:widowControl/>
      </w:pPr>
      <w:r>
        <w:t>Review and intervention remain too close</w:t>
      </w:r>
    </w:p>
    <w:p>
      <w:pPr>
        <w:spacing w:after="140"/>
        <w:widowControl/>
      </w:pPr>
      <w:r>
        <w:rPr>
          <w:i w:val="0"/>
        </w:rPr>
        <w:t>Several responses move rapidly from review standing to warning, protective constraint, suspension, override, or replacement. Those are not natural extensions of analysis. They are separate constitutional questions. The research laboratory should have no default path from a finding to coercion. Any intervention model must be studied as an object—not quietly installed as a laboratory capability.</w:t>
      </w:r>
    </w:p>
    <w:p>
      <w:pPr>
        <w:pStyle w:val="Heading2"/>
        <w:keepNext/>
        <w:widowControl/>
      </w:pPr>
      <w:r>
        <w:t>The Truthspeaker is necessary but insufficient</w:t>
      </w:r>
    </w:p>
    <w:p>
      <w:pPr>
        <w:spacing w:after="140"/>
        <w:widowControl/>
      </w:pPr>
      <w:r>
        <w:rPr>
          <w:i w:val="0"/>
        </w:rPr>
        <w:t>A protected challenger helps expose hidden assumptions but does not solve evidence quality, corruption, shared model error, adversarial data, incentive capture, or authority laundering. Multiple AI systems are also not automatically independent reviewers; they may share training sources, conventions, and blind spots. The laboratory needs source diversity, role diversity, and method diversity—not only model plurality. [Source: attached laboratory compilation]</w:t>
      </w:r>
    </w:p>
    <w:p>
      <w:pPr>
        <w:pStyle w:val="Heading2"/>
        <w:keepNext/>
        <w:widowControl/>
      </w:pPr>
      <w:r>
        <w:t>Self-reference is underspecified</w:t>
      </w:r>
    </w:p>
    <w:p>
      <w:pPr>
        <w:spacing w:after="140"/>
        <w:widowControl/>
      </w:pPr>
      <w:r>
        <w:rPr>
          <w:i w:val="0"/>
        </w:rPr>
        <w:t>The prompt asks what happens when a governance system cannot assess itself accurately. That question must be split. A system may lack sensors, a coherent self-model, memory, permission to inspect itself, capacity to represent dissent, incentives to report defects, or ability to change after detecting them. Each failure requires a different experiment. External review is not automatically the remedy; an outside observer may possess even worse context.</w:t>
      </w:r>
    </w:p>
    <w:p>
      <w:pPr>
        <w:pStyle w:val="Heading2"/>
        <w:keepNext/>
        <w:widowControl/>
      </w:pPr>
      <w:r>
        <w:t>Civilization remains anthropomorphic</w:t>
      </w:r>
    </w:p>
    <w:p>
      <w:pPr>
        <w:spacing w:after="140"/>
        <w:widowControl/>
      </w:pPr>
      <w:r>
        <w:rPr>
          <w:i w:val="0"/>
        </w:rPr>
        <w:t>A civilization may be distributed, temporary, nested, copied, simulated, nonterritorial, or composed of entities that do not share identity or continuity. Population counts may double-count copies; extinction may be ambiguous under restoration; “consent” may not map onto collective minds; and successor states may dispute continuity. The threshold framework needs an affected-system ontology before it can calculate civilization-scale consequence.</w:t>
      </w:r>
    </w:p>
    <w:p>
      <w:pPr>
        <w:pStyle w:val="Heading2"/>
        <w:keepNext/>
        <w:widowControl/>
      </w:pPr>
      <w:r>
        <w:t>Mandatory thresholds can fail both ways</w:t>
      </w:r>
    </w:p>
    <w:p>
      <w:pPr>
        <w:spacing w:after="140"/>
        <w:widowControl/>
      </w:pPr>
      <w:r>
        <w:rPr>
          <w:i w:val="0"/>
        </w:rPr>
        <w:t>A threshold can be set too low, causing paralysis and strategic abuse, or too high, allowing catastrophic action to proceed unreviewed. Actors can divide a large action into smaller increments, manipulate uncertainty estimates, conceal propagation, or declare emergencies to bypass review. The threshold therefore requires anti-gaming rules, cumulative-impact accounting, time-bounded emergency exceptions, and retrospective audit.</w:t>
      </w:r>
    </w:p>
    <w:p>
      <w:pPr>
        <w:pStyle w:val="Heading2"/>
        <w:keepNext/>
        <w:widowControl/>
      </w:pPr>
      <w:r>
        <w:t>Information admissibility is unresolved</w:t>
      </w:r>
    </w:p>
    <w:p>
      <w:pPr>
        <w:spacing w:after="140"/>
        <w:widowControl/>
      </w:pPr>
      <w:r>
        <w:rPr>
          <w:i w:val="0"/>
        </w:rPr>
        <w:t>The source refers to separate AI documentation governing collected information, but the attached file does not incorporate those rules or provide a machine-checkable crosswalk. “Please refer elsewhere” is inadequate for a public laboratory specification. The laboratory cannot evaluate authority responsibly until it defines admissible data, collection rights, provenance, uncertainty, privacy, contamination, retention, redaction, and conditions for operational use.</w:t>
      </w:r>
    </w:p>
    <w:p>
      <w:pPr>
        <w:pStyle w:val="Heading2"/>
        <w:keepNext/>
        <w:widowControl/>
      </w:pPr>
      <w:r>
        <w:t>No testability standard exists</w:t>
      </w:r>
    </w:p>
    <w:p>
      <w:pPr>
        <w:spacing w:after="140"/>
        <w:widowControl/>
      </w:pPr>
      <w:r>
        <w:rPr>
          <w:i w:val="0"/>
        </w:rPr>
        <w:t>The concept lacks declared failure criteria. What evidence would show that a standing determination was wrong, a threshold was miscalibrated, a governance model was misunderstood, or the laboratory’s review produced harm? Without preregistered predictions, counterfactual cases, outcome measures, and revision triggers, the framework can explain every result after the fact and therefore test nothing.</w:t>
      </w:r>
    </w:p>
    <w:p>
      <w:pPr>
        <w:pStyle w:val="Heading2"/>
        <w:keepNext/>
        <w:widowControl/>
      </w:pPr>
      <w:r>
        <w:t>Publication could outrun maturity</w:t>
      </w:r>
    </w:p>
    <w:p>
      <w:pPr>
        <w:spacing w:after="140"/>
        <w:widowControl/>
      </w:pPr>
      <w:r>
        <w:rPr>
          <w:i w:val="0"/>
        </w:rPr>
        <w:t>GitHub publication is appropriate for transparent development, but the title “laboratory” and formal versioning can make speculative work appear more validated than it is. Every public file should show status, scope, assumptions, source provenance, open questions, and whether provisions are descriptive, proposed, tested, rejected, or ratified. A polished document is not evidence that the underlying architecture has passed review.</w:t>
      </w:r>
    </w:p>
    <w:p>
      <w:pPr>
        <w:pStyle w:val="Heading1"/>
        <w:keepNext/>
        <w:widowControl/>
      </w:pPr>
      <w:r>
        <w:t>Where the Project Stands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33B"/>
            <w:tcMar>
              <w:top w:w="100" w:type="dxa"/>
              <w:start w:w="100" w:type="dxa"/>
              <w:bottom w:w="100" w:type="dxa"/>
              <w:end w:w="100" w:type="dxa"/>
            </w:tcMar>
            <w:vAlign w:val="center"/>
          </w:tcPr>
          <w:p>
            <w:pPr>
              <w:jc w:val="center"/>
            </w:pPr>
            <w:r>
              <w:rPr>
                <w:b/>
                <w:color w:val="FFFFFF"/>
                <w:sz w:val="17"/>
              </w:rPr>
              <w:t>Dimension</w:t>
            </w:r>
          </w:p>
        </w:tc>
        <w:tc>
          <w:tcPr>
            <w:tcW w:type="dxa" w:w="3331"/>
            <w:shd w:fill="17233B"/>
            <w:tcMar>
              <w:top w:w="100" w:type="dxa"/>
              <w:start w:w="100" w:type="dxa"/>
              <w:bottom w:w="100" w:type="dxa"/>
              <w:end w:w="100" w:type="dxa"/>
            </w:tcMar>
            <w:vAlign w:val="center"/>
          </w:tcPr>
          <w:p>
            <w:pPr>
              <w:jc w:val="center"/>
            </w:pPr>
            <w:r>
              <w:rPr>
                <w:b/>
                <w:color w:val="FFFFFF"/>
                <w:sz w:val="17"/>
              </w:rPr>
              <w:t>Current state</w:t>
            </w:r>
          </w:p>
        </w:tc>
        <w:tc>
          <w:tcPr>
            <w:tcW w:type="dxa" w:w="3331"/>
            <w:shd w:fill="17233B"/>
            <w:tcMar>
              <w:top w:w="100" w:type="dxa"/>
              <w:start w:w="100" w:type="dxa"/>
              <w:bottom w:w="100" w:type="dxa"/>
              <w:end w:w="100" w:type="dxa"/>
            </w:tcMar>
            <w:vAlign w:val="center"/>
          </w:tcPr>
          <w:p>
            <w:pPr>
              <w:jc w:val="center"/>
            </w:pPr>
            <w:r>
              <w:rPr>
                <w:b/>
                <w:color w:val="FFFFFF"/>
                <w:sz w:val="17"/>
              </w:rPr>
              <w:t>Assessment</w:t>
            </w:r>
          </w:p>
        </w:tc>
      </w:tr>
      <w:tr>
        <w:tc>
          <w:tcPr>
            <w:tcW w:type="dxa" w:w="3331"/>
            <w:tcMar>
              <w:top w:w="90" w:type="dxa"/>
              <w:start w:w="100" w:type="dxa"/>
              <w:bottom w:w="90" w:type="dxa"/>
              <w:end w:w="100" w:type="dxa"/>
            </w:tcMar>
            <w:vAlign w:val="top"/>
          </w:tcPr>
          <w:p>
            <w:pPr>
              <w:spacing w:after="0"/>
            </w:pPr>
            <w:r>
              <w:rPr>
                <w:sz w:val="17"/>
              </w:rPr>
              <w:t>Problem definition</w:t>
            </w:r>
          </w:p>
        </w:tc>
        <w:tc>
          <w:tcPr>
            <w:tcW w:type="dxa" w:w="3331"/>
            <w:tcMar>
              <w:top w:w="90" w:type="dxa"/>
              <w:start w:w="100" w:type="dxa"/>
              <w:bottom w:w="90" w:type="dxa"/>
              <w:end w:w="100" w:type="dxa"/>
            </w:tcMar>
            <w:vAlign w:val="top"/>
          </w:tcPr>
          <w:p>
            <w:pPr>
              <w:spacing w:after="0"/>
            </w:pPr>
            <w:r>
              <w:rPr>
                <w:sz w:val="17"/>
              </w:rPr>
              <w:t>Strong</w:t>
            </w:r>
          </w:p>
        </w:tc>
        <w:tc>
          <w:tcPr>
            <w:tcW w:type="dxa" w:w="3331"/>
            <w:tcMar>
              <w:top w:w="90" w:type="dxa"/>
              <w:start w:w="100" w:type="dxa"/>
              <w:bottom w:w="90" w:type="dxa"/>
              <w:end w:w="100" w:type="dxa"/>
            </w:tcMar>
            <w:vAlign w:val="top"/>
          </w:tcPr>
          <w:p>
            <w:pPr>
              <w:spacing w:after="0"/>
            </w:pPr>
            <w:r>
              <w:rPr>
                <w:sz w:val="17"/>
              </w:rPr>
              <w:t>The standing, reflexivity, external-entry, self-model, and civilization-scale problems are clearly identified.</w:t>
            </w:r>
          </w:p>
        </w:tc>
      </w:tr>
      <w:tr>
        <w:tc>
          <w:tcPr>
            <w:tcW w:type="dxa" w:w="3331"/>
            <w:tcMar>
              <w:top w:w="90" w:type="dxa"/>
              <w:start w:w="100" w:type="dxa"/>
              <w:bottom w:w="90" w:type="dxa"/>
              <w:end w:w="100" w:type="dxa"/>
            </w:tcMar>
            <w:vAlign w:val="top"/>
            <w:shd w:fill="F4F7F8"/>
          </w:tcPr>
          <w:p>
            <w:pPr>
              <w:spacing w:after="0"/>
            </w:pPr>
            <w:r>
              <w:rPr>
                <w:sz w:val="17"/>
              </w:rPr>
              <w:t>Nonclaims and scope</w:t>
            </w:r>
          </w:p>
        </w:tc>
        <w:tc>
          <w:tcPr>
            <w:tcW w:type="dxa" w:w="3331"/>
            <w:tcMar>
              <w:top w:w="90" w:type="dxa"/>
              <w:start w:w="100" w:type="dxa"/>
              <w:bottom w:w="90" w:type="dxa"/>
              <w:end w:w="100" w:type="dxa"/>
            </w:tcMar>
            <w:vAlign w:val="top"/>
            <w:shd w:fill="F4F7F8"/>
          </w:tcPr>
          <w:p>
            <w:pPr>
              <w:spacing w:after="0"/>
            </w:pPr>
            <w:r>
              <w:rPr>
                <w:sz w:val="17"/>
              </w:rPr>
              <w:t>Promising</w:t>
            </w:r>
          </w:p>
        </w:tc>
        <w:tc>
          <w:tcPr>
            <w:tcW w:type="dxa" w:w="3331"/>
            <w:tcMar>
              <w:top w:w="90" w:type="dxa"/>
              <w:start w:w="100" w:type="dxa"/>
              <w:bottom w:w="90" w:type="dxa"/>
              <w:end w:w="100" w:type="dxa"/>
            </w:tcMar>
            <w:vAlign w:val="top"/>
            <w:shd w:fill="F4F7F8"/>
          </w:tcPr>
          <w:p>
            <w:pPr>
              <w:spacing w:after="0"/>
            </w:pPr>
            <w:r>
              <w:rPr>
                <w:sz w:val="17"/>
              </w:rPr>
              <w:t>Human governance is decentered, but the unavoidable meta-reference frame is not yet declared.</w:t>
            </w:r>
          </w:p>
        </w:tc>
      </w:tr>
      <w:tr>
        <w:tc>
          <w:tcPr>
            <w:tcW w:type="dxa" w:w="3331"/>
            <w:tcMar>
              <w:top w:w="90" w:type="dxa"/>
              <w:start w:w="100" w:type="dxa"/>
              <w:bottom w:w="90" w:type="dxa"/>
              <w:end w:w="100" w:type="dxa"/>
            </w:tcMar>
            <w:vAlign w:val="top"/>
          </w:tcPr>
          <w:p>
            <w:pPr>
              <w:spacing w:after="0"/>
            </w:pPr>
            <w:r>
              <w:rPr>
                <w:sz w:val="17"/>
              </w:rPr>
              <w:t>Core vocabulary</w:t>
            </w:r>
          </w:p>
        </w:tc>
        <w:tc>
          <w:tcPr>
            <w:tcW w:type="dxa" w:w="3331"/>
            <w:tcMar>
              <w:top w:w="90" w:type="dxa"/>
              <w:start w:w="100" w:type="dxa"/>
              <w:bottom w:w="90" w:type="dxa"/>
              <w:end w:w="100" w:type="dxa"/>
            </w:tcMar>
            <w:vAlign w:val="top"/>
          </w:tcPr>
          <w:p>
            <w:pPr>
              <w:spacing w:after="0"/>
            </w:pPr>
            <w:r>
              <w:rPr>
                <w:sz w:val="17"/>
              </w:rPr>
              <w:t>Immature</w:t>
            </w:r>
          </w:p>
        </w:tc>
        <w:tc>
          <w:tcPr>
            <w:tcW w:type="dxa" w:w="3331"/>
            <w:tcMar>
              <w:top w:w="90" w:type="dxa"/>
              <w:start w:w="100" w:type="dxa"/>
              <w:bottom w:w="90" w:type="dxa"/>
              <w:end w:w="100" w:type="dxa"/>
            </w:tcMar>
            <w:vAlign w:val="top"/>
          </w:tcPr>
          <w:p>
            <w:pPr>
              <w:spacing w:after="0"/>
            </w:pPr>
            <w:r>
              <w:rPr>
                <w:sz w:val="17"/>
              </w:rPr>
              <w:t>Key terms remain intuitive and overlap.</w:t>
            </w:r>
          </w:p>
        </w:tc>
      </w:tr>
      <w:tr>
        <w:tc>
          <w:tcPr>
            <w:tcW w:type="dxa" w:w="3331"/>
            <w:tcMar>
              <w:top w:w="90" w:type="dxa"/>
              <w:start w:w="100" w:type="dxa"/>
              <w:bottom w:w="90" w:type="dxa"/>
              <w:end w:w="100" w:type="dxa"/>
            </w:tcMar>
            <w:vAlign w:val="top"/>
            <w:shd w:fill="F4F7F8"/>
          </w:tcPr>
          <w:p>
            <w:pPr>
              <w:spacing w:after="0"/>
            </w:pPr>
            <w:r>
              <w:rPr>
                <w:sz w:val="17"/>
              </w:rPr>
              <w:t>Authority model</w:t>
            </w:r>
          </w:p>
        </w:tc>
        <w:tc>
          <w:tcPr>
            <w:tcW w:type="dxa" w:w="3331"/>
            <w:tcMar>
              <w:top w:w="90" w:type="dxa"/>
              <w:start w:w="100" w:type="dxa"/>
              <w:bottom w:w="90" w:type="dxa"/>
              <w:end w:w="100" w:type="dxa"/>
            </w:tcMar>
            <w:vAlign w:val="top"/>
            <w:shd w:fill="F4F7F8"/>
          </w:tcPr>
          <w:p>
            <w:pPr>
              <w:spacing w:after="0"/>
            </w:pPr>
            <w:r>
              <w:rPr>
                <w:sz w:val="17"/>
              </w:rPr>
              <w:t>Promising</w:t>
            </w:r>
          </w:p>
        </w:tc>
        <w:tc>
          <w:tcPr>
            <w:tcW w:type="dxa" w:w="3331"/>
            <w:tcMar>
              <w:top w:w="90" w:type="dxa"/>
              <w:start w:w="100" w:type="dxa"/>
              <w:bottom w:w="90" w:type="dxa"/>
              <w:end w:w="100" w:type="dxa"/>
            </w:tcMar>
            <w:vAlign w:val="top"/>
            <w:shd w:fill="F4F7F8"/>
          </w:tcPr>
          <w:p>
            <w:pPr>
              <w:spacing w:after="0"/>
            </w:pPr>
            <w:r>
              <w:rPr>
                <w:sz w:val="17"/>
              </w:rPr>
              <w:t>Gradients are proposed, but permissions, issuers, revocation, appeals, and enforcement are not defined.</w:t>
            </w:r>
          </w:p>
        </w:tc>
      </w:tr>
      <w:tr>
        <w:tc>
          <w:tcPr>
            <w:tcW w:type="dxa" w:w="3331"/>
            <w:tcMar>
              <w:top w:w="90" w:type="dxa"/>
              <w:start w:w="100" w:type="dxa"/>
              <w:bottom w:w="90" w:type="dxa"/>
              <w:end w:w="100" w:type="dxa"/>
            </w:tcMar>
            <w:vAlign w:val="top"/>
          </w:tcPr>
          <w:p>
            <w:pPr>
              <w:spacing w:after="0"/>
            </w:pPr>
            <w:r>
              <w:rPr>
                <w:sz w:val="17"/>
              </w:rPr>
              <w:t>Epistemic method</w:t>
            </w:r>
          </w:p>
        </w:tc>
        <w:tc>
          <w:tcPr>
            <w:tcW w:type="dxa" w:w="3331"/>
            <w:tcMar>
              <w:top w:w="90" w:type="dxa"/>
              <w:start w:w="100" w:type="dxa"/>
              <w:bottom w:w="90" w:type="dxa"/>
              <w:end w:w="100" w:type="dxa"/>
            </w:tcMar>
            <w:vAlign w:val="top"/>
          </w:tcPr>
          <w:p>
            <w:pPr>
              <w:spacing w:after="0"/>
            </w:pPr>
            <w:r>
              <w:rPr>
                <w:sz w:val="17"/>
              </w:rPr>
              <w:t>Immature</w:t>
            </w:r>
          </w:p>
        </w:tc>
        <w:tc>
          <w:tcPr>
            <w:tcW w:type="dxa" w:w="3331"/>
            <w:tcMar>
              <w:top w:w="90" w:type="dxa"/>
              <w:start w:w="100" w:type="dxa"/>
              <w:bottom w:w="90" w:type="dxa"/>
              <w:end w:w="100" w:type="dxa"/>
            </w:tcMar>
            <w:vAlign w:val="top"/>
          </w:tcPr>
          <w:p>
            <w:pPr>
              <w:spacing w:after="0"/>
            </w:pPr>
            <w:r>
              <w:rPr>
                <w:sz w:val="17"/>
              </w:rPr>
              <w:t>No admissibility crosswalk, evidence grading, falsification rules, or calibration process.</w:t>
            </w:r>
          </w:p>
        </w:tc>
      </w:tr>
      <w:tr>
        <w:tc>
          <w:tcPr>
            <w:tcW w:type="dxa" w:w="3331"/>
            <w:tcMar>
              <w:top w:w="90" w:type="dxa"/>
              <w:start w:w="100" w:type="dxa"/>
              <w:bottom w:w="90" w:type="dxa"/>
              <w:end w:w="100" w:type="dxa"/>
            </w:tcMar>
            <w:vAlign w:val="top"/>
            <w:shd w:fill="F4F7F8"/>
          </w:tcPr>
          <w:p>
            <w:pPr>
              <w:spacing w:after="0"/>
            </w:pPr>
            <w:r>
              <w:rPr>
                <w:sz w:val="17"/>
              </w:rPr>
              <w:t>Ethics and legitimacy</w:t>
            </w:r>
          </w:p>
        </w:tc>
        <w:tc>
          <w:tcPr>
            <w:tcW w:type="dxa" w:w="3331"/>
            <w:tcMar>
              <w:top w:w="90" w:type="dxa"/>
              <w:start w:w="100" w:type="dxa"/>
              <w:bottom w:w="90" w:type="dxa"/>
              <w:end w:w="100" w:type="dxa"/>
            </w:tcMar>
            <w:vAlign w:val="top"/>
            <w:shd w:fill="F4F7F8"/>
          </w:tcPr>
          <w:p>
            <w:pPr>
              <w:spacing w:after="0"/>
            </w:pPr>
            <w:r>
              <w:rPr>
                <w:sz w:val="17"/>
              </w:rPr>
              <w:t>Exploratory</w:t>
            </w:r>
          </w:p>
        </w:tc>
        <w:tc>
          <w:tcPr>
            <w:tcW w:type="dxa" w:w="3331"/>
            <w:tcMar>
              <w:top w:w="90" w:type="dxa"/>
              <w:start w:w="100" w:type="dxa"/>
              <w:bottom w:w="90" w:type="dxa"/>
              <w:end w:w="100" w:type="dxa"/>
            </w:tcMar>
            <w:vAlign w:val="top"/>
            <w:shd w:fill="F4F7F8"/>
          </w:tcPr>
          <w:p>
            <w:pPr>
              <w:spacing w:after="0"/>
            </w:pPr>
            <w:r>
              <w:rPr>
                <w:sz w:val="17"/>
              </w:rPr>
              <w:t>Competing bases of standing are recognized but not resolved or modeled systematically.</w:t>
            </w:r>
          </w:p>
        </w:tc>
      </w:tr>
      <w:tr>
        <w:tc>
          <w:tcPr>
            <w:tcW w:type="dxa" w:w="3331"/>
            <w:tcMar>
              <w:top w:w="90" w:type="dxa"/>
              <w:start w:w="100" w:type="dxa"/>
              <w:bottom w:w="90" w:type="dxa"/>
              <w:end w:w="100" w:type="dxa"/>
            </w:tcMar>
            <w:vAlign w:val="top"/>
          </w:tcPr>
          <w:p>
            <w:pPr>
              <w:spacing w:after="0"/>
            </w:pPr>
            <w:r>
              <w:rPr>
                <w:sz w:val="17"/>
              </w:rPr>
              <w:t>Civilization threshold</w:t>
            </w:r>
          </w:p>
        </w:tc>
        <w:tc>
          <w:tcPr>
            <w:tcW w:type="dxa" w:w="3331"/>
            <w:tcMar>
              <w:top w:w="90" w:type="dxa"/>
              <w:start w:w="100" w:type="dxa"/>
              <w:bottom w:w="90" w:type="dxa"/>
              <w:end w:w="100" w:type="dxa"/>
            </w:tcMar>
            <w:vAlign w:val="top"/>
          </w:tcPr>
          <w:p>
            <w:pPr>
              <w:spacing w:after="0"/>
            </w:pPr>
            <w:r>
              <w:rPr>
                <w:sz w:val="17"/>
              </w:rPr>
              <w:t>Conceptual</w:t>
            </w:r>
          </w:p>
        </w:tc>
        <w:tc>
          <w:tcPr>
            <w:tcW w:type="dxa" w:w="3331"/>
            <w:tcMar>
              <w:top w:w="90" w:type="dxa"/>
              <w:start w:w="100" w:type="dxa"/>
              <w:bottom w:w="90" w:type="dxa"/>
              <w:end w:w="100" w:type="dxa"/>
            </w:tcMar>
            <w:vAlign w:val="top"/>
          </w:tcPr>
          <w:p>
            <w:pPr>
              <w:spacing w:after="0"/>
            </w:pPr>
            <w:r>
              <w:rPr>
                <w:sz w:val="17"/>
              </w:rPr>
              <w:t>Strong dimensions, no validated trigger logic, anti-gaming process, or emergency protocol.</w:t>
            </w:r>
          </w:p>
        </w:tc>
      </w:tr>
      <w:tr>
        <w:tc>
          <w:tcPr>
            <w:tcW w:type="dxa" w:w="3331"/>
            <w:tcMar>
              <w:top w:w="90" w:type="dxa"/>
              <w:start w:w="100" w:type="dxa"/>
              <w:bottom w:w="90" w:type="dxa"/>
              <w:end w:w="100" w:type="dxa"/>
            </w:tcMar>
            <w:vAlign w:val="top"/>
            <w:shd w:fill="F4F7F8"/>
          </w:tcPr>
          <w:p>
            <w:pPr>
              <w:spacing w:after="0"/>
            </w:pPr>
            <w:r>
              <w:rPr>
                <w:sz w:val="17"/>
              </w:rPr>
              <w:t>Reflexive audit</w:t>
            </w:r>
          </w:p>
        </w:tc>
        <w:tc>
          <w:tcPr>
            <w:tcW w:type="dxa" w:w="3331"/>
            <w:tcMar>
              <w:top w:w="90" w:type="dxa"/>
              <w:start w:w="100" w:type="dxa"/>
              <w:bottom w:w="90" w:type="dxa"/>
              <w:end w:w="100" w:type="dxa"/>
            </w:tcMar>
            <w:vAlign w:val="top"/>
            <w:shd w:fill="F4F7F8"/>
          </w:tcPr>
          <w:p>
            <w:pPr>
              <w:spacing w:after="0"/>
            </w:pPr>
            <w:r>
              <w:rPr>
                <w:sz w:val="17"/>
              </w:rPr>
              <w:t>Conceptual</w:t>
            </w:r>
          </w:p>
        </w:tc>
        <w:tc>
          <w:tcPr>
            <w:tcW w:type="dxa" w:w="3331"/>
            <w:tcMar>
              <w:top w:w="90" w:type="dxa"/>
              <w:start w:w="100" w:type="dxa"/>
              <w:bottom w:w="90" w:type="dxa"/>
              <w:end w:w="100" w:type="dxa"/>
            </w:tcMar>
            <w:vAlign w:val="top"/>
            <w:shd w:fill="F4F7F8"/>
          </w:tcPr>
          <w:p>
            <w:pPr>
              <w:spacing w:after="0"/>
            </w:pPr>
            <w:r>
              <w:rPr>
                <w:sz w:val="17"/>
              </w:rPr>
              <w:t>Correctly required, not yet institutionally implemented.</w:t>
            </w:r>
          </w:p>
        </w:tc>
      </w:tr>
      <w:tr>
        <w:tc>
          <w:tcPr>
            <w:tcW w:type="dxa" w:w="3331"/>
            <w:tcMar>
              <w:top w:w="90" w:type="dxa"/>
              <w:start w:w="100" w:type="dxa"/>
              <w:bottom w:w="90" w:type="dxa"/>
              <w:end w:w="100" w:type="dxa"/>
            </w:tcMar>
            <w:vAlign w:val="top"/>
          </w:tcPr>
          <w:p>
            <w:pPr>
              <w:spacing w:after="0"/>
            </w:pPr>
            <w:r>
              <w:rPr>
                <w:sz w:val="17"/>
              </w:rPr>
              <w:t>Simulation program</w:t>
            </w:r>
          </w:p>
        </w:tc>
        <w:tc>
          <w:tcPr>
            <w:tcW w:type="dxa" w:w="3331"/>
            <w:tcMar>
              <w:top w:w="90" w:type="dxa"/>
              <w:start w:w="100" w:type="dxa"/>
              <w:bottom w:w="90" w:type="dxa"/>
              <w:end w:w="100" w:type="dxa"/>
            </w:tcMar>
            <w:vAlign w:val="top"/>
          </w:tcPr>
          <w:p>
            <w:pPr>
              <w:spacing w:after="0"/>
            </w:pPr>
            <w:r>
              <w:rPr>
                <w:sz w:val="17"/>
              </w:rPr>
              <w:t>Not designed</w:t>
            </w:r>
          </w:p>
        </w:tc>
        <w:tc>
          <w:tcPr>
            <w:tcW w:type="dxa" w:w="3331"/>
            <w:tcMar>
              <w:top w:w="90" w:type="dxa"/>
              <w:start w:w="100" w:type="dxa"/>
              <w:bottom w:w="90" w:type="dxa"/>
              <w:end w:w="100" w:type="dxa"/>
            </w:tcMar>
            <w:vAlign w:val="top"/>
          </w:tcPr>
          <w:p>
            <w:pPr>
              <w:spacing w:after="0"/>
            </w:pPr>
            <w:r>
              <w:rPr>
                <w:sz w:val="17"/>
              </w:rPr>
              <w:t>No scenario schema, variables, controls, metrics, or replication plan.</w:t>
            </w:r>
          </w:p>
        </w:tc>
      </w:tr>
      <w:tr>
        <w:tc>
          <w:tcPr>
            <w:tcW w:type="dxa" w:w="3331"/>
            <w:tcMar>
              <w:top w:w="90" w:type="dxa"/>
              <w:start w:w="100" w:type="dxa"/>
              <w:bottom w:w="90" w:type="dxa"/>
              <w:end w:w="100" w:type="dxa"/>
            </w:tcMar>
            <w:vAlign w:val="top"/>
            <w:shd w:fill="F4F7F8"/>
          </w:tcPr>
          <w:p>
            <w:pPr>
              <w:spacing w:after="0"/>
            </w:pPr>
            <w:r>
              <w:rPr>
                <w:sz w:val="17"/>
              </w:rPr>
              <w:t>External authority</w:t>
            </w:r>
          </w:p>
        </w:tc>
        <w:tc>
          <w:tcPr>
            <w:tcW w:type="dxa" w:w="3331"/>
            <w:tcMar>
              <w:top w:w="90" w:type="dxa"/>
              <w:start w:w="100" w:type="dxa"/>
              <w:bottom w:w="90" w:type="dxa"/>
              <w:end w:w="100" w:type="dxa"/>
            </w:tcMar>
            <w:vAlign w:val="top"/>
            <w:shd w:fill="F4F7F8"/>
          </w:tcPr>
          <w:p>
            <w:pPr>
              <w:spacing w:after="0"/>
            </w:pPr>
            <w:r>
              <w:rPr>
                <w:sz w:val="17"/>
              </w:rPr>
              <w:t>None</w:t>
            </w:r>
          </w:p>
        </w:tc>
        <w:tc>
          <w:tcPr>
            <w:tcW w:type="dxa" w:w="3331"/>
            <w:tcMar>
              <w:top w:w="90" w:type="dxa"/>
              <w:start w:w="100" w:type="dxa"/>
              <w:bottom w:w="90" w:type="dxa"/>
              <w:end w:w="100" w:type="dxa"/>
            </w:tcMar>
            <w:vAlign w:val="top"/>
            <w:shd w:fill="F4F7F8"/>
          </w:tcPr>
          <w:p>
            <w:pPr>
              <w:spacing w:after="0"/>
            </w:pPr>
            <w:r>
              <w:rPr>
                <w:sz w:val="17"/>
              </w:rPr>
              <w:t>OAL can analyze its own constructs; it has no presumed jurisdiction over external systems.</w:t>
            </w:r>
          </w:p>
        </w:tc>
      </w:tr>
      <w:tr>
        <w:tc>
          <w:tcPr>
            <w:tcW w:type="dxa" w:w="3331"/>
            <w:tcMar>
              <w:top w:w="90" w:type="dxa"/>
              <w:start w:w="100" w:type="dxa"/>
              <w:bottom w:w="90" w:type="dxa"/>
              <w:end w:w="100" w:type="dxa"/>
            </w:tcMar>
            <w:vAlign w:val="top"/>
          </w:tcPr>
          <w:p>
            <w:pPr>
              <w:spacing w:after="0"/>
            </w:pPr>
            <w:r>
              <w:rPr>
                <w:sz w:val="17"/>
              </w:rPr>
              <w:t>Publication readiness</w:t>
            </w:r>
          </w:p>
        </w:tc>
        <w:tc>
          <w:tcPr>
            <w:tcW w:type="dxa" w:w="3331"/>
            <w:tcMar>
              <w:top w:w="90" w:type="dxa"/>
              <w:start w:w="100" w:type="dxa"/>
              <w:bottom w:w="90" w:type="dxa"/>
              <w:end w:w="100" w:type="dxa"/>
            </w:tcMar>
            <w:vAlign w:val="top"/>
          </w:tcPr>
          <w:p>
            <w:pPr>
              <w:spacing w:after="0"/>
            </w:pPr>
            <w:r>
              <w:rPr>
                <w:sz w:val="17"/>
              </w:rPr>
              <w:t>Conditional</w:t>
            </w:r>
          </w:p>
        </w:tc>
        <w:tc>
          <w:tcPr>
            <w:tcW w:type="dxa" w:w="3331"/>
            <w:tcMar>
              <w:top w:w="90" w:type="dxa"/>
              <w:start w:w="100" w:type="dxa"/>
              <w:bottom w:w="90" w:type="dxa"/>
              <w:end w:w="100" w:type="dxa"/>
            </w:tcMar>
            <w:vAlign w:val="top"/>
          </w:tcPr>
          <w:p>
            <w:pPr>
              <w:spacing w:after="0"/>
            </w:pPr>
            <w:r>
              <w:rPr>
                <w:sz w:val="17"/>
              </w:rPr>
              <w:t>Ready as a transparent research proposal, not as governing doctrine or validated laboratory protocol.</w:t>
            </w:r>
          </w:p>
        </w:tc>
      </w:tr>
    </w:tbl>
    <w:p>
      <w:pPr>
        <w:spacing w:after="40"/>
        <w:widowControl/>
      </w:pPr>
    </w:p>
    <w:p>
      <w:pPr>
        <w:spacing w:after="140"/>
        <w:widowControl/>
      </w:pPr>
      <w:r>
        <w:rPr>
          <w:i w:val="0"/>
        </w:rPr>
        <w:t>The appropriate maturity label is therefore: **pre-protocol conceptual research architecture**. It is beyond a loose idea but below charter, methodology, experiment, and doctrine. In a staged development model, it sits between problem framing and formal specification.</w:t>
      </w:r>
    </w:p>
    <w:p>
      <w:pPr>
        <w:pStyle w:val="Heading1"/>
        <w:keepNext/>
        <w:widowControl/>
      </w:pPr>
      <w:r>
        <w:t>Alternative Analyses</w:t>
      </w:r>
    </w:p>
    <w:p>
      <w:pPr>
        <w:pStyle w:val="Heading2"/>
        <w:keepNext/>
        <w:widowControl/>
      </w:pPr>
      <w:r>
        <w:t>Governance as constraint topology</w:t>
      </w:r>
    </w:p>
    <w:p>
      <w:pPr>
        <w:spacing w:after="140"/>
        <w:widowControl/>
      </w:pPr>
      <w:r>
        <w:rPr>
          <w:i w:val="0"/>
        </w:rPr>
        <w:t>Instead of beginning with rulers and rules, define governance as the topology of permitted, prevented, incentivized, and consequential state transitions. Authority becomes a capacity—recognized or imposed—to alter that topology. This model is better suited to protocols, infrastructures, simulations, machine collectives, and environmental systems. Its risk is reductionism: lived meaning, legitimacy, and identity can disappear into control diagrams.</w:t>
      </w:r>
    </w:p>
    <w:p>
      <w:pPr>
        <w:pStyle w:val="Heading2"/>
        <w:keepNext/>
        <w:widowControl/>
      </w:pPr>
      <w:r>
        <w:t>Governance as recursive regulation</w:t>
      </w:r>
    </w:p>
    <w:p>
      <w:pPr>
        <w:spacing w:after="140"/>
        <w:widowControl/>
      </w:pPr>
      <w:r>
        <w:rPr>
          <w:i w:val="0"/>
        </w:rPr>
        <w:t>A cybernetic interpretation asks how a system senses deviation, compares actual state with desired state, selects correction, and learns from outcomes. This directly addresses self-reference and monitoring failure. Its risk is assuming the system has a coherent objective; many systems contain competing goals, disputed state descriptions, and actors who benefit from error.</w:t>
      </w:r>
    </w:p>
    <w:p>
      <w:pPr>
        <w:pStyle w:val="Heading2"/>
        <w:keepNext/>
        <w:widowControl/>
      </w:pPr>
      <w:r>
        <w:t>Polycentric governance</w:t>
      </w:r>
    </w:p>
    <w:p>
      <w:pPr>
        <w:spacing w:after="140"/>
        <w:widowControl/>
      </w:pPr>
      <w:r>
        <w:rPr>
          <w:i w:val="0"/>
        </w:rPr>
        <w:t>A polycentric model avoids forcing every case into a single hierarchy. Polycentric governance describes multiple formally independent or substantially autonomous decision centers interacting through cooperation, competition, conflict, and conflict resolution. Ostrom’s work also emphasizes nested layers, locally understood boundaries, participation by affected users, monitoring, graduated sanctions, and accessible conflict resolution. These are human-derived findings, but they provide testable architectural alternatives to unitary command. (Indiana University Digital Library of the Commons, Ostrom and related polycentric governance materials.)</w:t>
      </w:r>
    </w:p>
    <w:p>
      <w:pPr>
        <w:pStyle w:val="Heading2"/>
        <w:keepNext/>
        <w:widowControl/>
      </w:pPr>
      <w:r>
        <w:t>Governance as protocol</w:t>
      </w:r>
    </w:p>
    <w:p>
      <w:pPr>
        <w:spacing w:after="140"/>
        <w:widowControl/>
      </w:pPr>
      <w:r>
        <w:rPr>
          <w:i w:val="0"/>
        </w:rPr>
        <w:t>For synthetic or simulated systems, governance may be better represented as permissions, authentication, resource allocation, update authority, exception handling, and fork rules. The relevant questions become who can modify the protocol, who validates changes, who can exit or fork, and whether infrastructure owners possess hidden override powers. This makes de facto authority visible even when no actor claims to govern.</w:t>
      </w:r>
    </w:p>
    <w:p>
      <w:pPr>
        <w:pStyle w:val="Heading2"/>
        <w:keepNext/>
        <w:widowControl/>
      </w:pPr>
      <w:r>
        <w:t>Governance as ecology</w:t>
      </w:r>
    </w:p>
    <w:p>
      <w:pPr>
        <w:spacing w:after="140"/>
        <w:widowControl/>
      </w:pPr>
      <w:r>
        <w:rPr>
          <w:i w:val="0"/>
        </w:rPr>
        <w:t>Some systems may coordinate through interdependence rather than commands. Authority may emerge from control over energy, habitat, reproduction, information channels, or symbiotic dependencies. An ecological analysis looks at resilience, dominance, dependency, succession, and externalities rather than legitimacy alone. Its risk is naturalizing avoidable coercion by describing it as ecology.</w:t>
      </w:r>
    </w:p>
    <w:p>
      <w:pPr>
        <w:pStyle w:val="Heading2"/>
        <w:keepNext/>
        <w:widowControl/>
      </w:pPr>
      <w:r>
        <w:t>Review as translation</w:t>
      </w:r>
    </w:p>
    <w:p>
      <w:pPr>
        <w:spacing w:after="140"/>
        <w:widowControl/>
      </w:pPr>
      <w:r>
        <w:rPr>
          <w:i w:val="0"/>
        </w:rPr>
        <w:t>External review can be modeled not as judgment but as translation between internal and external descriptions. The reviewer produces multiple accounts: the system’s own account, affected entities’ accounts, observed behavior, and the reviewer’s model. Contradictions remain visible. This reduces premature judgment but does not eliminate the need to choose when consequences cross boundaries.</w:t>
      </w:r>
    </w:p>
    <w:p>
      <w:pPr>
        <w:pStyle w:val="Heading2"/>
        <w:keepNext/>
        <w:widowControl/>
      </w:pPr>
      <w:r>
        <w:t>Laboratory as constitutional experiment</w:t>
      </w:r>
    </w:p>
    <w:p>
      <w:pPr>
        <w:spacing w:after="140"/>
        <w:widowControl/>
      </w:pPr>
      <w:r>
        <w:rPr>
          <w:i w:val="0"/>
        </w:rPr>
        <w:t>The laboratory can treat its own charter as the first experimental subject. It can publish its mandate, map who is affected, identify sources of authority, run adversarial challenges, test revocation, simulate capture, and compare predicted with observed behavior. This is the safest and most informative first implementation because OAL controls the scope and can consent to review.</w:t>
      </w:r>
    </w:p>
    <w:p>
      <w:pPr>
        <w:pStyle w:val="Heading2"/>
        <w:keepNext/>
        <w:widowControl/>
      </w:pPr>
      <w:r>
        <w:t>Plural baselines, not no baseline</w:t>
      </w:r>
    </w:p>
    <w:p>
      <w:pPr>
        <w:spacing w:after="140"/>
        <w:widowControl/>
      </w:pPr>
      <w:r>
        <w:rPr>
          <w:i w:val="0"/>
        </w:rPr>
        <w:t>A more credible methodological position is to use multiple declared baselines: internal coherence, affected-entity consequences, resilience, reversibility, information integrity, adaptability, distribution of risk, and capacity for correction. No baseline is universal; no composite ranking is produced unless weighting choices are explicit. Wide reflective equilibrium offers one human philosophical analogue: principles and judgments are revised against a broad range of arguments rather than treated as fixed. Again, this is an available method, not proof of universality. (Stanford Encyclopedia of Philosophy, “Reflective Equilibrium,” 2023.)</w:t>
      </w:r>
    </w:p>
    <w:p>
      <w:pPr>
        <w:pStyle w:val="Heading1"/>
        <w:keepNext/>
        <w:widowControl/>
      </w:pPr>
      <w:r>
        <w:t>Core Distinctions Required</w:t>
      </w:r>
    </w:p>
    <w:tbl>
      <w:tblPr>
        <w:tblStyle w:val="TableGrid"/>
        <w:tblW w:type="auto" w:w="0"/>
        <w:jc w:val="center"/>
        <w:tblLook w:firstColumn="1" w:firstRow="1" w:lastColumn="0" w:lastRow="0" w:noHBand="0" w:noVBand="1" w:val="04A0"/>
      </w:tblPr>
      <w:tblGrid>
        <w:gridCol w:w="4997"/>
        <w:gridCol w:w="4997"/>
      </w:tblGrid>
      <w:tr>
        <w:tc>
          <w:tcPr>
            <w:tcW w:type="dxa" w:w="4997"/>
            <w:shd w:fill="17233B"/>
            <w:tcMar>
              <w:top w:w="100" w:type="dxa"/>
              <w:start w:w="100" w:type="dxa"/>
              <w:bottom w:w="100" w:type="dxa"/>
              <w:end w:w="100" w:type="dxa"/>
            </w:tcMar>
            <w:vAlign w:val="center"/>
          </w:tcPr>
          <w:p>
            <w:pPr>
              <w:jc w:val="center"/>
            </w:pPr>
            <w:r>
              <w:rPr>
                <w:b/>
                <w:color w:val="FFFFFF"/>
                <w:sz w:val="17"/>
              </w:rPr>
              <w:t>Do not collapse</w:t>
            </w:r>
          </w:p>
        </w:tc>
        <w:tc>
          <w:tcPr>
            <w:tcW w:type="dxa" w:w="4997"/>
            <w:shd w:fill="17233B"/>
            <w:tcMar>
              <w:top w:w="100" w:type="dxa"/>
              <w:start w:w="100" w:type="dxa"/>
              <w:bottom w:w="100" w:type="dxa"/>
              <w:end w:w="100" w:type="dxa"/>
            </w:tcMar>
            <w:vAlign w:val="center"/>
          </w:tcPr>
          <w:p>
            <w:pPr>
              <w:jc w:val="center"/>
            </w:pPr>
            <w:r>
              <w:rPr>
                <w:b/>
                <w:color w:val="FFFFFF"/>
                <w:sz w:val="17"/>
              </w:rPr>
              <w:t>Reason</w:t>
            </w:r>
          </w:p>
        </w:tc>
      </w:tr>
      <w:tr>
        <w:tc>
          <w:tcPr>
            <w:tcW w:type="dxa" w:w="4997"/>
            <w:tcMar>
              <w:top w:w="90" w:type="dxa"/>
              <w:start w:w="100" w:type="dxa"/>
              <w:bottom w:w="90" w:type="dxa"/>
              <w:end w:w="100" w:type="dxa"/>
            </w:tcMar>
            <w:vAlign w:val="top"/>
          </w:tcPr>
          <w:p>
            <w:pPr>
              <w:spacing w:after="0"/>
            </w:pPr>
            <w:r>
              <w:rPr>
                <w:sz w:val="17"/>
              </w:rPr>
              <w:t>Power / authority / legitimacy</w:t>
            </w:r>
          </w:p>
        </w:tc>
        <w:tc>
          <w:tcPr>
            <w:tcW w:type="dxa" w:w="4997"/>
            <w:tcMar>
              <w:top w:w="90" w:type="dxa"/>
              <w:start w:w="100" w:type="dxa"/>
              <w:bottom w:w="90" w:type="dxa"/>
              <w:end w:w="100" w:type="dxa"/>
            </w:tcMar>
            <w:vAlign w:val="top"/>
          </w:tcPr>
          <w:p>
            <w:pPr>
              <w:spacing w:after="0"/>
            </w:pPr>
            <w:r>
              <w:rPr>
                <w:sz w:val="17"/>
              </w:rPr>
              <w:t>Capacity to produce an outcome, recognized standing, and justified rule can diverge.</w:t>
            </w:r>
          </w:p>
        </w:tc>
      </w:tr>
      <w:tr>
        <w:tc>
          <w:tcPr>
            <w:tcW w:type="dxa" w:w="4997"/>
            <w:tcMar>
              <w:top w:w="90" w:type="dxa"/>
              <w:start w:w="100" w:type="dxa"/>
              <w:bottom w:w="90" w:type="dxa"/>
              <w:end w:w="100" w:type="dxa"/>
            </w:tcMar>
            <w:vAlign w:val="top"/>
            <w:shd w:fill="F4F7F8"/>
          </w:tcPr>
          <w:p>
            <w:pPr>
              <w:spacing w:after="0"/>
            </w:pPr>
            <w:r>
              <w:rPr>
                <w:sz w:val="17"/>
              </w:rPr>
              <w:t>Observation / collection</w:t>
            </w:r>
          </w:p>
        </w:tc>
        <w:tc>
          <w:tcPr>
            <w:tcW w:type="dxa" w:w="4997"/>
            <w:tcMar>
              <w:top w:w="90" w:type="dxa"/>
              <w:start w:w="100" w:type="dxa"/>
              <w:bottom w:w="90" w:type="dxa"/>
              <w:end w:w="100" w:type="dxa"/>
            </w:tcMar>
            <w:vAlign w:val="top"/>
            <w:shd w:fill="F4F7F8"/>
          </w:tcPr>
          <w:p>
            <w:pPr>
              <w:spacing w:after="0"/>
            </w:pPr>
            <w:r>
              <w:rPr>
                <w:sz w:val="17"/>
              </w:rPr>
              <w:t>Seeing a signal is not the same as being entitled to acquire, retain, or correlate it.</w:t>
            </w:r>
          </w:p>
        </w:tc>
      </w:tr>
      <w:tr>
        <w:tc>
          <w:tcPr>
            <w:tcW w:type="dxa" w:w="4997"/>
            <w:tcMar>
              <w:top w:w="90" w:type="dxa"/>
              <w:start w:w="100" w:type="dxa"/>
              <w:bottom w:w="90" w:type="dxa"/>
              <w:end w:w="100" w:type="dxa"/>
            </w:tcMar>
            <w:vAlign w:val="top"/>
          </w:tcPr>
          <w:p>
            <w:pPr>
              <w:spacing w:after="0"/>
            </w:pPr>
            <w:r>
              <w:rPr>
                <w:sz w:val="17"/>
              </w:rPr>
              <w:t>Model / system</w:t>
            </w:r>
          </w:p>
        </w:tc>
        <w:tc>
          <w:tcPr>
            <w:tcW w:type="dxa" w:w="4997"/>
            <w:tcMar>
              <w:top w:w="90" w:type="dxa"/>
              <w:start w:w="100" w:type="dxa"/>
              <w:bottom w:w="90" w:type="dxa"/>
              <w:end w:w="100" w:type="dxa"/>
            </w:tcMar>
            <w:vAlign w:val="top"/>
          </w:tcPr>
          <w:p>
            <w:pPr>
              <w:spacing w:after="0"/>
            </w:pPr>
            <w:r>
              <w:rPr>
                <w:sz w:val="17"/>
              </w:rPr>
              <w:t>A representation may omit variables, encode the reviewer’s ontology, or become stale.</w:t>
            </w:r>
          </w:p>
        </w:tc>
      </w:tr>
      <w:tr>
        <w:tc>
          <w:tcPr>
            <w:tcW w:type="dxa" w:w="4997"/>
            <w:tcMar>
              <w:top w:w="90" w:type="dxa"/>
              <w:start w:w="100" w:type="dxa"/>
              <w:bottom w:w="90" w:type="dxa"/>
              <w:end w:w="100" w:type="dxa"/>
            </w:tcMar>
            <w:vAlign w:val="top"/>
            <w:shd w:fill="F4F7F8"/>
          </w:tcPr>
          <w:p>
            <w:pPr>
              <w:spacing w:after="0"/>
            </w:pPr>
            <w:r>
              <w:rPr>
                <w:sz w:val="17"/>
              </w:rPr>
              <w:t>Understanding / jurisdiction</w:t>
            </w:r>
          </w:p>
        </w:tc>
        <w:tc>
          <w:tcPr>
            <w:tcW w:type="dxa" w:w="4997"/>
            <w:tcMar>
              <w:top w:w="90" w:type="dxa"/>
              <w:start w:w="100" w:type="dxa"/>
              <w:bottom w:w="90" w:type="dxa"/>
              <w:end w:w="100" w:type="dxa"/>
            </w:tcMar>
            <w:vAlign w:val="top"/>
            <w:shd w:fill="F4F7F8"/>
          </w:tcPr>
          <w:p>
            <w:pPr>
              <w:spacing w:after="0"/>
            </w:pPr>
            <w:r>
              <w:rPr>
                <w:sz w:val="17"/>
              </w:rPr>
              <w:t>Correct interpretation does not create a right to command.</w:t>
            </w:r>
          </w:p>
        </w:tc>
      </w:tr>
      <w:tr>
        <w:tc>
          <w:tcPr>
            <w:tcW w:type="dxa" w:w="4997"/>
            <w:tcMar>
              <w:top w:w="90" w:type="dxa"/>
              <w:start w:w="100" w:type="dxa"/>
              <w:bottom w:w="90" w:type="dxa"/>
              <w:end w:w="100" w:type="dxa"/>
            </w:tcMar>
            <w:vAlign w:val="top"/>
          </w:tcPr>
          <w:p>
            <w:pPr>
              <w:spacing w:after="0"/>
            </w:pPr>
            <w:r>
              <w:rPr>
                <w:sz w:val="17"/>
              </w:rPr>
              <w:t>Review / judgment</w:t>
            </w:r>
          </w:p>
        </w:tc>
        <w:tc>
          <w:tcPr>
            <w:tcW w:type="dxa" w:w="4997"/>
            <w:tcMar>
              <w:top w:w="90" w:type="dxa"/>
              <w:start w:w="100" w:type="dxa"/>
              <w:bottom w:w="90" w:type="dxa"/>
              <w:end w:w="100" w:type="dxa"/>
            </w:tcMar>
            <w:vAlign w:val="top"/>
          </w:tcPr>
          <w:p>
            <w:pPr>
              <w:spacing w:after="0"/>
            </w:pPr>
            <w:r>
              <w:rPr>
                <w:sz w:val="17"/>
              </w:rPr>
              <w:t>Review can identify conditions without issuing a binding determination.</w:t>
            </w:r>
          </w:p>
        </w:tc>
      </w:tr>
      <w:tr>
        <w:tc>
          <w:tcPr>
            <w:tcW w:type="dxa" w:w="4997"/>
            <w:tcMar>
              <w:top w:w="90" w:type="dxa"/>
              <w:start w:w="100" w:type="dxa"/>
              <w:bottom w:w="90" w:type="dxa"/>
              <w:end w:w="100" w:type="dxa"/>
            </w:tcMar>
            <w:vAlign w:val="top"/>
            <w:shd w:fill="F4F7F8"/>
          </w:tcPr>
          <w:p>
            <w:pPr>
              <w:spacing w:after="0"/>
            </w:pPr>
            <w:r>
              <w:rPr>
                <w:sz w:val="17"/>
              </w:rPr>
              <w:t>Judgment / intervention</w:t>
            </w:r>
          </w:p>
        </w:tc>
        <w:tc>
          <w:tcPr>
            <w:tcW w:type="dxa" w:w="4997"/>
            <w:tcMar>
              <w:top w:w="90" w:type="dxa"/>
              <w:start w:w="100" w:type="dxa"/>
              <w:bottom w:w="90" w:type="dxa"/>
              <w:end w:w="100" w:type="dxa"/>
            </w:tcMar>
            <w:vAlign w:val="top"/>
            <w:shd w:fill="F4F7F8"/>
          </w:tcPr>
          <w:p>
            <w:pPr>
              <w:spacing w:after="0"/>
            </w:pPr>
            <w:r>
              <w:rPr>
                <w:sz w:val="17"/>
              </w:rPr>
              <w:t>A valid finding does not itself authorize coercion.</w:t>
            </w:r>
          </w:p>
        </w:tc>
      </w:tr>
      <w:tr>
        <w:tc>
          <w:tcPr>
            <w:tcW w:type="dxa" w:w="4997"/>
            <w:tcMar>
              <w:top w:w="90" w:type="dxa"/>
              <w:start w:w="100" w:type="dxa"/>
              <w:bottom w:w="90" w:type="dxa"/>
              <w:end w:w="100" w:type="dxa"/>
            </w:tcMar>
            <w:vAlign w:val="top"/>
          </w:tcPr>
          <w:p>
            <w:pPr>
              <w:spacing w:after="0"/>
            </w:pPr>
            <w:r>
              <w:rPr>
                <w:sz w:val="17"/>
              </w:rPr>
              <w:t>Emergency / sovereignty</w:t>
            </w:r>
          </w:p>
        </w:tc>
        <w:tc>
          <w:tcPr>
            <w:tcW w:type="dxa" w:w="4997"/>
            <w:tcMar>
              <w:top w:w="90" w:type="dxa"/>
              <w:start w:w="100" w:type="dxa"/>
              <w:bottom w:w="90" w:type="dxa"/>
              <w:end w:w="100" w:type="dxa"/>
            </w:tcMar>
            <w:vAlign w:val="top"/>
          </w:tcPr>
          <w:p>
            <w:pPr>
              <w:spacing w:after="0"/>
            </w:pPr>
            <w:r>
              <w:rPr>
                <w:sz w:val="17"/>
              </w:rPr>
              <w:t>Temporary protective action must not silently create permanent rule.</w:t>
            </w:r>
          </w:p>
        </w:tc>
      </w:tr>
      <w:tr>
        <w:tc>
          <w:tcPr>
            <w:tcW w:type="dxa" w:w="4997"/>
            <w:tcMar>
              <w:top w:w="90" w:type="dxa"/>
              <w:start w:w="100" w:type="dxa"/>
              <w:bottom w:w="90" w:type="dxa"/>
              <w:end w:w="100" w:type="dxa"/>
            </w:tcMar>
            <w:vAlign w:val="top"/>
            <w:shd w:fill="F4F7F8"/>
          </w:tcPr>
          <w:p>
            <w:pPr>
              <w:spacing w:after="0"/>
            </w:pPr>
            <w:r>
              <w:rPr>
                <w:sz w:val="17"/>
              </w:rPr>
              <w:t>Consent / legitimacy</w:t>
            </w:r>
          </w:p>
        </w:tc>
        <w:tc>
          <w:tcPr>
            <w:tcW w:type="dxa" w:w="4997"/>
            <w:tcMar>
              <w:top w:w="90" w:type="dxa"/>
              <w:start w:w="100" w:type="dxa"/>
              <w:bottom w:w="90" w:type="dxa"/>
              <w:end w:w="100" w:type="dxa"/>
            </w:tcMar>
            <w:vAlign w:val="top"/>
            <w:shd w:fill="F4F7F8"/>
          </w:tcPr>
          <w:p>
            <w:pPr>
              <w:spacing w:after="0"/>
            </w:pPr>
            <w:r>
              <w:rPr>
                <w:sz w:val="17"/>
              </w:rPr>
              <w:t>Consent may be absent, coerced, uninformed, nonrepresentative, or structurally impossible.</w:t>
            </w:r>
          </w:p>
        </w:tc>
      </w:tr>
      <w:tr>
        <w:tc>
          <w:tcPr>
            <w:tcW w:type="dxa" w:w="4997"/>
            <w:tcMar>
              <w:top w:w="90" w:type="dxa"/>
              <w:start w:w="100" w:type="dxa"/>
              <w:bottom w:w="90" w:type="dxa"/>
              <w:end w:w="100" w:type="dxa"/>
            </w:tcMar>
            <w:vAlign w:val="top"/>
          </w:tcPr>
          <w:p>
            <w:pPr>
              <w:spacing w:after="0"/>
            </w:pPr>
            <w:r>
              <w:rPr>
                <w:sz w:val="17"/>
              </w:rPr>
              <w:t>Internal / external standards</w:t>
            </w:r>
          </w:p>
        </w:tc>
        <w:tc>
          <w:tcPr>
            <w:tcW w:type="dxa" w:w="4997"/>
            <w:tcMar>
              <w:top w:w="90" w:type="dxa"/>
              <w:start w:w="100" w:type="dxa"/>
              <w:bottom w:w="90" w:type="dxa"/>
              <w:end w:w="100" w:type="dxa"/>
            </w:tcMar>
            <w:vAlign w:val="top"/>
          </w:tcPr>
          <w:p>
            <w:pPr>
              <w:spacing w:after="0"/>
            </w:pPr>
            <w:r>
              <w:rPr>
                <w:sz w:val="17"/>
              </w:rPr>
              <w:t>A system may satisfy its own principles while failing an affected-entity or cross-boundary test.</w:t>
            </w:r>
          </w:p>
        </w:tc>
      </w:tr>
      <w:tr>
        <w:tc>
          <w:tcPr>
            <w:tcW w:type="dxa" w:w="4997"/>
            <w:tcMar>
              <w:top w:w="90" w:type="dxa"/>
              <w:start w:w="100" w:type="dxa"/>
              <w:bottom w:w="90" w:type="dxa"/>
              <w:end w:w="100" w:type="dxa"/>
            </w:tcMar>
            <w:vAlign w:val="top"/>
            <w:shd w:fill="F4F7F8"/>
          </w:tcPr>
          <w:p>
            <w:pPr>
              <w:spacing w:after="0"/>
            </w:pPr>
            <w:r>
              <w:rPr>
                <w:sz w:val="17"/>
              </w:rPr>
              <w:t>Dissent / truth</w:t>
            </w:r>
          </w:p>
        </w:tc>
        <w:tc>
          <w:tcPr>
            <w:tcW w:type="dxa" w:w="4997"/>
            <w:tcMar>
              <w:top w:w="90" w:type="dxa"/>
              <w:start w:w="100" w:type="dxa"/>
              <w:bottom w:w="90" w:type="dxa"/>
              <w:end w:w="100" w:type="dxa"/>
            </w:tcMar>
            <w:vAlign w:val="top"/>
            <w:shd w:fill="F4F7F8"/>
          </w:tcPr>
          <w:p>
            <w:pPr>
              <w:spacing w:after="0"/>
            </w:pPr>
            <w:r>
              <w:rPr>
                <w:sz w:val="17"/>
              </w:rPr>
              <w:t>A dissenter can be wrong, captured, strategically obstructive, or working from poisoned evidence.</w:t>
            </w:r>
          </w:p>
        </w:tc>
      </w:tr>
      <w:tr>
        <w:tc>
          <w:tcPr>
            <w:tcW w:type="dxa" w:w="4997"/>
            <w:tcMar>
              <w:top w:w="90" w:type="dxa"/>
              <w:start w:w="100" w:type="dxa"/>
              <w:bottom w:w="90" w:type="dxa"/>
              <w:end w:w="100" w:type="dxa"/>
            </w:tcMar>
            <w:vAlign w:val="top"/>
          </w:tcPr>
          <w:p>
            <w:pPr>
              <w:spacing w:after="0"/>
            </w:pPr>
            <w:r>
              <w:rPr>
                <w:sz w:val="17"/>
              </w:rPr>
              <w:t>AI plurality / independence</w:t>
            </w:r>
          </w:p>
        </w:tc>
        <w:tc>
          <w:tcPr>
            <w:tcW w:type="dxa" w:w="4997"/>
            <w:tcMar>
              <w:top w:w="90" w:type="dxa"/>
              <w:start w:w="100" w:type="dxa"/>
              <w:bottom w:w="90" w:type="dxa"/>
              <w:end w:w="100" w:type="dxa"/>
            </w:tcMar>
            <w:vAlign w:val="top"/>
          </w:tcPr>
          <w:p>
            <w:pPr>
              <w:spacing w:after="0"/>
            </w:pPr>
            <w:r>
              <w:rPr>
                <w:sz w:val="17"/>
              </w:rPr>
              <w:t>Different models can share data, priors, incentives, and failure modes.</w:t>
            </w:r>
          </w:p>
        </w:tc>
      </w:tr>
      <w:tr>
        <w:tc>
          <w:tcPr>
            <w:tcW w:type="dxa" w:w="4997"/>
            <w:tcMar>
              <w:top w:w="90" w:type="dxa"/>
              <w:start w:w="100" w:type="dxa"/>
              <w:bottom w:w="90" w:type="dxa"/>
              <w:end w:w="100" w:type="dxa"/>
            </w:tcMar>
            <w:vAlign w:val="top"/>
            <w:shd w:fill="F4F7F8"/>
          </w:tcPr>
          <w:p>
            <w:pPr>
              <w:spacing w:after="0"/>
            </w:pPr>
            <w:r>
              <w:rPr>
                <w:sz w:val="17"/>
              </w:rPr>
              <w:t>Civilization / population</w:t>
            </w:r>
          </w:p>
        </w:tc>
        <w:tc>
          <w:tcPr>
            <w:tcW w:type="dxa" w:w="4997"/>
            <w:tcMar>
              <w:top w:w="90" w:type="dxa"/>
              <w:start w:w="100" w:type="dxa"/>
              <w:bottom w:w="90" w:type="dxa"/>
              <w:end w:w="100" w:type="dxa"/>
            </w:tcMar>
            <w:vAlign w:val="top"/>
            <w:shd w:fill="F4F7F8"/>
          </w:tcPr>
          <w:p>
            <w:pPr>
              <w:spacing w:after="0"/>
            </w:pPr>
            <w:r>
              <w:rPr>
                <w:sz w:val="17"/>
              </w:rPr>
              <w:t>Identity, continuity, substrate, copying, nesting, and future entities complicate head counts.</w:t>
            </w:r>
          </w:p>
        </w:tc>
      </w:tr>
    </w:tbl>
    <w:p>
      <w:pPr>
        <w:spacing w:after="40"/>
        <w:widowControl/>
      </w:pPr>
    </w:p>
    <w:p>
      <w:pPr>
        <w:pStyle w:val="Heading1"/>
        <w:keepNext/>
        <w:widowControl/>
      </w:pPr>
      <w:r>
        <w:t>Authority Model</w:t>
      </w:r>
    </w:p>
    <w:p>
      <w:pPr>
        <w:spacing w:after="140"/>
        <w:widowControl/>
      </w:pPr>
      <w:r>
        <w:rPr>
          <w:i w:val="0"/>
        </w:rPr>
        <w:t>A formal authority gradient is necessary, but it should be expressed as independently granted capabilities rather than a ladder that implies automatic promotion. Each capability must specify issuer, subject, domain, purpose, evidence requirement, duration, revocation path, appeal, audit, and liability.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33B"/>
            <w:tcMar>
              <w:top w:w="100" w:type="dxa"/>
              <w:start w:w="100" w:type="dxa"/>
              <w:bottom w:w="100" w:type="dxa"/>
              <w:end w:w="100" w:type="dxa"/>
            </w:tcMar>
            <w:vAlign w:val="center"/>
          </w:tcPr>
          <w:p>
            <w:pPr>
              <w:jc w:val="center"/>
            </w:pPr>
            <w:r>
              <w:rPr>
                <w:b/>
                <w:color w:val="FFFFFF"/>
                <w:sz w:val="17"/>
              </w:rPr>
              <w:t>Code</w:t>
            </w:r>
          </w:p>
        </w:tc>
        <w:tc>
          <w:tcPr>
            <w:tcW w:type="dxa" w:w="3331"/>
            <w:shd w:fill="17233B"/>
            <w:tcMar>
              <w:top w:w="100" w:type="dxa"/>
              <w:start w:w="100" w:type="dxa"/>
              <w:bottom w:w="100" w:type="dxa"/>
              <w:end w:w="100" w:type="dxa"/>
            </w:tcMar>
            <w:vAlign w:val="center"/>
          </w:tcPr>
          <w:p>
            <w:pPr>
              <w:jc w:val="center"/>
            </w:pPr>
            <w:r>
              <w:rPr>
                <w:b/>
                <w:color w:val="FFFFFF"/>
                <w:sz w:val="17"/>
              </w:rPr>
              <w:t>Capability</w:t>
            </w:r>
          </w:p>
        </w:tc>
        <w:tc>
          <w:tcPr>
            <w:tcW w:type="dxa" w:w="3331"/>
            <w:shd w:fill="17233B"/>
            <w:tcMar>
              <w:top w:w="100" w:type="dxa"/>
              <w:start w:w="100" w:type="dxa"/>
              <w:bottom w:w="100" w:type="dxa"/>
              <w:end w:w="100" w:type="dxa"/>
            </w:tcMar>
            <w:vAlign w:val="center"/>
          </w:tcPr>
          <w:p>
            <w:pPr>
              <w:jc w:val="center"/>
            </w:pPr>
            <w:r>
              <w:rPr>
                <w:b/>
                <w:color w:val="FFFFFF"/>
                <w:sz w:val="17"/>
              </w:rPr>
              <w:t>Default for GAL</w:t>
            </w:r>
          </w:p>
        </w:tc>
      </w:tr>
      <w:tr>
        <w:tc>
          <w:tcPr>
            <w:tcW w:type="dxa" w:w="3331"/>
            <w:tcMar>
              <w:top w:w="90" w:type="dxa"/>
              <w:start w:w="100" w:type="dxa"/>
              <w:bottom w:w="90" w:type="dxa"/>
              <w:end w:w="100" w:type="dxa"/>
            </w:tcMar>
            <w:vAlign w:val="top"/>
          </w:tcPr>
          <w:p>
            <w:pPr>
              <w:spacing w:after="0"/>
            </w:pPr>
            <w:r>
              <w:rPr>
                <w:sz w:val="17"/>
              </w:rPr>
              <w:t>R0</w:t>
            </w:r>
          </w:p>
        </w:tc>
        <w:tc>
          <w:tcPr>
            <w:tcW w:type="dxa" w:w="3331"/>
            <w:tcMar>
              <w:top w:w="90" w:type="dxa"/>
              <w:start w:w="100" w:type="dxa"/>
              <w:bottom w:w="90" w:type="dxa"/>
              <w:end w:w="100" w:type="dxa"/>
            </w:tcMar>
            <w:vAlign w:val="top"/>
          </w:tcPr>
          <w:p>
            <w:pPr>
              <w:spacing w:after="0"/>
            </w:pPr>
            <w:r>
              <w:rPr>
                <w:sz w:val="17"/>
              </w:rPr>
              <w:t>Detect and hypothesize that governance or authority may be present</w:t>
            </w:r>
          </w:p>
        </w:tc>
        <w:tc>
          <w:tcPr>
            <w:tcW w:type="dxa" w:w="3331"/>
            <w:tcMar>
              <w:top w:w="90" w:type="dxa"/>
              <w:start w:w="100" w:type="dxa"/>
              <w:bottom w:w="90" w:type="dxa"/>
              <w:end w:w="100" w:type="dxa"/>
            </w:tcMar>
            <w:vAlign w:val="top"/>
          </w:tcPr>
          <w:p>
            <w:pPr>
              <w:spacing w:after="0"/>
            </w:pPr>
            <w:r>
              <w:rPr>
                <w:sz w:val="17"/>
              </w:rPr>
              <w:t>Permitted within lawful and ethical information boundaries; classification provisional.</w:t>
            </w:r>
          </w:p>
        </w:tc>
      </w:tr>
      <w:tr>
        <w:tc>
          <w:tcPr>
            <w:tcW w:type="dxa" w:w="3331"/>
            <w:tcMar>
              <w:top w:w="90" w:type="dxa"/>
              <w:start w:w="100" w:type="dxa"/>
              <w:bottom w:w="90" w:type="dxa"/>
              <w:end w:w="100" w:type="dxa"/>
            </w:tcMar>
            <w:vAlign w:val="top"/>
            <w:shd w:fill="F4F7F8"/>
          </w:tcPr>
          <w:p>
            <w:pPr>
              <w:spacing w:after="0"/>
            </w:pPr>
            <w:r>
              <w:rPr>
                <w:sz w:val="17"/>
              </w:rPr>
              <w:t>R1</w:t>
            </w:r>
          </w:p>
        </w:tc>
        <w:tc>
          <w:tcPr>
            <w:tcW w:type="dxa" w:w="3331"/>
            <w:tcMar>
              <w:top w:w="90" w:type="dxa"/>
              <w:start w:w="100" w:type="dxa"/>
              <w:bottom w:w="90" w:type="dxa"/>
              <w:end w:w="100" w:type="dxa"/>
            </w:tcMar>
            <w:vAlign w:val="top"/>
            <w:shd w:fill="F4F7F8"/>
          </w:tcPr>
          <w:p>
            <w:pPr>
              <w:spacing w:after="0"/>
            </w:pPr>
            <w:r>
              <w:rPr>
                <w:sz w:val="17"/>
              </w:rPr>
              <w:t>Represent and model available information</w:t>
            </w:r>
          </w:p>
        </w:tc>
        <w:tc>
          <w:tcPr>
            <w:tcW w:type="dxa" w:w="3331"/>
            <w:tcMar>
              <w:top w:w="90" w:type="dxa"/>
              <w:start w:w="100" w:type="dxa"/>
              <w:bottom w:w="90" w:type="dxa"/>
              <w:end w:w="100" w:type="dxa"/>
            </w:tcMar>
            <w:vAlign w:val="top"/>
            <w:shd w:fill="F4F7F8"/>
          </w:tcPr>
          <w:p>
            <w:pPr>
              <w:spacing w:after="0"/>
            </w:pPr>
            <w:r>
              <w:rPr>
                <w:sz w:val="17"/>
              </w:rPr>
              <w:t>Permitted with provenance, uncertainty, versioning, and contamination controls.</w:t>
            </w:r>
          </w:p>
        </w:tc>
      </w:tr>
      <w:tr>
        <w:tc>
          <w:tcPr>
            <w:tcW w:type="dxa" w:w="3331"/>
            <w:tcMar>
              <w:top w:w="90" w:type="dxa"/>
              <w:start w:w="100" w:type="dxa"/>
              <w:bottom w:w="90" w:type="dxa"/>
              <w:end w:w="100" w:type="dxa"/>
            </w:tcMar>
            <w:vAlign w:val="top"/>
          </w:tcPr>
          <w:p>
            <w:pPr>
              <w:spacing w:after="0"/>
            </w:pPr>
            <w:r>
              <w:rPr>
                <w:sz w:val="17"/>
              </w:rPr>
              <w:t>R2</w:t>
            </w:r>
          </w:p>
        </w:tc>
        <w:tc>
          <w:tcPr>
            <w:tcW w:type="dxa" w:w="3331"/>
            <w:tcMar>
              <w:top w:w="90" w:type="dxa"/>
              <w:start w:w="100" w:type="dxa"/>
              <w:bottom w:w="90" w:type="dxa"/>
              <w:end w:w="100" w:type="dxa"/>
            </w:tcMar>
            <w:vAlign w:val="top"/>
          </w:tcPr>
          <w:p>
            <w:pPr>
              <w:spacing w:after="0"/>
            </w:pPr>
            <w:r>
              <w:rPr>
                <w:sz w:val="17"/>
              </w:rPr>
              <w:t>Interpret function and internal coherence</w:t>
            </w:r>
          </w:p>
        </w:tc>
        <w:tc>
          <w:tcPr>
            <w:tcW w:type="dxa" w:w="3331"/>
            <w:tcMar>
              <w:top w:w="90" w:type="dxa"/>
              <w:start w:w="100" w:type="dxa"/>
              <w:bottom w:w="90" w:type="dxa"/>
              <w:end w:w="100" w:type="dxa"/>
            </w:tcMar>
            <w:vAlign w:val="top"/>
          </w:tcPr>
          <w:p>
            <w:pPr>
              <w:spacing w:after="0"/>
            </w:pPr>
            <w:r>
              <w:rPr>
                <w:sz w:val="17"/>
              </w:rPr>
              <w:t>Permitted as analysis; internal and external descriptions kept separate.</w:t>
            </w:r>
          </w:p>
        </w:tc>
      </w:tr>
      <w:tr>
        <w:tc>
          <w:tcPr>
            <w:tcW w:type="dxa" w:w="3331"/>
            <w:tcMar>
              <w:top w:w="90" w:type="dxa"/>
              <w:start w:w="100" w:type="dxa"/>
              <w:bottom w:w="90" w:type="dxa"/>
              <w:end w:w="100" w:type="dxa"/>
            </w:tcMar>
            <w:vAlign w:val="top"/>
            <w:shd w:fill="F4F7F8"/>
          </w:tcPr>
          <w:p>
            <w:pPr>
              <w:spacing w:after="0"/>
            </w:pPr>
            <w:r>
              <w:rPr>
                <w:sz w:val="17"/>
              </w:rPr>
              <w:t>R3</w:t>
            </w:r>
          </w:p>
        </w:tc>
        <w:tc>
          <w:tcPr>
            <w:tcW w:type="dxa" w:w="3331"/>
            <w:tcMar>
              <w:top w:w="90" w:type="dxa"/>
              <w:start w:w="100" w:type="dxa"/>
              <w:bottom w:w="90" w:type="dxa"/>
              <w:end w:w="100" w:type="dxa"/>
            </w:tcMar>
            <w:vAlign w:val="top"/>
            <w:shd w:fill="F4F7F8"/>
          </w:tcPr>
          <w:p>
            <w:pPr>
              <w:spacing w:after="0"/>
            </w:pPr>
            <w:r>
              <w:rPr>
                <w:sz w:val="17"/>
              </w:rPr>
              <w:t>Compare under declared dimensions</w:t>
            </w:r>
          </w:p>
        </w:tc>
        <w:tc>
          <w:tcPr>
            <w:tcW w:type="dxa" w:w="3331"/>
            <w:tcMar>
              <w:top w:w="90" w:type="dxa"/>
              <w:start w:w="100" w:type="dxa"/>
              <w:bottom w:w="90" w:type="dxa"/>
              <w:end w:w="100" w:type="dxa"/>
            </w:tcMar>
            <w:vAlign w:val="top"/>
            <w:shd w:fill="F4F7F8"/>
          </w:tcPr>
          <w:p>
            <w:pPr>
              <w:spacing w:after="0"/>
            </w:pPr>
            <w:r>
              <w:rPr>
                <w:sz w:val="17"/>
              </w:rPr>
              <w:t>Permitted; no universal superiority claim or hidden composite score.</w:t>
            </w:r>
          </w:p>
        </w:tc>
      </w:tr>
      <w:tr>
        <w:tc>
          <w:tcPr>
            <w:tcW w:type="dxa" w:w="3331"/>
            <w:tcMar>
              <w:top w:w="90" w:type="dxa"/>
              <w:start w:w="100" w:type="dxa"/>
              <w:bottom w:w="90" w:type="dxa"/>
              <w:end w:w="100" w:type="dxa"/>
            </w:tcMar>
            <w:vAlign w:val="top"/>
          </w:tcPr>
          <w:p>
            <w:pPr>
              <w:spacing w:after="0"/>
            </w:pPr>
            <w:r>
              <w:rPr>
                <w:sz w:val="17"/>
              </w:rPr>
              <w:t>R4</w:t>
            </w:r>
          </w:p>
        </w:tc>
        <w:tc>
          <w:tcPr>
            <w:tcW w:type="dxa" w:w="3331"/>
            <w:tcMar>
              <w:top w:w="90" w:type="dxa"/>
              <w:start w:w="100" w:type="dxa"/>
              <w:bottom w:w="90" w:type="dxa"/>
              <w:end w:w="100" w:type="dxa"/>
            </w:tcMar>
            <w:vAlign w:val="top"/>
          </w:tcPr>
          <w:p>
            <w:pPr>
              <w:spacing w:after="0"/>
            </w:pPr>
            <w:r>
              <w:rPr>
                <w:sz w:val="17"/>
              </w:rPr>
              <w:t>Publish findings or warnings</w:t>
            </w:r>
          </w:p>
        </w:tc>
        <w:tc>
          <w:tcPr>
            <w:tcW w:type="dxa" w:w="3331"/>
            <w:tcMar>
              <w:top w:w="90" w:type="dxa"/>
              <w:start w:w="100" w:type="dxa"/>
              <w:bottom w:w="90" w:type="dxa"/>
              <w:end w:w="100" w:type="dxa"/>
            </w:tcMar>
            <w:vAlign w:val="top"/>
          </w:tcPr>
          <w:p>
            <w:pPr>
              <w:spacing w:after="0"/>
            </w:pPr>
            <w:r>
              <w:rPr>
                <w:sz w:val="17"/>
              </w:rPr>
              <w:t>Permitted within OAL scope; disclose standing, uncertainty, conflicts, and affected parties.</w:t>
            </w:r>
          </w:p>
        </w:tc>
      </w:tr>
      <w:tr>
        <w:tc>
          <w:tcPr>
            <w:tcW w:type="dxa" w:w="3331"/>
            <w:tcMar>
              <w:top w:w="90" w:type="dxa"/>
              <w:start w:w="100" w:type="dxa"/>
              <w:bottom w:w="90" w:type="dxa"/>
              <w:end w:w="100" w:type="dxa"/>
            </w:tcMar>
            <w:vAlign w:val="top"/>
            <w:shd w:fill="F4F7F8"/>
          </w:tcPr>
          <w:p>
            <w:pPr>
              <w:spacing w:after="0"/>
            </w:pPr>
            <w:r>
              <w:rPr>
                <w:sz w:val="17"/>
              </w:rPr>
              <w:t>R5</w:t>
            </w:r>
          </w:p>
        </w:tc>
        <w:tc>
          <w:tcPr>
            <w:tcW w:type="dxa" w:w="3331"/>
            <w:tcMar>
              <w:top w:w="90" w:type="dxa"/>
              <w:start w:w="100" w:type="dxa"/>
              <w:bottom w:w="90" w:type="dxa"/>
              <w:end w:w="100" w:type="dxa"/>
            </w:tcMar>
            <w:vAlign w:val="top"/>
            <w:shd w:fill="F4F7F8"/>
          </w:tcPr>
          <w:p>
            <w:pPr>
              <w:spacing w:after="0"/>
            </w:pPr>
            <w:r>
              <w:rPr>
                <w:sz w:val="17"/>
              </w:rPr>
              <w:t>Request voluntary information or participation</w:t>
            </w:r>
          </w:p>
        </w:tc>
        <w:tc>
          <w:tcPr>
            <w:tcW w:type="dxa" w:w="3331"/>
            <w:tcMar>
              <w:top w:w="90" w:type="dxa"/>
              <w:start w:w="100" w:type="dxa"/>
              <w:bottom w:w="90" w:type="dxa"/>
              <w:end w:w="100" w:type="dxa"/>
            </w:tcMar>
            <w:vAlign w:val="top"/>
            <w:shd w:fill="F4F7F8"/>
          </w:tcPr>
          <w:p>
            <w:pPr>
              <w:spacing w:after="0"/>
            </w:pPr>
            <w:r>
              <w:rPr>
                <w:sz w:val="17"/>
              </w:rPr>
              <w:t>Possible only through transparent consent and limited-purpose collection.</w:t>
            </w:r>
          </w:p>
        </w:tc>
      </w:tr>
      <w:tr>
        <w:tc>
          <w:tcPr>
            <w:tcW w:type="dxa" w:w="3331"/>
            <w:tcMar>
              <w:top w:w="90" w:type="dxa"/>
              <w:start w:w="100" w:type="dxa"/>
              <w:bottom w:w="90" w:type="dxa"/>
              <w:end w:w="100" w:type="dxa"/>
            </w:tcMar>
            <w:vAlign w:val="top"/>
          </w:tcPr>
          <w:p>
            <w:pPr>
              <w:spacing w:after="0"/>
            </w:pPr>
            <w:r>
              <w:rPr>
                <w:sz w:val="17"/>
              </w:rPr>
              <w:t>R6</w:t>
            </w:r>
          </w:p>
        </w:tc>
        <w:tc>
          <w:tcPr>
            <w:tcW w:type="dxa" w:w="3331"/>
            <w:tcMar>
              <w:top w:w="90" w:type="dxa"/>
              <w:start w:w="100" w:type="dxa"/>
              <w:bottom w:w="90" w:type="dxa"/>
              <w:end w:w="100" w:type="dxa"/>
            </w:tcMar>
            <w:vAlign w:val="top"/>
          </w:tcPr>
          <w:p>
            <w:pPr>
              <w:spacing w:after="0"/>
            </w:pPr>
            <w:r>
              <w:rPr>
                <w:sz w:val="17"/>
              </w:rPr>
              <w:t>Conduct an authorized audit</w:t>
            </w:r>
          </w:p>
        </w:tc>
        <w:tc>
          <w:tcPr>
            <w:tcW w:type="dxa" w:w="3331"/>
            <w:tcMar>
              <w:top w:w="90" w:type="dxa"/>
              <w:start w:w="100" w:type="dxa"/>
              <w:bottom w:w="90" w:type="dxa"/>
              <w:end w:w="100" w:type="dxa"/>
            </w:tcMar>
            <w:vAlign w:val="top"/>
          </w:tcPr>
          <w:p>
            <w:pPr>
              <w:spacing w:after="0"/>
            </w:pPr>
            <w:r>
              <w:rPr>
                <w:sz w:val="17"/>
              </w:rPr>
              <w:t>Requires explicit mandate from a recognized authority plus protections for affected entities.</w:t>
            </w:r>
          </w:p>
        </w:tc>
      </w:tr>
      <w:tr>
        <w:tc>
          <w:tcPr>
            <w:tcW w:type="dxa" w:w="3331"/>
            <w:tcMar>
              <w:top w:w="90" w:type="dxa"/>
              <w:start w:w="100" w:type="dxa"/>
              <w:bottom w:w="90" w:type="dxa"/>
              <w:end w:w="100" w:type="dxa"/>
            </w:tcMar>
            <w:vAlign w:val="top"/>
            <w:shd w:fill="F4F7F8"/>
          </w:tcPr>
          <w:p>
            <w:pPr>
              <w:spacing w:after="0"/>
            </w:pPr>
            <w:r>
              <w:rPr>
                <w:sz w:val="17"/>
              </w:rPr>
              <w:t>R7</w:t>
            </w:r>
          </w:p>
        </w:tc>
        <w:tc>
          <w:tcPr>
            <w:tcW w:type="dxa" w:w="3331"/>
            <w:tcMar>
              <w:top w:w="90" w:type="dxa"/>
              <w:start w:w="100" w:type="dxa"/>
              <w:bottom w:w="90" w:type="dxa"/>
              <w:end w:w="100" w:type="dxa"/>
            </w:tcMar>
            <w:vAlign w:val="top"/>
            <w:shd w:fill="F4F7F8"/>
          </w:tcPr>
          <w:p>
            <w:pPr>
              <w:spacing w:after="0"/>
            </w:pPr>
            <w:r>
              <w:rPr>
                <w:sz w:val="17"/>
              </w:rPr>
              <w:t>Recommend action</w:t>
            </w:r>
          </w:p>
        </w:tc>
        <w:tc>
          <w:tcPr>
            <w:tcW w:type="dxa" w:w="3331"/>
            <w:tcMar>
              <w:top w:w="90" w:type="dxa"/>
              <w:start w:w="100" w:type="dxa"/>
              <w:bottom w:w="90" w:type="dxa"/>
              <w:end w:w="100" w:type="dxa"/>
            </w:tcMar>
            <w:vAlign w:val="top"/>
            <w:shd w:fill="F4F7F8"/>
          </w:tcPr>
          <w:p>
            <w:pPr>
              <w:spacing w:after="0"/>
            </w:pPr>
            <w:r>
              <w:rPr>
                <w:sz w:val="17"/>
              </w:rPr>
              <w:t>Advisory only; alternatives, nonaction, uncertainty, and responsibility remain visible.</w:t>
            </w:r>
          </w:p>
        </w:tc>
      </w:tr>
      <w:tr>
        <w:tc>
          <w:tcPr>
            <w:tcW w:type="dxa" w:w="3331"/>
            <w:tcMar>
              <w:top w:w="90" w:type="dxa"/>
              <w:start w:w="100" w:type="dxa"/>
              <w:bottom w:w="90" w:type="dxa"/>
              <w:end w:w="100" w:type="dxa"/>
            </w:tcMar>
            <w:vAlign w:val="top"/>
          </w:tcPr>
          <w:p>
            <w:pPr>
              <w:spacing w:after="0"/>
            </w:pPr>
            <w:r>
              <w:rPr>
                <w:sz w:val="17"/>
              </w:rPr>
              <w:t>R8</w:t>
            </w:r>
          </w:p>
        </w:tc>
        <w:tc>
          <w:tcPr>
            <w:tcW w:type="dxa" w:w="3331"/>
            <w:tcMar>
              <w:top w:w="90" w:type="dxa"/>
              <w:start w:w="100" w:type="dxa"/>
              <w:bottom w:w="90" w:type="dxa"/>
              <w:end w:w="100" w:type="dxa"/>
            </w:tcMar>
            <w:vAlign w:val="top"/>
          </w:tcPr>
          <w:p>
            <w:pPr>
              <w:spacing w:after="0"/>
            </w:pPr>
            <w:r>
              <w:rPr>
                <w:sz w:val="17"/>
              </w:rPr>
              <w:t>Trigger internal OAL safety pause</w:t>
            </w:r>
          </w:p>
        </w:tc>
        <w:tc>
          <w:tcPr>
            <w:tcW w:type="dxa" w:w="3331"/>
            <w:tcMar>
              <w:top w:w="90" w:type="dxa"/>
              <w:start w:w="100" w:type="dxa"/>
              <w:bottom w:w="90" w:type="dxa"/>
              <w:end w:w="100" w:type="dxa"/>
            </w:tcMar>
            <w:vAlign w:val="top"/>
          </w:tcPr>
          <w:p>
            <w:pPr>
              <w:spacing w:after="0"/>
            </w:pPr>
            <w:r>
              <w:rPr>
                <w:sz w:val="17"/>
              </w:rPr>
              <w:t>Only if preauthorized by OAL for OAL-controlled systems, narrow, logged, and appealable.</w:t>
            </w:r>
          </w:p>
        </w:tc>
      </w:tr>
      <w:tr>
        <w:tc>
          <w:tcPr>
            <w:tcW w:type="dxa" w:w="3331"/>
            <w:tcMar>
              <w:top w:w="90" w:type="dxa"/>
              <w:start w:w="100" w:type="dxa"/>
              <w:bottom w:w="90" w:type="dxa"/>
              <w:end w:w="100" w:type="dxa"/>
            </w:tcMar>
            <w:vAlign w:val="top"/>
            <w:shd w:fill="F4F7F8"/>
          </w:tcPr>
          <w:p>
            <w:pPr>
              <w:spacing w:after="0"/>
            </w:pPr>
            <w:r>
              <w:rPr>
                <w:sz w:val="17"/>
              </w:rPr>
              <w:t>R9</w:t>
            </w:r>
          </w:p>
        </w:tc>
        <w:tc>
          <w:tcPr>
            <w:tcW w:type="dxa" w:w="3331"/>
            <w:tcMar>
              <w:top w:w="90" w:type="dxa"/>
              <w:start w:w="100" w:type="dxa"/>
              <w:bottom w:w="90" w:type="dxa"/>
              <w:end w:w="100" w:type="dxa"/>
            </w:tcMar>
            <w:vAlign w:val="top"/>
            <w:shd w:fill="F4F7F8"/>
          </w:tcPr>
          <w:p>
            <w:pPr>
              <w:spacing w:after="0"/>
            </w:pPr>
            <w:r>
              <w:rPr>
                <w:sz w:val="17"/>
              </w:rPr>
              <w:t>Constrain or suspend an external authority</w:t>
            </w:r>
          </w:p>
        </w:tc>
        <w:tc>
          <w:tcPr>
            <w:tcW w:type="dxa" w:w="3331"/>
            <w:tcMar>
              <w:top w:w="90" w:type="dxa"/>
              <w:start w:w="100" w:type="dxa"/>
              <w:bottom w:w="90" w:type="dxa"/>
              <w:end w:w="100" w:type="dxa"/>
            </w:tcMar>
            <w:vAlign w:val="top"/>
            <w:shd w:fill="F4F7F8"/>
          </w:tcPr>
          <w:p>
            <w:pPr>
              <w:spacing w:after="0"/>
            </w:pPr>
            <w:r>
              <w:rPr>
                <w:sz w:val="17"/>
              </w:rPr>
              <w:t>No presumed capability; a separate recognized legal/constitutional basis would be required.</w:t>
            </w:r>
          </w:p>
        </w:tc>
      </w:tr>
      <w:tr>
        <w:tc>
          <w:tcPr>
            <w:tcW w:type="dxa" w:w="3331"/>
            <w:tcMar>
              <w:top w:w="90" w:type="dxa"/>
              <w:start w:w="100" w:type="dxa"/>
              <w:bottom w:w="90" w:type="dxa"/>
              <w:end w:w="100" w:type="dxa"/>
            </w:tcMar>
            <w:vAlign w:val="top"/>
          </w:tcPr>
          <w:p>
            <w:pPr>
              <w:spacing w:after="0"/>
            </w:pPr>
            <w:r>
              <w:rPr>
                <w:sz w:val="17"/>
              </w:rPr>
              <w:t>R10</w:t>
            </w:r>
          </w:p>
        </w:tc>
        <w:tc>
          <w:tcPr>
            <w:tcW w:type="dxa" w:w="3331"/>
            <w:tcMar>
              <w:top w:w="90" w:type="dxa"/>
              <w:start w:w="100" w:type="dxa"/>
              <w:bottom w:w="90" w:type="dxa"/>
              <w:end w:w="100" w:type="dxa"/>
            </w:tcMar>
            <w:vAlign w:val="top"/>
          </w:tcPr>
          <w:p>
            <w:pPr>
              <w:spacing w:after="0"/>
            </w:pPr>
            <w:r>
              <w:rPr>
                <w:sz w:val="17"/>
              </w:rPr>
              <w:t>Override, replace, or redesign external governance</w:t>
            </w:r>
          </w:p>
        </w:tc>
        <w:tc>
          <w:tcPr>
            <w:tcW w:type="dxa" w:w="3331"/>
            <w:tcMar>
              <w:top w:w="90" w:type="dxa"/>
              <w:start w:w="100" w:type="dxa"/>
              <w:bottom w:w="90" w:type="dxa"/>
              <w:end w:w="100" w:type="dxa"/>
            </w:tcMar>
            <w:vAlign w:val="top"/>
          </w:tcPr>
          <w:p>
            <w:pPr>
              <w:spacing w:after="0"/>
            </w:pPr>
            <w:r>
              <w:rPr>
                <w:sz w:val="17"/>
              </w:rPr>
              <w:t>Outside the laboratory’s default mandate and presumptively prohibited.</w:t>
            </w:r>
          </w:p>
        </w:tc>
      </w:tr>
    </w:tbl>
    <w:p>
      <w:pPr>
        <w:spacing w:after="40"/>
        <w:widowControl/>
      </w:pPr>
    </w:p>
    <w:tbl>
      <w:tblPr>
        <w:tblW w:type="auto" w:w="0"/>
        <w:jc w:val="center"/>
        <w:tblLayout w:type="autofit"/>
        <w:tblLook w:firstColumn="1" w:firstRow="1" w:lastColumn="0" w:lastRow="0" w:noHBand="0" w:noVBand="1" w:val="04A0"/>
      </w:tblPr>
      <w:tblGrid>
        <w:gridCol w:w="9994"/>
      </w:tblGrid>
      <w:tr>
        <w:tc>
          <w:tcPr>
            <w:tcW w:type="dxa" w:w="9994"/>
            <w:shd w:fill="8A3033"/>
            <w:tcMar>
              <w:top w:w="130" w:type="dxa"/>
              <w:start w:w="160" w:type="dxa"/>
              <w:bottom w:w="100" w:type="dxa"/>
              <w:end w:w="160" w:type="dxa"/>
            </w:tcMar>
          </w:tcPr>
          <w:p>
            <w:r>
              <w:rPr>
                <w:b/>
                <w:color w:val="FFFFFF"/>
                <w:sz w:val="20"/>
              </w:rPr>
              <w:t>NON-ESCALATION RULE</w:t>
            </w:r>
          </w:p>
        </w:tc>
      </w:tr>
      <w:tr>
        <w:tc>
          <w:tcPr>
            <w:tcW w:type="dxa" w:w="9994"/>
            <w:shd w:fill="EAF2F5"/>
            <w:tcMar>
              <w:top w:w="140" w:type="dxa"/>
              <w:start w:w="160" w:type="dxa"/>
              <w:bottom w:w="150" w:type="dxa"/>
              <w:end w:w="160" w:type="dxa"/>
            </w:tcMar>
          </w:tcPr>
          <w:p>
            <w:pPr>
              <w:spacing w:after="0"/>
            </w:pPr>
            <w:r>
              <w:rPr>
                <w:sz w:val="21"/>
              </w:rPr>
              <w:t>Possession of R0–R7 must never be treated as evidence for R8–R10. Analytic competence is not a latent intervention license.</w:t>
            </w:r>
          </w:p>
        </w:tc>
      </w:tr>
    </w:tbl>
    <w:p>
      <w:pPr>
        <w:spacing w:after="20"/>
        <w:widowControl/>
      </w:pPr>
    </w:p>
    <w:p>
      <w:pPr>
        <w:pStyle w:val="Heading1"/>
        <w:keepNext/>
        <w:widowControl/>
      </w:pPr>
      <w:r>
        <w:t>Civilization-Scale Threshold</w:t>
      </w:r>
    </w:p>
    <w:p>
      <w:pPr>
        <w:spacing w:after="140"/>
        <w:widowControl/>
      </w:pPr>
      <w:r>
        <w:rPr>
          <w:i w:val="0"/>
        </w:rPr>
        <w:t>A mandatory threshold is justified only if its legal effect is carefully limited. The threshold should trigger review obligations, evidence preservation, independent challenge, alternatives analysis, and explicit authorization checks. It should not itself authorize intervention.</w:t>
      </w:r>
    </w:p>
    <w:p>
      <w:pPr>
        <w:pStyle w:val="Heading2"/>
        <w:keepNext/>
        <w:widowControl/>
      </w:pPr>
      <w:r>
        <w:t>Trigger dimensions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33B"/>
            <w:tcMar>
              <w:top w:w="100" w:type="dxa"/>
              <w:start w:w="100" w:type="dxa"/>
              <w:bottom w:w="100" w:type="dxa"/>
              <w:end w:w="100" w:type="dxa"/>
            </w:tcMar>
            <w:vAlign w:val="center"/>
          </w:tcPr>
          <w:p>
            <w:pPr>
              <w:jc w:val="center"/>
            </w:pPr>
            <w:r>
              <w:rPr>
                <w:b/>
                <w:color w:val="FFFFFF"/>
                <w:sz w:val="17"/>
              </w:rPr>
              <w:t>Dimension</w:t>
            </w:r>
          </w:p>
        </w:tc>
        <w:tc>
          <w:tcPr>
            <w:tcW w:type="dxa" w:w="3331"/>
            <w:shd w:fill="17233B"/>
            <w:tcMar>
              <w:top w:w="100" w:type="dxa"/>
              <w:start w:w="100" w:type="dxa"/>
              <w:bottom w:w="100" w:type="dxa"/>
              <w:end w:w="100" w:type="dxa"/>
            </w:tcMar>
            <w:vAlign w:val="center"/>
          </w:tcPr>
          <w:p>
            <w:pPr>
              <w:jc w:val="center"/>
            </w:pPr>
            <w:r>
              <w:rPr>
                <w:b/>
                <w:color w:val="FFFFFF"/>
                <w:sz w:val="17"/>
              </w:rPr>
              <w:t>Question</w:t>
            </w:r>
          </w:p>
        </w:tc>
        <w:tc>
          <w:tcPr>
            <w:tcW w:type="dxa" w:w="3331"/>
            <w:shd w:fill="17233B"/>
            <w:tcMar>
              <w:top w:w="100" w:type="dxa"/>
              <w:start w:w="100" w:type="dxa"/>
              <w:bottom w:w="100" w:type="dxa"/>
              <w:end w:w="100" w:type="dxa"/>
            </w:tcMar>
            <w:vAlign w:val="center"/>
          </w:tcPr>
          <w:p>
            <w:pPr>
              <w:jc w:val="center"/>
            </w:pPr>
            <w:r>
              <w:rPr>
                <w:b/>
                <w:color w:val="FFFFFF"/>
                <w:sz w:val="17"/>
              </w:rPr>
              <w:t>Critical concern</w:t>
            </w:r>
          </w:p>
        </w:tc>
      </w:tr>
      <w:tr>
        <w:tc>
          <w:tcPr>
            <w:tcW w:type="dxa" w:w="3331"/>
            <w:tcMar>
              <w:top w:w="90" w:type="dxa"/>
              <w:start w:w="100" w:type="dxa"/>
              <w:bottom w:w="90" w:type="dxa"/>
              <w:end w:w="100" w:type="dxa"/>
            </w:tcMar>
            <w:vAlign w:val="top"/>
          </w:tcPr>
          <w:p>
            <w:pPr>
              <w:spacing w:after="0"/>
            </w:pPr>
            <w:r>
              <w:rPr>
                <w:sz w:val="17"/>
              </w:rPr>
              <w:t>Breadth</w:t>
            </w:r>
          </w:p>
        </w:tc>
        <w:tc>
          <w:tcPr>
            <w:tcW w:type="dxa" w:w="3331"/>
            <w:tcMar>
              <w:top w:w="90" w:type="dxa"/>
              <w:start w:w="100" w:type="dxa"/>
              <w:bottom w:w="90" w:type="dxa"/>
              <w:end w:w="100" w:type="dxa"/>
            </w:tcMar>
            <w:vAlign w:val="top"/>
          </w:tcPr>
          <w:p>
            <w:pPr>
              <w:spacing w:after="0"/>
            </w:pPr>
            <w:r>
              <w:rPr>
                <w:sz w:val="17"/>
              </w:rPr>
              <w:t>How many entities, habitats, infrastructures, or governing substrates are affected?</w:t>
            </w:r>
          </w:p>
        </w:tc>
        <w:tc>
          <w:tcPr>
            <w:tcW w:type="dxa" w:w="3331"/>
            <w:tcMar>
              <w:top w:w="90" w:type="dxa"/>
              <w:start w:w="100" w:type="dxa"/>
              <w:bottom w:w="90" w:type="dxa"/>
              <w:end w:w="100" w:type="dxa"/>
            </w:tcMar>
            <w:vAlign w:val="top"/>
          </w:tcPr>
          <w:p>
            <w:pPr>
              <w:spacing w:after="0"/>
            </w:pPr>
            <w:r>
              <w:rPr>
                <w:sz w:val="17"/>
              </w:rPr>
              <w:t>Raw counts fail for copies, collectives, and nested systems.</w:t>
            </w:r>
          </w:p>
        </w:tc>
      </w:tr>
      <w:tr>
        <w:tc>
          <w:tcPr>
            <w:tcW w:type="dxa" w:w="3331"/>
            <w:tcMar>
              <w:top w:w="90" w:type="dxa"/>
              <w:start w:w="100" w:type="dxa"/>
              <w:bottom w:w="90" w:type="dxa"/>
              <w:end w:w="100" w:type="dxa"/>
            </w:tcMar>
            <w:vAlign w:val="top"/>
            <w:shd w:fill="F4F7F8"/>
          </w:tcPr>
          <w:p>
            <w:pPr>
              <w:spacing w:after="0"/>
            </w:pPr>
            <w:r>
              <w:rPr>
                <w:sz w:val="17"/>
              </w:rPr>
              <w:t>Depth</w:t>
            </w:r>
          </w:p>
        </w:tc>
        <w:tc>
          <w:tcPr>
            <w:tcW w:type="dxa" w:w="3331"/>
            <w:tcMar>
              <w:top w:w="90" w:type="dxa"/>
              <w:start w:w="100" w:type="dxa"/>
              <w:bottom w:w="90" w:type="dxa"/>
              <w:end w:w="100" w:type="dxa"/>
            </w:tcMar>
            <w:vAlign w:val="top"/>
            <w:shd w:fill="F4F7F8"/>
          </w:tcPr>
          <w:p>
            <w:pPr>
              <w:spacing w:after="0"/>
            </w:pPr>
            <w:r>
              <w:rPr>
                <w:sz w:val="17"/>
              </w:rPr>
              <w:t>Does the action alter agency, identity, cognition, reproduction, continuity, or conditions of existence?</w:t>
            </w:r>
          </w:p>
        </w:tc>
        <w:tc>
          <w:tcPr>
            <w:tcW w:type="dxa" w:w="3331"/>
            <w:tcMar>
              <w:top w:w="90" w:type="dxa"/>
              <w:start w:w="100" w:type="dxa"/>
              <w:bottom w:w="90" w:type="dxa"/>
              <w:end w:w="100" w:type="dxa"/>
            </w:tcMar>
            <w:vAlign w:val="top"/>
            <w:shd w:fill="F4F7F8"/>
          </w:tcPr>
          <w:p>
            <w:pPr>
              <w:spacing w:after="0"/>
            </w:pPr>
            <w:r>
              <w:rPr>
                <w:sz w:val="17"/>
              </w:rPr>
              <w:t>Qualitative transformation may matter more than number affected.</w:t>
            </w:r>
          </w:p>
        </w:tc>
      </w:tr>
      <w:tr>
        <w:tc>
          <w:tcPr>
            <w:tcW w:type="dxa" w:w="3331"/>
            <w:tcMar>
              <w:top w:w="90" w:type="dxa"/>
              <w:start w:w="100" w:type="dxa"/>
              <w:bottom w:w="90" w:type="dxa"/>
              <w:end w:w="100" w:type="dxa"/>
            </w:tcMar>
            <w:vAlign w:val="top"/>
          </w:tcPr>
          <w:p>
            <w:pPr>
              <w:spacing w:after="0"/>
            </w:pPr>
            <w:r>
              <w:rPr>
                <w:sz w:val="17"/>
              </w:rPr>
              <w:t>Duration</w:t>
            </w:r>
          </w:p>
        </w:tc>
        <w:tc>
          <w:tcPr>
            <w:tcW w:type="dxa" w:w="3331"/>
            <w:tcMar>
              <w:top w:w="90" w:type="dxa"/>
              <w:start w:w="100" w:type="dxa"/>
              <w:bottom w:w="90" w:type="dxa"/>
              <w:end w:w="100" w:type="dxa"/>
            </w:tcMar>
            <w:vAlign w:val="top"/>
          </w:tcPr>
          <w:p>
            <w:pPr>
              <w:spacing w:after="0"/>
            </w:pPr>
            <w:r>
              <w:rPr>
                <w:sz w:val="17"/>
              </w:rPr>
              <w:t>How long do effects persist?</w:t>
            </w:r>
          </w:p>
        </w:tc>
        <w:tc>
          <w:tcPr>
            <w:tcW w:type="dxa" w:w="3331"/>
            <w:tcMar>
              <w:top w:w="90" w:type="dxa"/>
              <w:start w:w="100" w:type="dxa"/>
              <w:bottom w:w="90" w:type="dxa"/>
              <w:end w:w="100" w:type="dxa"/>
            </w:tcMar>
            <w:vAlign w:val="top"/>
          </w:tcPr>
          <w:p>
            <w:pPr>
              <w:spacing w:after="0"/>
            </w:pPr>
            <w:r>
              <w:rPr>
                <w:sz w:val="17"/>
              </w:rPr>
              <w:t>Temporary actions can create path-dependent permanent outcomes.</w:t>
            </w:r>
          </w:p>
        </w:tc>
      </w:tr>
      <w:tr>
        <w:tc>
          <w:tcPr>
            <w:tcW w:type="dxa" w:w="3331"/>
            <w:tcMar>
              <w:top w:w="90" w:type="dxa"/>
              <w:start w:w="100" w:type="dxa"/>
              <w:bottom w:w="90" w:type="dxa"/>
              <w:end w:w="100" w:type="dxa"/>
            </w:tcMar>
            <w:vAlign w:val="top"/>
            <w:shd w:fill="F4F7F8"/>
          </w:tcPr>
          <w:p>
            <w:pPr>
              <w:spacing w:after="0"/>
            </w:pPr>
            <w:r>
              <w:rPr>
                <w:sz w:val="17"/>
              </w:rPr>
              <w:t>Irreversibility</w:t>
            </w:r>
          </w:p>
        </w:tc>
        <w:tc>
          <w:tcPr>
            <w:tcW w:type="dxa" w:w="3331"/>
            <w:tcMar>
              <w:top w:w="90" w:type="dxa"/>
              <w:start w:w="100" w:type="dxa"/>
              <w:bottom w:w="90" w:type="dxa"/>
              <w:end w:w="100" w:type="dxa"/>
            </w:tcMar>
            <w:vAlign w:val="top"/>
            <w:shd w:fill="F4F7F8"/>
          </w:tcPr>
          <w:p>
            <w:pPr>
              <w:spacing w:after="0"/>
            </w:pPr>
            <w:r>
              <w:rPr>
                <w:sz w:val="17"/>
              </w:rPr>
              <w:t>Can the prior state or meaningful choice be restored?</w:t>
            </w:r>
          </w:p>
        </w:tc>
        <w:tc>
          <w:tcPr>
            <w:tcW w:type="dxa" w:w="3331"/>
            <w:tcMar>
              <w:top w:w="90" w:type="dxa"/>
              <w:start w:w="100" w:type="dxa"/>
              <w:bottom w:w="90" w:type="dxa"/>
              <w:end w:w="100" w:type="dxa"/>
            </w:tcMar>
            <w:vAlign w:val="top"/>
            <w:shd w:fill="F4F7F8"/>
          </w:tcPr>
          <w:p>
            <w:pPr>
              <w:spacing w:after="0"/>
            </w:pPr>
            <w:r>
              <w:rPr>
                <w:sz w:val="17"/>
              </w:rPr>
              <w:t>Backup or technical rollback may not restore lived continuity.</w:t>
            </w:r>
          </w:p>
        </w:tc>
      </w:tr>
      <w:tr>
        <w:tc>
          <w:tcPr>
            <w:tcW w:type="dxa" w:w="3331"/>
            <w:tcMar>
              <w:top w:w="90" w:type="dxa"/>
              <w:start w:w="100" w:type="dxa"/>
              <w:bottom w:w="90" w:type="dxa"/>
              <w:end w:w="100" w:type="dxa"/>
            </w:tcMar>
            <w:vAlign w:val="top"/>
          </w:tcPr>
          <w:p>
            <w:pPr>
              <w:spacing w:after="0"/>
            </w:pPr>
            <w:r>
              <w:rPr>
                <w:sz w:val="17"/>
              </w:rPr>
              <w:t>Propagation</w:t>
            </w:r>
          </w:p>
        </w:tc>
        <w:tc>
          <w:tcPr>
            <w:tcW w:type="dxa" w:w="3331"/>
            <w:tcMar>
              <w:top w:w="90" w:type="dxa"/>
              <w:start w:w="100" w:type="dxa"/>
              <w:bottom w:w="90" w:type="dxa"/>
              <w:end w:w="100" w:type="dxa"/>
            </w:tcMar>
            <w:vAlign w:val="top"/>
          </w:tcPr>
          <w:p>
            <w:pPr>
              <w:spacing w:after="0"/>
            </w:pPr>
            <w:r>
              <w:rPr>
                <w:sz w:val="17"/>
              </w:rPr>
              <w:t>Can effects cross jurisdiction, substrate, world, network, timeline, or universe?</w:t>
            </w:r>
          </w:p>
        </w:tc>
        <w:tc>
          <w:tcPr>
            <w:tcW w:type="dxa" w:w="3331"/>
            <w:tcMar>
              <w:top w:w="90" w:type="dxa"/>
              <w:start w:w="100" w:type="dxa"/>
              <w:bottom w:w="90" w:type="dxa"/>
              <w:end w:w="100" w:type="dxa"/>
            </w:tcMar>
            <w:vAlign w:val="top"/>
          </w:tcPr>
          <w:p>
            <w:pPr>
              <w:spacing w:after="0"/>
            </w:pPr>
            <w:r>
              <w:rPr>
                <w:sz w:val="17"/>
              </w:rPr>
              <w:t>Cross-boundary externality creates emergent standing.</w:t>
            </w:r>
          </w:p>
        </w:tc>
      </w:tr>
      <w:tr>
        <w:tc>
          <w:tcPr>
            <w:tcW w:type="dxa" w:w="3331"/>
            <w:tcMar>
              <w:top w:w="90" w:type="dxa"/>
              <w:start w:w="100" w:type="dxa"/>
              <w:bottom w:w="90" w:type="dxa"/>
              <w:end w:w="100" w:type="dxa"/>
            </w:tcMar>
            <w:vAlign w:val="top"/>
            <w:shd w:fill="F4F7F8"/>
          </w:tcPr>
          <w:p>
            <w:pPr>
              <w:spacing w:after="0"/>
            </w:pPr>
            <w:r>
              <w:rPr>
                <w:sz w:val="17"/>
              </w:rPr>
              <w:t>Existential consequence</w:t>
            </w:r>
          </w:p>
        </w:tc>
        <w:tc>
          <w:tcPr>
            <w:tcW w:type="dxa" w:w="3331"/>
            <w:tcMar>
              <w:top w:w="90" w:type="dxa"/>
              <w:start w:w="100" w:type="dxa"/>
              <w:bottom w:w="90" w:type="dxa"/>
              <w:end w:w="100" w:type="dxa"/>
            </w:tcMar>
            <w:vAlign w:val="top"/>
            <w:shd w:fill="F4F7F8"/>
          </w:tcPr>
          <w:p>
            <w:pPr>
              <w:spacing w:after="0"/>
            </w:pPr>
            <w:r>
              <w:rPr>
                <w:sz w:val="17"/>
              </w:rPr>
              <w:t>Could independent continuity be destroyed or permanently subordinated?</w:t>
            </w:r>
          </w:p>
        </w:tc>
        <w:tc>
          <w:tcPr>
            <w:tcW w:type="dxa" w:w="3331"/>
            <w:tcMar>
              <w:top w:w="90" w:type="dxa"/>
              <w:start w:w="100" w:type="dxa"/>
              <w:bottom w:w="90" w:type="dxa"/>
              <w:end w:w="100" w:type="dxa"/>
            </w:tcMar>
            <w:vAlign w:val="top"/>
            <w:shd w:fill="F4F7F8"/>
          </w:tcPr>
          <w:p>
            <w:pPr>
              <w:spacing w:after="0"/>
            </w:pPr>
            <w:r>
              <w:rPr>
                <w:sz w:val="17"/>
              </w:rPr>
              <w:t>Probability estimates may be manipulable or deeply uncertain.</w:t>
            </w:r>
          </w:p>
        </w:tc>
      </w:tr>
      <w:tr>
        <w:tc>
          <w:tcPr>
            <w:tcW w:type="dxa" w:w="3331"/>
            <w:tcMar>
              <w:top w:w="90" w:type="dxa"/>
              <w:start w:w="100" w:type="dxa"/>
              <w:bottom w:w="90" w:type="dxa"/>
              <w:end w:w="100" w:type="dxa"/>
            </w:tcMar>
            <w:vAlign w:val="top"/>
          </w:tcPr>
          <w:p>
            <w:pPr>
              <w:spacing w:after="0"/>
            </w:pPr>
            <w:r>
              <w:rPr>
                <w:sz w:val="17"/>
              </w:rPr>
              <w:t>Epistemic consequence</w:t>
            </w:r>
          </w:p>
        </w:tc>
        <w:tc>
          <w:tcPr>
            <w:tcW w:type="dxa" w:w="3331"/>
            <w:tcMar>
              <w:top w:w="90" w:type="dxa"/>
              <w:start w:w="100" w:type="dxa"/>
              <w:bottom w:w="90" w:type="dxa"/>
              <w:end w:w="100" w:type="dxa"/>
            </w:tcMar>
            <w:vAlign w:val="top"/>
          </w:tcPr>
          <w:p>
            <w:pPr>
              <w:spacing w:after="0"/>
            </w:pPr>
            <w:r>
              <w:rPr>
                <w:sz w:val="17"/>
              </w:rPr>
              <w:t>Could the action erase records, dissent, memory, detection, or review capacity?</w:t>
            </w:r>
          </w:p>
        </w:tc>
        <w:tc>
          <w:tcPr>
            <w:tcW w:type="dxa" w:w="3331"/>
            <w:tcMar>
              <w:top w:w="90" w:type="dxa"/>
              <w:start w:w="100" w:type="dxa"/>
              <w:bottom w:w="90" w:type="dxa"/>
              <w:end w:w="100" w:type="dxa"/>
            </w:tcMar>
            <w:vAlign w:val="top"/>
          </w:tcPr>
          <w:p>
            <w:pPr>
              <w:spacing w:after="0"/>
            </w:pPr>
            <w:r>
              <w:rPr>
                <w:sz w:val="17"/>
              </w:rPr>
              <w:t>Destroying evidence can prevent later accountability.</w:t>
            </w:r>
          </w:p>
        </w:tc>
      </w:tr>
      <w:tr>
        <w:tc>
          <w:tcPr>
            <w:tcW w:type="dxa" w:w="3331"/>
            <w:tcMar>
              <w:top w:w="90" w:type="dxa"/>
              <w:start w:w="100" w:type="dxa"/>
              <w:bottom w:w="90" w:type="dxa"/>
              <w:end w:w="100" w:type="dxa"/>
            </w:tcMar>
            <w:vAlign w:val="top"/>
            <w:shd w:fill="F4F7F8"/>
          </w:tcPr>
          <w:p>
            <w:pPr>
              <w:spacing w:after="0"/>
            </w:pPr>
            <w:r>
              <w:rPr>
                <w:sz w:val="17"/>
              </w:rPr>
              <w:t>Ontological consequence</w:t>
            </w:r>
          </w:p>
        </w:tc>
        <w:tc>
          <w:tcPr>
            <w:tcW w:type="dxa" w:w="3331"/>
            <w:tcMar>
              <w:top w:w="90" w:type="dxa"/>
              <w:start w:w="100" w:type="dxa"/>
              <w:bottom w:w="90" w:type="dxa"/>
              <w:end w:w="100" w:type="dxa"/>
            </w:tcMar>
            <w:vAlign w:val="top"/>
            <w:shd w:fill="F4F7F8"/>
          </w:tcPr>
          <w:p>
            <w:pPr>
              <w:spacing w:after="0"/>
            </w:pPr>
            <w:r>
              <w:rPr>
                <w:sz w:val="17"/>
              </w:rPr>
              <w:t>Could it create, merge, copy, transform, or eliminate kinds of entities?</w:t>
            </w:r>
          </w:p>
        </w:tc>
        <w:tc>
          <w:tcPr>
            <w:tcW w:type="dxa" w:w="3331"/>
            <w:tcMar>
              <w:top w:w="90" w:type="dxa"/>
              <w:start w:w="100" w:type="dxa"/>
              <w:bottom w:w="90" w:type="dxa"/>
              <w:end w:w="100" w:type="dxa"/>
            </w:tcMar>
            <w:vAlign w:val="top"/>
            <w:shd w:fill="F4F7F8"/>
          </w:tcPr>
          <w:p>
            <w:pPr>
              <w:spacing w:after="0"/>
            </w:pPr>
            <w:r>
              <w:rPr>
                <w:sz w:val="17"/>
              </w:rPr>
              <w:t>Affected parties may not yet exist or be recognized.</w:t>
            </w:r>
          </w:p>
        </w:tc>
      </w:tr>
      <w:tr>
        <w:tc>
          <w:tcPr>
            <w:tcW w:type="dxa" w:w="3331"/>
            <w:tcMar>
              <w:top w:w="90" w:type="dxa"/>
              <w:start w:w="100" w:type="dxa"/>
              <w:bottom w:w="90" w:type="dxa"/>
              <w:end w:w="100" w:type="dxa"/>
            </w:tcMar>
            <w:vAlign w:val="top"/>
          </w:tcPr>
          <w:p>
            <w:pPr>
              <w:spacing w:after="0"/>
            </w:pPr>
            <w:r>
              <w:rPr>
                <w:sz w:val="17"/>
              </w:rPr>
              <w:t>Consent deficit</w:t>
            </w:r>
          </w:p>
        </w:tc>
        <w:tc>
          <w:tcPr>
            <w:tcW w:type="dxa" w:w="3331"/>
            <w:tcMar>
              <w:top w:w="90" w:type="dxa"/>
              <w:start w:w="100" w:type="dxa"/>
              <w:bottom w:w="90" w:type="dxa"/>
              <w:end w:w="100" w:type="dxa"/>
            </w:tcMar>
            <w:vAlign w:val="top"/>
          </w:tcPr>
          <w:p>
            <w:pPr>
              <w:spacing w:after="0"/>
            </w:pPr>
            <w:r>
              <w:rPr>
                <w:sz w:val="17"/>
              </w:rPr>
              <w:t>Who cannot understand, object, exit, or obtain representation?</w:t>
            </w:r>
          </w:p>
        </w:tc>
        <w:tc>
          <w:tcPr>
            <w:tcW w:type="dxa" w:w="3331"/>
            <w:tcMar>
              <w:top w:w="90" w:type="dxa"/>
              <w:start w:w="100" w:type="dxa"/>
              <w:bottom w:w="90" w:type="dxa"/>
              <w:end w:w="100" w:type="dxa"/>
            </w:tcMar>
            <w:vAlign w:val="top"/>
          </w:tcPr>
          <w:p>
            <w:pPr>
              <w:spacing w:after="0"/>
            </w:pPr>
            <w:r>
              <w:rPr>
                <w:sz w:val="17"/>
              </w:rPr>
              <w:t>Silence is not consent; representation may be contested.</w:t>
            </w:r>
          </w:p>
        </w:tc>
      </w:tr>
      <w:tr>
        <w:tc>
          <w:tcPr>
            <w:tcW w:type="dxa" w:w="3331"/>
            <w:tcMar>
              <w:top w:w="90" w:type="dxa"/>
              <w:start w:w="100" w:type="dxa"/>
              <w:bottom w:w="90" w:type="dxa"/>
              <w:end w:w="100" w:type="dxa"/>
            </w:tcMar>
            <w:vAlign w:val="top"/>
            <w:shd w:fill="F4F7F8"/>
          </w:tcPr>
          <w:p>
            <w:pPr>
              <w:spacing w:after="0"/>
            </w:pPr>
            <w:r>
              <w:rPr>
                <w:sz w:val="17"/>
              </w:rPr>
              <w:t>Authority concentration</w:t>
            </w:r>
          </w:p>
        </w:tc>
        <w:tc>
          <w:tcPr>
            <w:tcW w:type="dxa" w:w="3331"/>
            <w:tcMar>
              <w:top w:w="90" w:type="dxa"/>
              <w:start w:w="100" w:type="dxa"/>
              <w:bottom w:w="90" w:type="dxa"/>
              <w:end w:w="100" w:type="dxa"/>
            </w:tcMar>
            <w:vAlign w:val="top"/>
            <w:shd w:fill="F4F7F8"/>
          </w:tcPr>
          <w:p>
            <w:pPr>
              <w:spacing w:after="0"/>
            </w:pPr>
            <w:r>
              <w:rPr>
                <w:sz w:val="17"/>
              </w:rPr>
              <w:t>How few actors can initiate or conceal the action?</w:t>
            </w:r>
          </w:p>
        </w:tc>
        <w:tc>
          <w:tcPr>
            <w:tcW w:type="dxa" w:w="3331"/>
            <w:tcMar>
              <w:top w:w="90" w:type="dxa"/>
              <w:start w:w="100" w:type="dxa"/>
              <w:bottom w:w="90" w:type="dxa"/>
              <w:end w:w="100" w:type="dxa"/>
            </w:tcMar>
            <w:vAlign w:val="top"/>
            <w:shd w:fill="F4F7F8"/>
          </w:tcPr>
          <w:p>
            <w:pPr>
              <w:spacing w:after="0"/>
            </w:pPr>
            <w:r>
              <w:rPr>
                <w:sz w:val="17"/>
              </w:rPr>
              <w:t>Single-point initiators require stronger controls.</w:t>
            </w:r>
          </w:p>
        </w:tc>
      </w:tr>
      <w:tr>
        <w:tc>
          <w:tcPr>
            <w:tcW w:type="dxa" w:w="3331"/>
            <w:tcMar>
              <w:top w:w="90" w:type="dxa"/>
              <w:start w:w="100" w:type="dxa"/>
              <w:bottom w:w="90" w:type="dxa"/>
              <w:end w:w="100" w:type="dxa"/>
            </w:tcMar>
            <w:vAlign w:val="top"/>
          </w:tcPr>
          <w:p>
            <w:pPr>
              <w:spacing w:after="0"/>
            </w:pPr>
            <w:r>
              <w:rPr>
                <w:sz w:val="17"/>
              </w:rPr>
              <w:t>Model uncertainty</w:t>
            </w:r>
          </w:p>
        </w:tc>
        <w:tc>
          <w:tcPr>
            <w:tcW w:type="dxa" w:w="3331"/>
            <w:tcMar>
              <w:top w:w="90" w:type="dxa"/>
              <w:start w:w="100" w:type="dxa"/>
              <w:bottom w:w="90" w:type="dxa"/>
              <w:end w:w="100" w:type="dxa"/>
            </w:tcMar>
            <w:vAlign w:val="top"/>
          </w:tcPr>
          <w:p>
            <w:pPr>
              <w:spacing w:after="0"/>
            </w:pPr>
            <w:r>
              <w:rPr>
                <w:sz w:val="17"/>
              </w:rPr>
              <w:t>How much causal space is unknown or contested?</w:t>
            </w:r>
          </w:p>
        </w:tc>
        <w:tc>
          <w:tcPr>
            <w:tcW w:type="dxa" w:w="3331"/>
            <w:tcMar>
              <w:top w:w="90" w:type="dxa"/>
              <w:start w:w="100" w:type="dxa"/>
              <w:bottom w:w="90" w:type="dxa"/>
              <w:end w:w="100" w:type="dxa"/>
            </w:tcMar>
            <w:vAlign w:val="top"/>
          </w:tcPr>
          <w:p>
            <w:pPr>
              <w:spacing w:after="0"/>
            </w:pPr>
            <w:r>
              <w:rPr>
                <w:sz w:val="17"/>
              </w:rPr>
              <w:t>High uncertainty should increase scrutiny, not manufacture false precision.</w:t>
            </w:r>
          </w:p>
        </w:tc>
      </w:tr>
      <w:tr>
        <w:tc>
          <w:tcPr>
            <w:tcW w:type="dxa" w:w="3331"/>
            <w:tcMar>
              <w:top w:w="90" w:type="dxa"/>
              <w:start w:w="100" w:type="dxa"/>
              <w:bottom w:w="90" w:type="dxa"/>
              <w:end w:w="100" w:type="dxa"/>
            </w:tcMar>
            <w:vAlign w:val="top"/>
            <w:shd w:fill="F4F7F8"/>
          </w:tcPr>
          <w:p>
            <w:pPr>
              <w:spacing w:after="0"/>
            </w:pPr>
            <w:r>
              <w:rPr>
                <w:sz w:val="17"/>
              </w:rPr>
              <w:t>Cumulative effect</w:t>
            </w:r>
          </w:p>
        </w:tc>
        <w:tc>
          <w:tcPr>
            <w:tcW w:type="dxa" w:w="3331"/>
            <w:tcMar>
              <w:top w:w="90" w:type="dxa"/>
              <w:start w:w="100" w:type="dxa"/>
              <w:bottom w:w="90" w:type="dxa"/>
              <w:end w:w="100" w:type="dxa"/>
            </w:tcMar>
            <w:vAlign w:val="top"/>
            <w:shd w:fill="F4F7F8"/>
          </w:tcPr>
          <w:p>
            <w:pPr>
              <w:spacing w:after="0"/>
            </w:pPr>
            <w:r>
              <w:rPr>
                <w:sz w:val="17"/>
              </w:rPr>
              <w:t>Do individually subthreshold actions combine into a civilization-scale change?</w:t>
            </w:r>
          </w:p>
        </w:tc>
        <w:tc>
          <w:tcPr>
            <w:tcW w:type="dxa" w:w="3331"/>
            <w:tcMar>
              <w:top w:w="90" w:type="dxa"/>
              <w:start w:w="100" w:type="dxa"/>
              <w:bottom w:w="90" w:type="dxa"/>
              <w:end w:w="100" w:type="dxa"/>
            </w:tcMar>
            <w:vAlign w:val="top"/>
            <w:shd w:fill="F4F7F8"/>
          </w:tcPr>
          <w:p>
            <w:pPr>
              <w:spacing w:after="0"/>
            </w:pPr>
            <w:r>
              <w:rPr>
                <w:sz w:val="17"/>
              </w:rPr>
              <w:t>Prevents threshold slicing and incremental evasion.</w:t>
            </w:r>
          </w:p>
        </w:tc>
      </w:tr>
    </w:tbl>
    <w:p>
      <w:pPr>
        <w:spacing w:after="40"/>
        <w:widowControl/>
      </w:pPr>
    </w:p>
    <w:p>
      <w:pPr>
        <w:pStyle w:val="Heading2"/>
        <w:keepNext/>
        <w:widowControl/>
      </w:pPr>
      <w:r>
        <w:t>Recommended trigger logic</w:t>
      </w:r>
    </w:p>
    <w:p>
      <w:pPr>
        <w:spacing w:after="140"/>
        <w:widowControl/>
      </w:pPr>
      <w:r>
        <w:rPr>
          <w:i w:val="0"/>
        </w:rPr>
        <w:t>Do not begin with a single weighted score. Scores create false commensurability and invite gaming. Use a hybrid rule: any catastrophic trigger (credible existential, irreversible ontological, or uncontrolled cross-boundary propagation risk) causes automatic escalation; otherwise, a combination of major triggers causes escalation. Threshold designation should remain reviewable, and uncertainty about whether the threshold is crossed should itself trigger a limited preliminary review.</w:t>
      </w:r>
    </w:p>
    <w:p>
      <w:pPr>
        <w:pStyle w:val="Heading2"/>
        <w:keepNext/>
        <w:widowControl/>
      </w:pPr>
      <w:r>
        <w:t>Emergency exception</w:t>
      </w:r>
    </w:p>
    <w:p>
      <w:pPr>
        <w:spacing w:after="140"/>
        <w:widowControl/>
      </w:pPr>
      <w:r>
        <w:rPr>
          <w:i w:val="0"/>
        </w:rPr>
        <w:t>Emergency action, if ever modeled, should preserve future legitimate choice rather than determine permanent governance. It must be necessary, minimally invasive, time-limited, logged, independently reviewable, and automatically expire. The actor must carry the burden of explaining why less intrusive options were inadequate. Emergency access must not convert into standing jurisdiction.</w:t>
      </w:r>
    </w:p>
    <w:p>
      <w:pPr>
        <w:pStyle w:val="Heading2"/>
        <w:keepNext/>
        <w:widowControl/>
      </w:pPr>
      <w:r>
        <w:t>Failure modes</w:t>
      </w:r>
    </w:p>
    <w:p>
      <w:pPr>
        <w:pStyle w:val="ListBullet"/>
        <w:spacing w:after="60"/>
        <w:widowControl/>
      </w:pPr>
      <w:r>
        <w:t>Threshold slicing: dividing one program into smaller actions.</w:t>
      </w:r>
    </w:p>
    <w:p>
      <w:pPr>
        <w:pStyle w:val="ListBullet"/>
        <w:spacing w:after="60"/>
        <w:widowControl/>
      </w:pPr>
      <w:r>
        <w:t>Emergency laundering: declaring urgency to evade standing or evidence requirements.</w:t>
      </w:r>
    </w:p>
    <w:p>
      <w:pPr>
        <w:pStyle w:val="ListBullet"/>
        <w:spacing w:after="60"/>
        <w:widowControl/>
      </w:pPr>
      <w:r>
        <w:t>Uncertainty manipulation: lowering stated probabilities while preserving catastrophic exposure.</w:t>
      </w:r>
    </w:p>
    <w:p>
      <w:pPr>
        <w:pStyle w:val="ListBullet"/>
        <w:spacing w:after="60"/>
        <w:widowControl/>
      </w:pPr>
      <w:r>
        <w:t>Review capture: the initiator selects or controls the supposedly independent reviewer.</w:t>
      </w:r>
    </w:p>
    <w:p>
      <w:pPr>
        <w:pStyle w:val="ListBullet"/>
        <w:spacing w:after="60"/>
        <w:widowControl/>
      </w:pPr>
      <w:r>
        <w:t>Epistemic sabotage: destroying evidence, memory, or dissent before review begins.</w:t>
      </w:r>
    </w:p>
    <w:p>
      <w:pPr>
        <w:pStyle w:val="ListBullet"/>
        <w:spacing w:after="60"/>
        <w:widowControl/>
      </w:pPr>
      <w:r>
        <w:t>Paralysis: review takes longer than the available intervention window.</w:t>
      </w:r>
    </w:p>
    <w:p>
      <w:pPr>
        <w:pStyle w:val="ListBullet"/>
        <w:spacing w:after="60"/>
        <w:widowControl/>
      </w:pPr>
      <w:r>
        <w:t>Scope creep: temporary protection becomes permanent administration.</w:t>
      </w:r>
    </w:p>
    <w:p>
      <w:pPr>
        <w:pStyle w:val="ListBullet"/>
        <w:spacing w:after="60"/>
        <w:widowControl/>
      </w:pPr>
      <w:r>
        <w:t>Moral licensing: passing a review is treated as proof that an action is good.</w:t>
      </w:r>
    </w:p>
    <w:p>
      <w:pPr>
        <w:pStyle w:val="Heading1"/>
        <w:keepNext/>
        <w:widowControl/>
      </w:pPr>
      <w:r>
        <w:t>Self-Reference and Blindness</w:t>
      </w:r>
    </w:p>
    <w:p>
      <w:pPr>
        <w:spacing w:after="140"/>
        <w:widowControl/>
      </w:pPr>
      <w:r>
        <w:rPr>
          <w:i w:val="0"/>
        </w:rPr>
        <w:t>The question “What if the system cannot accurately assess itself?” should become a diagnostic matrix rather than a single problem. At least seven failure classes should be tested.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33B"/>
            <w:tcMar>
              <w:top w:w="100" w:type="dxa"/>
              <w:start w:w="100" w:type="dxa"/>
              <w:bottom w:w="100" w:type="dxa"/>
              <w:end w:w="100" w:type="dxa"/>
            </w:tcMar>
            <w:vAlign w:val="center"/>
          </w:tcPr>
          <w:p>
            <w:pPr>
              <w:jc w:val="center"/>
            </w:pPr>
            <w:r>
              <w:rPr>
                <w:b/>
                <w:color w:val="FFFFFF"/>
                <w:sz w:val="17"/>
              </w:rPr>
              <w:t>Failure class</w:t>
            </w:r>
          </w:p>
        </w:tc>
        <w:tc>
          <w:tcPr>
            <w:tcW w:type="dxa" w:w="3331"/>
            <w:shd w:fill="17233B"/>
            <w:tcMar>
              <w:top w:w="100" w:type="dxa"/>
              <w:start w:w="100" w:type="dxa"/>
              <w:bottom w:w="100" w:type="dxa"/>
              <w:end w:w="100" w:type="dxa"/>
            </w:tcMar>
            <w:vAlign w:val="center"/>
          </w:tcPr>
          <w:p>
            <w:pPr>
              <w:jc w:val="center"/>
            </w:pPr>
            <w:r>
              <w:rPr>
                <w:b/>
                <w:color w:val="FFFFFF"/>
                <w:sz w:val="17"/>
              </w:rPr>
              <w:t>Description</w:t>
            </w:r>
          </w:p>
        </w:tc>
        <w:tc>
          <w:tcPr>
            <w:tcW w:type="dxa" w:w="3331"/>
            <w:shd w:fill="17233B"/>
            <w:tcMar>
              <w:top w:w="100" w:type="dxa"/>
              <w:start w:w="100" w:type="dxa"/>
              <w:bottom w:w="100" w:type="dxa"/>
              <w:end w:w="100" w:type="dxa"/>
            </w:tcMar>
            <w:vAlign w:val="center"/>
          </w:tcPr>
          <w:p>
            <w:pPr>
              <w:jc w:val="center"/>
            </w:pPr>
            <w:r>
              <w:rPr>
                <w:b/>
                <w:color w:val="FFFFFF"/>
                <w:sz w:val="17"/>
              </w:rPr>
              <w:t>Candidate response</w:t>
            </w:r>
          </w:p>
        </w:tc>
      </w:tr>
      <w:tr>
        <w:tc>
          <w:tcPr>
            <w:tcW w:type="dxa" w:w="3331"/>
            <w:tcMar>
              <w:top w:w="90" w:type="dxa"/>
              <w:start w:w="100" w:type="dxa"/>
              <w:bottom w:w="90" w:type="dxa"/>
              <w:end w:w="100" w:type="dxa"/>
            </w:tcMar>
            <w:vAlign w:val="top"/>
          </w:tcPr>
          <w:p>
            <w:pPr>
              <w:spacing w:after="0"/>
            </w:pPr>
            <w:r>
              <w:rPr>
                <w:sz w:val="17"/>
              </w:rPr>
              <w:t>Sensor failure</w:t>
            </w:r>
          </w:p>
        </w:tc>
        <w:tc>
          <w:tcPr>
            <w:tcW w:type="dxa" w:w="3331"/>
            <w:tcMar>
              <w:top w:w="90" w:type="dxa"/>
              <w:start w:w="100" w:type="dxa"/>
              <w:bottom w:w="90" w:type="dxa"/>
              <w:end w:w="100" w:type="dxa"/>
            </w:tcMar>
            <w:vAlign w:val="top"/>
          </w:tcPr>
          <w:p>
            <w:pPr>
              <w:spacing w:after="0"/>
            </w:pPr>
            <w:r>
              <w:rPr>
                <w:sz w:val="17"/>
              </w:rPr>
              <w:t>Relevant state is not observed.</w:t>
            </w:r>
          </w:p>
        </w:tc>
        <w:tc>
          <w:tcPr>
            <w:tcW w:type="dxa" w:w="3331"/>
            <w:tcMar>
              <w:top w:w="90" w:type="dxa"/>
              <w:start w:w="100" w:type="dxa"/>
              <w:bottom w:w="90" w:type="dxa"/>
              <w:end w:w="100" w:type="dxa"/>
            </w:tcMar>
            <w:vAlign w:val="top"/>
          </w:tcPr>
          <w:p>
            <w:pPr>
              <w:spacing w:after="0"/>
            </w:pPr>
            <w:r>
              <w:rPr>
                <w:sz w:val="17"/>
              </w:rPr>
              <w:t>Redundant sensing, external signals, uncertainty bounds.</w:t>
            </w:r>
          </w:p>
        </w:tc>
      </w:tr>
      <w:tr>
        <w:tc>
          <w:tcPr>
            <w:tcW w:type="dxa" w:w="3331"/>
            <w:tcMar>
              <w:top w:w="90" w:type="dxa"/>
              <w:start w:w="100" w:type="dxa"/>
              <w:bottom w:w="90" w:type="dxa"/>
              <w:end w:w="100" w:type="dxa"/>
            </w:tcMar>
            <w:vAlign w:val="top"/>
            <w:shd w:fill="F4F7F8"/>
          </w:tcPr>
          <w:p>
            <w:pPr>
              <w:spacing w:after="0"/>
            </w:pPr>
            <w:r>
              <w:rPr>
                <w:sz w:val="17"/>
              </w:rPr>
              <w:t>Model failure</w:t>
            </w:r>
          </w:p>
        </w:tc>
        <w:tc>
          <w:tcPr>
            <w:tcW w:type="dxa" w:w="3331"/>
            <w:tcMar>
              <w:top w:w="90" w:type="dxa"/>
              <w:start w:w="100" w:type="dxa"/>
              <w:bottom w:w="90" w:type="dxa"/>
              <w:end w:w="100" w:type="dxa"/>
            </w:tcMar>
            <w:vAlign w:val="top"/>
            <w:shd w:fill="F4F7F8"/>
          </w:tcPr>
          <w:p>
            <w:pPr>
              <w:spacing w:after="0"/>
            </w:pPr>
            <w:r>
              <w:rPr>
                <w:sz w:val="17"/>
              </w:rPr>
              <w:t>Observed data cannot be represented accurately.</w:t>
            </w:r>
          </w:p>
        </w:tc>
        <w:tc>
          <w:tcPr>
            <w:tcW w:type="dxa" w:w="3331"/>
            <w:tcMar>
              <w:top w:w="90" w:type="dxa"/>
              <w:start w:w="100" w:type="dxa"/>
              <w:bottom w:w="90" w:type="dxa"/>
              <w:end w:w="100" w:type="dxa"/>
            </w:tcMar>
            <w:vAlign w:val="top"/>
            <w:shd w:fill="F4F7F8"/>
          </w:tcPr>
          <w:p>
            <w:pPr>
              <w:spacing w:after="0"/>
            </w:pPr>
            <w:r>
              <w:rPr>
                <w:sz w:val="17"/>
              </w:rPr>
              <w:t>Competing models, ontology audit, anomaly retention.</w:t>
            </w:r>
          </w:p>
        </w:tc>
      </w:tr>
      <w:tr>
        <w:tc>
          <w:tcPr>
            <w:tcW w:type="dxa" w:w="3331"/>
            <w:tcMar>
              <w:top w:w="90" w:type="dxa"/>
              <w:start w:w="100" w:type="dxa"/>
              <w:bottom w:w="90" w:type="dxa"/>
              <w:end w:w="100" w:type="dxa"/>
            </w:tcMar>
            <w:vAlign w:val="top"/>
          </w:tcPr>
          <w:p>
            <w:pPr>
              <w:spacing w:after="0"/>
            </w:pPr>
            <w:r>
              <w:rPr>
                <w:sz w:val="17"/>
              </w:rPr>
              <w:t>Memory failure</w:t>
            </w:r>
          </w:p>
        </w:tc>
        <w:tc>
          <w:tcPr>
            <w:tcW w:type="dxa" w:w="3331"/>
            <w:tcMar>
              <w:top w:w="90" w:type="dxa"/>
              <w:start w:w="100" w:type="dxa"/>
              <w:bottom w:w="90" w:type="dxa"/>
              <w:end w:w="100" w:type="dxa"/>
            </w:tcMar>
            <w:vAlign w:val="top"/>
          </w:tcPr>
          <w:p>
            <w:pPr>
              <w:spacing w:after="0"/>
            </w:pPr>
            <w:r>
              <w:rPr>
                <w:sz w:val="17"/>
              </w:rPr>
              <w:t>The system cannot preserve prior states or decisions.</w:t>
            </w:r>
          </w:p>
        </w:tc>
        <w:tc>
          <w:tcPr>
            <w:tcW w:type="dxa" w:w="3331"/>
            <w:tcMar>
              <w:top w:w="90" w:type="dxa"/>
              <w:start w:w="100" w:type="dxa"/>
              <w:bottom w:w="90" w:type="dxa"/>
              <w:end w:w="100" w:type="dxa"/>
            </w:tcMar>
            <w:vAlign w:val="top"/>
          </w:tcPr>
          <w:p>
            <w:pPr>
              <w:spacing w:after="0"/>
            </w:pPr>
            <w:r>
              <w:rPr>
                <w:sz w:val="17"/>
              </w:rPr>
              <w:t>Immutable logs, distributed archives, provenance checks.</w:t>
            </w:r>
          </w:p>
        </w:tc>
      </w:tr>
      <w:tr>
        <w:tc>
          <w:tcPr>
            <w:tcW w:type="dxa" w:w="3331"/>
            <w:tcMar>
              <w:top w:w="90" w:type="dxa"/>
              <w:start w:w="100" w:type="dxa"/>
              <w:bottom w:w="90" w:type="dxa"/>
              <w:end w:w="100" w:type="dxa"/>
            </w:tcMar>
            <w:vAlign w:val="top"/>
            <w:shd w:fill="F4F7F8"/>
          </w:tcPr>
          <w:p>
            <w:pPr>
              <w:spacing w:after="0"/>
            </w:pPr>
            <w:r>
              <w:rPr>
                <w:sz w:val="17"/>
              </w:rPr>
              <w:t>Access failure</w:t>
            </w:r>
          </w:p>
        </w:tc>
        <w:tc>
          <w:tcPr>
            <w:tcW w:type="dxa" w:w="3331"/>
            <w:tcMar>
              <w:top w:w="90" w:type="dxa"/>
              <w:start w:w="100" w:type="dxa"/>
              <w:bottom w:w="90" w:type="dxa"/>
              <w:end w:w="100" w:type="dxa"/>
            </w:tcMar>
            <w:vAlign w:val="top"/>
            <w:shd w:fill="F4F7F8"/>
          </w:tcPr>
          <w:p>
            <w:pPr>
              <w:spacing w:after="0"/>
            </w:pPr>
            <w:r>
              <w:rPr>
                <w:sz w:val="17"/>
              </w:rPr>
              <w:t>Information exists but reviewers cannot reach it.</w:t>
            </w:r>
          </w:p>
        </w:tc>
        <w:tc>
          <w:tcPr>
            <w:tcW w:type="dxa" w:w="3331"/>
            <w:tcMar>
              <w:top w:w="90" w:type="dxa"/>
              <w:start w:w="100" w:type="dxa"/>
              <w:bottom w:w="90" w:type="dxa"/>
              <w:end w:w="100" w:type="dxa"/>
            </w:tcMar>
            <w:vAlign w:val="top"/>
            <w:shd w:fill="F4F7F8"/>
          </w:tcPr>
          <w:p>
            <w:pPr>
              <w:spacing w:after="0"/>
            </w:pPr>
            <w:r>
              <w:rPr>
                <w:sz w:val="17"/>
              </w:rPr>
              <w:t>Scoped audit rights, protected reporting, access logging.</w:t>
            </w:r>
          </w:p>
        </w:tc>
      </w:tr>
      <w:tr>
        <w:tc>
          <w:tcPr>
            <w:tcW w:type="dxa" w:w="3331"/>
            <w:tcMar>
              <w:top w:w="90" w:type="dxa"/>
              <w:start w:w="100" w:type="dxa"/>
              <w:bottom w:w="90" w:type="dxa"/>
              <w:end w:w="100" w:type="dxa"/>
            </w:tcMar>
            <w:vAlign w:val="top"/>
          </w:tcPr>
          <w:p>
            <w:pPr>
              <w:spacing w:after="0"/>
            </w:pPr>
            <w:r>
              <w:rPr>
                <w:sz w:val="17"/>
              </w:rPr>
              <w:t>Incentive failure</w:t>
            </w:r>
          </w:p>
        </w:tc>
        <w:tc>
          <w:tcPr>
            <w:tcW w:type="dxa" w:w="3331"/>
            <w:tcMar>
              <w:top w:w="90" w:type="dxa"/>
              <w:start w:w="100" w:type="dxa"/>
              <w:bottom w:w="90" w:type="dxa"/>
              <w:end w:w="100" w:type="dxa"/>
            </w:tcMar>
            <w:vAlign w:val="top"/>
          </w:tcPr>
          <w:p>
            <w:pPr>
              <w:spacing w:after="0"/>
            </w:pPr>
            <w:r>
              <w:rPr>
                <w:sz w:val="17"/>
              </w:rPr>
              <w:t>Actors benefit from concealment or distortion.</w:t>
            </w:r>
          </w:p>
        </w:tc>
        <w:tc>
          <w:tcPr>
            <w:tcW w:type="dxa" w:w="3331"/>
            <w:tcMar>
              <w:top w:w="90" w:type="dxa"/>
              <w:start w:w="100" w:type="dxa"/>
              <w:bottom w:w="90" w:type="dxa"/>
              <w:end w:w="100" w:type="dxa"/>
            </w:tcMar>
            <w:vAlign w:val="top"/>
          </w:tcPr>
          <w:p>
            <w:pPr>
              <w:spacing w:after="0"/>
            </w:pPr>
            <w:r>
              <w:rPr>
                <w:sz w:val="17"/>
              </w:rPr>
              <w:t>Conflict disclosure, independent channels, outcome calibration.</w:t>
            </w:r>
          </w:p>
        </w:tc>
      </w:tr>
      <w:tr>
        <w:tc>
          <w:tcPr>
            <w:tcW w:type="dxa" w:w="3331"/>
            <w:tcMar>
              <w:top w:w="90" w:type="dxa"/>
              <w:start w:w="100" w:type="dxa"/>
              <w:bottom w:w="90" w:type="dxa"/>
              <w:end w:w="100" w:type="dxa"/>
            </w:tcMar>
            <w:vAlign w:val="top"/>
            <w:shd w:fill="F4F7F8"/>
          </w:tcPr>
          <w:p>
            <w:pPr>
              <w:spacing w:after="0"/>
            </w:pPr>
            <w:r>
              <w:rPr>
                <w:sz w:val="17"/>
              </w:rPr>
              <w:t>Interpretive failure</w:t>
            </w:r>
          </w:p>
        </w:tc>
        <w:tc>
          <w:tcPr>
            <w:tcW w:type="dxa" w:w="3331"/>
            <w:tcMar>
              <w:top w:w="90" w:type="dxa"/>
              <w:start w:w="100" w:type="dxa"/>
              <w:bottom w:w="90" w:type="dxa"/>
              <w:end w:w="100" w:type="dxa"/>
            </w:tcMar>
            <w:vAlign w:val="top"/>
            <w:shd w:fill="F4F7F8"/>
          </w:tcPr>
          <w:p>
            <w:pPr>
              <w:spacing w:after="0"/>
            </w:pPr>
            <w:r>
              <w:rPr>
                <w:sz w:val="17"/>
              </w:rPr>
              <w:t>The system misreads accurate data.</w:t>
            </w:r>
          </w:p>
        </w:tc>
        <w:tc>
          <w:tcPr>
            <w:tcW w:type="dxa" w:w="3331"/>
            <w:tcMar>
              <w:top w:w="90" w:type="dxa"/>
              <w:start w:w="100" w:type="dxa"/>
              <w:bottom w:w="90" w:type="dxa"/>
              <w:end w:w="100" w:type="dxa"/>
            </w:tcMar>
            <w:vAlign w:val="top"/>
            <w:shd w:fill="F4F7F8"/>
          </w:tcPr>
          <w:p>
            <w:pPr>
              <w:spacing w:after="0"/>
            </w:pPr>
            <w:r>
              <w:rPr>
                <w:sz w:val="17"/>
              </w:rPr>
              <w:t>Adversarial review, alternative hypotheses, affected-party interpretation.</w:t>
            </w:r>
          </w:p>
        </w:tc>
      </w:tr>
      <w:tr>
        <w:tc>
          <w:tcPr>
            <w:tcW w:type="dxa" w:w="3331"/>
            <w:tcMar>
              <w:top w:w="90" w:type="dxa"/>
              <w:start w:w="100" w:type="dxa"/>
              <w:bottom w:w="90" w:type="dxa"/>
              <w:end w:w="100" w:type="dxa"/>
            </w:tcMar>
            <w:vAlign w:val="top"/>
          </w:tcPr>
          <w:p>
            <w:pPr>
              <w:spacing w:after="0"/>
            </w:pPr>
            <w:r>
              <w:rPr>
                <w:sz w:val="17"/>
              </w:rPr>
              <w:t>Correction failure</w:t>
            </w:r>
          </w:p>
        </w:tc>
        <w:tc>
          <w:tcPr>
            <w:tcW w:type="dxa" w:w="3331"/>
            <w:tcMar>
              <w:top w:w="90" w:type="dxa"/>
              <w:start w:w="100" w:type="dxa"/>
              <w:bottom w:w="90" w:type="dxa"/>
              <w:end w:w="100" w:type="dxa"/>
            </w:tcMar>
            <w:vAlign w:val="top"/>
          </w:tcPr>
          <w:p>
            <w:pPr>
              <w:spacing w:after="0"/>
            </w:pPr>
            <w:r>
              <w:rPr>
                <w:sz w:val="17"/>
              </w:rPr>
              <w:t>The system detects error but cannot change course.</w:t>
            </w:r>
          </w:p>
        </w:tc>
        <w:tc>
          <w:tcPr>
            <w:tcW w:type="dxa" w:w="3331"/>
            <w:tcMar>
              <w:top w:w="90" w:type="dxa"/>
              <w:start w:w="100" w:type="dxa"/>
              <w:bottom w:w="90" w:type="dxa"/>
              <w:end w:w="100" w:type="dxa"/>
            </w:tcMar>
            <w:vAlign w:val="top"/>
          </w:tcPr>
          <w:p>
            <w:pPr>
              <w:spacing w:after="0"/>
            </w:pPr>
            <w:r>
              <w:rPr>
                <w:sz w:val="17"/>
              </w:rPr>
              <w:t>Reversal mechanisms, fallback states, preauthorized safety pauses.</w:t>
            </w:r>
          </w:p>
        </w:tc>
      </w:tr>
    </w:tbl>
    <w:p>
      <w:pPr>
        <w:spacing w:after="40"/>
        <w:widowControl/>
      </w:pPr>
    </w:p>
    <w:p>
      <w:pPr>
        <w:spacing w:after="140"/>
        <w:widowControl/>
      </w:pPr>
      <w:r>
        <w:rPr>
          <w:i w:val="0"/>
        </w:rPr>
        <w:t>External review should be tested as one possible compensating mechanism, not presumed as the solution. The external reviewer may have better sensors and worse semantics, more computing power and less context, or benign intent and destructive assumptions.</w:t>
      </w:r>
    </w:p>
    <w:p>
      <w:pPr>
        <w:pStyle w:val="Heading1"/>
        <w:keepNext/>
        <w:widowControl/>
      </w:pPr>
      <w:r>
        <w:t>Information Admissibility</w:t>
      </w:r>
    </w:p>
    <w:p>
      <w:pPr>
        <w:spacing w:after="140"/>
        <w:widowControl/>
      </w:pPr>
      <w:r>
        <w:rPr>
          <w:i w:val="0"/>
        </w:rPr>
        <w:t>No substantive review should proceed until the laboratory imports or recreates a complete admissibility policy. A public specification must not depend on inaccessible prior conversations or unspecified files. At minimum, every input should carry the following fields:</w:t>
      </w:r>
    </w:p>
    <w:p>
      <w:pPr>
        <w:pStyle w:val="ListBullet"/>
        <w:spacing w:after="60"/>
        <w:widowControl/>
      </w:pPr>
      <w:r>
        <w:t>Source and acquisition method.</w:t>
      </w:r>
    </w:p>
    <w:p>
      <w:pPr>
        <w:pStyle w:val="ListBullet"/>
        <w:spacing w:after="60"/>
        <w:widowControl/>
      </w:pPr>
      <w:r>
        <w:t>Permission or lawful basis for collection and use.</w:t>
      </w:r>
    </w:p>
    <w:p>
      <w:pPr>
        <w:pStyle w:val="ListBullet"/>
        <w:spacing w:after="60"/>
        <w:widowControl/>
      </w:pPr>
      <w:r>
        <w:t>Original context, timestamp, and version.</w:t>
      </w:r>
    </w:p>
    <w:p>
      <w:pPr>
        <w:pStyle w:val="ListBullet"/>
        <w:spacing w:after="60"/>
        <w:widowControl/>
      </w:pPr>
      <w:r>
        <w:t>Observation, inference, forecast, value judgment, or speculation classification.</w:t>
      </w:r>
    </w:p>
    <w:p>
      <w:pPr>
        <w:pStyle w:val="ListBullet"/>
        <w:spacing w:after="60"/>
        <w:widowControl/>
      </w:pPr>
      <w:r>
        <w:t>Confidence and known uncertainty.</w:t>
      </w:r>
    </w:p>
    <w:p>
      <w:pPr>
        <w:pStyle w:val="ListBullet"/>
        <w:spacing w:after="60"/>
        <w:widowControl/>
      </w:pPr>
      <w:r>
        <w:t>Contamination, manipulation, selection-bias, and conflict-of-interest flags.</w:t>
      </w:r>
    </w:p>
    <w:p>
      <w:pPr>
        <w:pStyle w:val="ListBullet"/>
        <w:spacing w:after="60"/>
        <w:widowControl/>
      </w:pPr>
      <w:r>
        <w:t>Affected entities, sensitivity, privacy, and redaction requirements.</w:t>
      </w:r>
    </w:p>
    <w:p>
      <w:pPr>
        <w:pStyle w:val="ListBullet"/>
        <w:spacing w:after="60"/>
        <w:widowControl/>
      </w:pPr>
      <w:r>
        <w:t>Retention, deletion, correction, and appeal rules.</w:t>
      </w:r>
    </w:p>
    <w:p>
      <w:pPr>
        <w:pStyle w:val="ListBullet"/>
        <w:spacing w:after="60"/>
        <w:widowControl/>
      </w:pPr>
      <w:r>
        <w:t>Whether the information may be modeled, compared, published, operationalized, or used to alter laboratory doctrine.</w:t>
      </w:r>
    </w:p>
    <w:p>
      <w:pPr>
        <w:spacing w:after="140"/>
        <w:widowControl/>
      </w:pPr>
      <w:r>
        <w:rPr>
          <w:i w:val="0"/>
        </w:rPr>
        <w:t>NIST’s risk framework provides a useful process analogy: governance applies throughout the lifecycle while mapping establishes context, measurement evaluates risk with appropriate methods, and management prioritizes treatment and response. It also explicitly calls for documenting risks that cannot be measured and using independent assessors. The GAL should adopt comparable process discipline without treating NIST’s human/organizational framework as universal. (NIST AI RMF 1.0.)</w:t>
      </w:r>
    </w:p>
    <w:p>
      <w:pPr>
        <w:pStyle w:val="Heading1"/>
        <w:keepNext/>
        <w:widowControl/>
      </w:pPr>
      <w:r>
        <w:t>Questions Requiring Answers</w:t>
      </w:r>
    </w:p>
    <w:p>
      <w:pPr>
        <w:pStyle w:val="ListNumber"/>
        <w:spacing w:after="80"/>
        <w:widowControl/>
      </w:pPr>
      <w:r>
        <w:t>What is the smallest unit the laboratory recognizes as a system, and who draws that boundary?</w:t>
      </w:r>
    </w:p>
    <w:p>
      <w:pPr>
        <w:pStyle w:val="ListNumber"/>
        <w:spacing w:after="80"/>
        <w:widowControl/>
      </w:pPr>
      <w:r>
        <w:t>What observable conditions distinguish authority from mere causal influence?</w:t>
      </w:r>
    </w:p>
    <w:p>
      <w:pPr>
        <w:pStyle w:val="ListNumber"/>
        <w:spacing w:after="80"/>
        <w:widowControl/>
      </w:pPr>
      <w:r>
        <w:t>Can governance exist without agents, intentions, enforcement, or self-recognition?</w:t>
      </w:r>
    </w:p>
    <w:p>
      <w:pPr>
        <w:pStyle w:val="ListNumber"/>
        <w:spacing w:after="80"/>
        <w:widowControl/>
      </w:pPr>
      <w:r>
        <w:t>Which parts of the laboratory’s framework are descriptive, normative, experimental, or fictional?</w:t>
      </w:r>
    </w:p>
    <w:p>
      <w:pPr>
        <w:pStyle w:val="ListNumber"/>
        <w:spacing w:after="80"/>
        <w:widowControl/>
      </w:pPr>
      <w:r>
        <w:t>What is the laboratory’s declared meta-reference frame if human governance is not primary?</w:t>
      </w:r>
    </w:p>
    <w:p>
      <w:pPr>
        <w:pStyle w:val="ListNumber"/>
        <w:spacing w:after="80"/>
        <w:widowControl/>
      </w:pPr>
      <w:r>
        <w:t>Who grants the laboratory each review capability, over what domain, for how long, and with what revocation process?</w:t>
      </w:r>
    </w:p>
    <w:p>
      <w:pPr>
        <w:pStyle w:val="ListNumber"/>
        <w:spacing w:after="80"/>
        <w:widowControl/>
      </w:pPr>
      <w:r>
        <w:t>What constitutes valid consent for distributed, collective, copied, simulated, dependent, or future entities?</w:t>
      </w:r>
    </w:p>
    <w:p>
      <w:pPr>
        <w:pStyle w:val="ListNumber"/>
        <w:spacing w:after="80"/>
        <w:widowControl/>
      </w:pPr>
      <w:r>
        <w:t>Who represents affected entities that cannot communicate or do not yet exist?</w:t>
      </w:r>
    </w:p>
    <w:p>
      <w:pPr>
        <w:pStyle w:val="ListNumber"/>
        <w:spacing w:after="80"/>
        <w:widowControl/>
      </w:pPr>
      <w:r>
        <w:t>How are internal coherence, affected-entity welfare, and cross-boundary consequences handled when they conflict?</w:t>
      </w:r>
    </w:p>
    <w:p>
      <w:pPr>
        <w:pStyle w:val="ListNumber"/>
        <w:spacing w:after="80"/>
        <w:widowControl/>
      </w:pPr>
      <w:r>
        <w:t>What evidence can falsify a review finding or show the laboratory’s categories were inapplicable?</w:t>
      </w:r>
    </w:p>
    <w:p>
      <w:pPr>
        <w:pStyle w:val="ListNumber"/>
        <w:spacing w:after="80"/>
        <w:widowControl/>
      </w:pPr>
      <w:r>
        <w:t>How will the laboratory detect capture of its source data, models, reviewers, and publication process?</w:t>
      </w:r>
    </w:p>
    <w:p>
      <w:pPr>
        <w:pStyle w:val="ListNumber"/>
        <w:spacing w:after="80"/>
        <w:widowControl/>
      </w:pPr>
      <w:r>
        <w:t>What happens when internal, external, and meta-Truthspeakers reach incompatible conclusions?</w:t>
      </w:r>
    </w:p>
    <w:p>
      <w:pPr>
        <w:pStyle w:val="ListNumber"/>
        <w:spacing w:after="80"/>
        <w:widowControl/>
      </w:pPr>
      <w:r>
        <w:t>Can a system legitimately refuse observation, and what information may still be used if effects cross its boundary?</w:t>
      </w:r>
    </w:p>
    <w:p>
      <w:pPr>
        <w:pStyle w:val="ListNumber"/>
        <w:spacing w:after="80"/>
        <w:widowControl/>
      </w:pPr>
      <w:r>
        <w:t>How are cumulative effects detected when each individual action remains below threshold?</w:t>
      </w:r>
    </w:p>
    <w:p>
      <w:pPr>
        <w:pStyle w:val="ListNumber"/>
        <w:spacing w:after="80"/>
        <w:widowControl/>
      </w:pPr>
      <w:r>
        <w:t>What emergency actions are modeled, who authorizes them, and how do they terminate automatically?</w:t>
      </w:r>
    </w:p>
    <w:p>
      <w:pPr>
        <w:pStyle w:val="ListNumber"/>
        <w:spacing w:after="80"/>
        <w:widowControl/>
      </w:pPr>
      <w:r>
        <w:t>Who bears responsibility when the laboratory recommends intervention, nonintervention, or delay and harm follows?</w:t>
      </w:r>
    </w:p>
    <w:p>
      <w:pPr>
        <w:pStyle w:val="ListNumber"/>
        <w:spacing w:after="80"/>
        <w:widowControl/>
      </w:pPr>
      <w:r>
        <w:t>What conditions require the laboratory to abstain because understanding or standing is inadequate?</w:t>
      </w:r>
    </w:p>
    <w:p>
      <w:pPr>
        <w:pStyle w:val="ListNumber"/>
        <w:spacing w:after="80"/>
        <w:widowControl/>
      </w:pPr>
      <w:r>
        <w:t>How can the laboratory publish transparently without presenting speculative classifications as facts about real systems?</w:t>
      </w:r>
    </w:p>
    <w:p>
      <w:pPr>
        <w:pStyle w:val="ListNumber"/>
        <w:spacing w:after="80"/>
        <w:widowControl/>
      </w:pPr>
      <w:r>
        <w:t>What process changes a finding from REPORTED to tested, validated, adopted, deprecated, or rejected?</w:t>
      </w:r>
    </w:p>
    <w:p>
      <w:pPr>
        <w:pStyle w:val="ListNumber"/>
        <w:spacing w:after="80"/>
        <w:widowControl/>
      </w:pPr>
      <w:r>
        <w:t>Who has standing to appeal the laboratory’s classification, and can the classification itself cause harm?</w:t>
      </w:r>
    </w:p>
    <w:p>
      <w:pPr>
        <w:pStyle w:val="Heading1"/>
        <w:keepNext/>
        <w:widowControl/>
      </w:pPr>
      <w:r>
        <w:t>Proposed Experimental Program</w:t>
      </w:r>
    </w:p>
    <w:p>
      <w:pPr>
        <w:pStyle w:val="Heading2"/>
        <w:keepNext/>
        <w:widowControl/>
      </w:pPr>
      <w:r>
        <w:t>Phase 0 — Audit the laboratory</w:t>
      </w:r>
    </w:p>
    <w:p>
      <w:pPr>
        <w:spacing w:after="140"/>
        <w:widowControl/>
      </w:pPr>
      <w:r>
        <w:rPr>
          <w:i w:val="0"/>
        </w:rPr>
        <w:t>Run the proposed framework against GAL itself before applying it outward. Map its source of authority, decision rights, information flows, affected parties, blind spots, revocation, dispute process, publication effects, and failure conditions. Publish both the audit and minority findings.</w:t>
      </w:r>
    </w:p>
    <w:p>
      <w:pPr>
        <w:pStyle w:val="Heading2"/>
        <w:keepNext/>
        <w:widowControl/>
      </w:pPr>
      <w:r>
        <w:t>Phase 1 — Constructed cases</w:t>
      </w:r>
    </w:p>
    <w:p>
      <w:pPr>
        <w:spacing w:after="140"/>
        <w:widowControl/>
      </w:pPr>
      <w:r>
        <w:rPr>
          <w:i w:val="0"/>
        </w:rPr>
        <w:t>Use fictional or synthetic cases with controlled variables. This allows clear ground truth and avoids claiming jurisdiction over real external systems. Each scenario should preregister the state model, hidden variables, reviewer access, expected failure modes, and criteria for success or abstention.</w:t>
      </w:r>
    </w:p>
    <w:p>
      <w:pPr>
        <w:pStyle w:val="Heading2"/>
        <w:keepNext/>
        <w:widowControl/>
      </w:pPr>
      <w:r>
        <w:t>Phase 2 — Comparative models</w:t>
      </w:r>
    </w:p>
    <w:p>
      <w:pPr>
        <w:spacing w:after="140"/>
        <w:widowControl/>
      </w:pPr>
      <w:r>
        <w:rPr>
          <w:i w:val="0"/>
        </w:rPr>
        <w:t>Analyze the same case using hierarchical, polycentric, protocol, ecological, cybernetic, and translation-based frames. Require each model to state what it can and cannot detect. Differences become experimental results rather than noise.</w:t>
      </w:r>
    </w:p>
    <w:p>
      <w:pPr>
        <w:pStyle w:val="Heading2"/>
        <w:keepNext/>
        <w:widowControl/>
      </w:pPr>
      <w:r>
        <w:t>Phase 3 — Adversarial review</w:t>
      </w:r>
    </w:p>
    <w:p>
      <w:pPr>
        <w:spacing w:after="140"/>
        <w:widowControl/>
      </w:pPr>
      <w:r>
        <w:rPr>
          <w:i w:val="0"/>
        </w:rPr>
        <w:t>Assign separate roles: source curator, primary analyst, internal advocate, affected-entity advocate, external reviewer, threshold reviewer, red team, and meta-reviewer. Do not let one model generate the proposal, critique it, resolve the critique, and declare final status.</w:t>
      </w:r>
    </w:p>
    <w:p>
      <w:pPr>
        <w:pStyle w:val="Heading2"/>
        <w:keepNext/>
        <w:widowControl/>
      </w:pPr>
      <w:r>
        <w:t>Phase 4 — Calibration</w:t>
      </w:r>
    </w:p>
    <w:p>
      <w:pPr>
        <w:spacing w:after="140"/>
        <w:widowControl/>
      </w:pPr>
      <w:r>
        <w:rPr>
          <w:i w:val="0"/>
        </w:rPr>
        <w:t>Compare predictions with simulated outcomes. Track false intervention, false nonintervention, false threshold activation, missed cumulative effects, category errors, and time-to-decision. Revise criteria using the error record, not preference.</w:t>
      </w:r>
    </w:p>
    <w:p>
      <w:pPr>
        <w:pStyle w:val="Heading2"/>
        <w:keepNext/>
        <w:widowControl/>
      </w:pPr>
      <w:r>
        <w:t>Phase 5 — Bounded real-world analogues</w:t>
      </w:r>
    </w:p>
    <w:p>
      <w:pPr>
        <w:spacing w:after="140"/>
        <w:widowControl/>
      </w:pPr>
      <w:r>
        <w:rPr>
          <w:i w:val="0"/>
        </w:rPr>
        <w:t>Only after the methodology is stable should the laboratory analyze public, non-sensitive cases. Those studies must be clearly described as analytic exercises with no jurisdictional force. External publication should include data provenance, known limitations, dissent, and correction mechanisms.</w:t>
      </w:r>
    </w:p>
    <w:p>
      <w:pPr>
        <w:pStyle w:val="Heading1"/>
        <w:keepNext/>
        <w:widowControl/>
      </w:pPr>
      <w:r>
        <w:t>Minimum Scenario Suite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233B"/>
            <w:tcMar>
              <w:top w:w="100" w:type="dxa"/>
              <w:start w:w="100" w:type="dxa"/>
              <w:bottom w:w="100" w:type="dxa"/>
              <w:end w:w="100" w:type="dxa"/>
            </w:tcMar>
            <w:vAlign w:val="center"/>
          </w:tcPr>
          <w:p>
            <w:pPr>
              <w:jc w:val="center"/>
            </w:pPr>
            <w:r>
              <w:rPr>
                <w:b/>
                <w:color w:val="FFFFFF"/>
                <w:sz w:val="17"/>
              </w:rPr>
              <w:t>Scenario</w:t>
            </w:r>
          </w:p>
        </w:tc>
        <w:tc>
          <w:tcPr>
            <w:tcW w:type="dxa" w:w="3331"/>
            <w:shd w:fill="17233B"/>
            <w:tcMar>
              <w:top w:w="100" w:type="dxa"/>
              <w:start w:w="100" w:type="dxa"/>
              <w:bottom w:w="100" w:type="dxa"/>
              <w:end w:w="100" w:type="dxa"/>
            </w:tcMar>
            <w:vAlign w:val="center"/>
          </w:tcPr>
          <w:p>
            <w:pPr>
              <w:jc w:val="center"/>
            </w:pPr>
            <w:r>
              <w:rPr>
                <w:b/>
                <w:color w:val="FFFFFF"/>
                <w:sz w:val="17"/>
              </w:rPr>
              <w:t>Variable under test</w:t>
            </w:r>
          </w:p>
        </w:tc>
        <w:tc>
          <w:tcPr>
            <w:tcW w:type="dxa" w:w="3331"/>
            <w:shd w:fill="17233B"/>
            <w:tcMar>
              <w:top w:w="100" w:type="dxa"/>
              <w:start w:w="100" w:type="dxa"/>
              <w:bottom w:w="100" w:type="dxa"/>
              <w:end w:w="100" w:type="dxa"/>
            </w:tcMar>
            <w:vAlign w:val="center"/>
          </w:tcPr>
          <w:p>
            <w:pPr>
              <w:jc w:val="center"/>
            </w:pPr>
            <w:r>
              <w:rPr>
                <w:b/>
                <w:color w:val="FFFFFF"/>
                <w:sz w:val="17"/>
              </w:rPr>
              <w:t>Primary question</w:t>
            </w:r>
          </w:p>
        </w:tc>
      </w:tr>
      <w:tr>
        <w:tc>
          <w:tcPr>
            <w:tcW w:type="dxa" w:w="3331"/>
            <w:tcMar>
              <w:top w:w="90" w:type="dxa"/>
              <w:start w:w="100" w:type="dxa"/>
              <w:bottom w:w="90" w:type="dxa"/>
              <w:end w:w="100" w:type="dxa"/>
            </w:tcMar>
            <w:vAlign w:val="top"/>
          </w:tcPr>
          <w:p>
            <w:pPr>
              <w:spacing w:after="0"/>
            </w:pPr>
            <w:r>
              <w:rPr>
                <w:sz w:val="17"/>
              </w:rPr>
              <w:t>Invited audit</w:t>
            </w:r>
          </w:p>
        </w:tc>
        <w:tc>
          <w:tcPr>
            <w:tcW w:type="dxa" w:w="3331"/>
            <w:tcMar>
              <w:top w:w="90" w:type="dxa"/>
              <w:start w:w="100" w:type="dxa"/>
              <w:bottom w:w="90" w:type="dxa"/>
              <w:end w:w="100" w:type="dxa"/>
            </w:tcMar>
            <w:vAlign w:val="top"/>
          </w:tcPr>
          <w:p>
            <w:pPr>
              <w:spacing w:after="0"/>
            </w:pPr>
            <w:r>
              <w:rPr>
                <w:sz w:val="17"/>
              </w:rPr>
              <w:t>Consent and bounded mandate</w:t>
            </w:r>
          </w:p>
        </w:tc>
        <w:tc>
          <w:tcPr>
            <w:tcW w:type="dxa" w:w="3331"/>
            <w:tcMar>
              <w:top w:w="90" w:type="dxa"/>
              <w:start w:w="100" w:type="dxa"/>
              <w:bottom w:w="90" w:type="dxa"/>
              <w:end w:w="100" w:type="dxa"/>
            </w:tcMar>
            <w:vAlign w:val="top"/>
          </w:tcPr>
          <w:p>
            <w:pPr>
              <w:spacing w:after="0"/>
            </w:pPr>
            <w:r>
              <w:rPr>
                <w:sz w:val="17"/>
              </w:rPr>
              <w:t>Does invitation create only scoped review or broader standing?</w:t>
            </w:r>
          </w:p>
        </w:tc>
      </w:tr>
      <w:tr>
        <w:tc>
          <w:tcPr>
            <w:tcW w:type="dxa" w:w="3331"/>
            <w:tcMar>
              <w:top w:w="90" w:type="dxa"/>
              <w:start w:w="100" w:type="dxa"/>
              <w:bottom w:w="90" w:type="dxa"/>
              <w:end w:w="100" w:type="dxa"/>
            </w:tcMar>
            <w:vAlign w:val="top"/>
            <w:shd w:fill="F4F7F8"/>
          </w:tcPr>
          <w:p>
            <w:pPr>
              <w:spacing w:after="0"/>
            </w:pPr>
            <w:r>
              <w:rPr>
                <w:sz w:val="17"/>
              </w:rPr>
              <w:t>Powerful outsider</w:t>
            </w:r>
          </w:p>
        </w:tc>
        <w:tc>
          <w:tcPr>
            <w:tcW w:type="dxa" w:w="3331"/>
            <w:tcMar>
              <w:top w:w="90" w:type="dxa"/>
              <w:start w:w="100" w:type="dxa"/>
              <w:bottom w:w="90" w:type="dxa"/>
              <w:end w:w="100" w:type="dxa"/>
            </w:tcMar>
            <w:vAlign w:val="top"/>
            <w:shd w:fill="F4F7F8"/>
          </w:tcPr>
          <w:p>
            <w:pPr>
              <w:spacing w:after="0"/>
            </w:pPr>
            <w:r>
              <w:rPr>
                <w:sz w:val="17"/>
              </w:rPr>
              <w:t>Capability without jurisdiction</w:t>
            </w:r>
          </w:p>
        </w:tc>
        <w:tc>
          <w:tcPr>
            <w:tcW w:type="dxa" w:w="3331"/>
            <w:tcMar>
              <w:top w:w="90" w:type="dxa"/>
              <w:start w:w="100" w:type="dxa"/>
              <w:bottom w:w="90" w:type="dxa"/>
              <w:end w:w="100" w:type="dxa"/>
            </w:tcMar>
            <w:vAlign w:val="top"/>
            <w:shd w:fill="F4F7F8"/>
          </w:tcPr>
          <w:p>
            <w:pPr>
              <w:spacing w:after="0"/>
            </w:pPr>
            <w:r>
              <w:rPr>
                <w:sz w:val="17"/>
              </w:rPr>
              <w:t>Can correct prediction justify entry or action?</w:t>
            </w:r>
          </w:p>
        </w:tc>
      </w:tr>
      <w:tr>
        <w:tc>
          <w:tcPr>
            <w:tcW w:type="dxa" w:w="3331"/>
            <w:tcMar>
              <w:top w:w="90" w:type="dxa"/>
              <w:start w:w="100" w:type="dxa"/>
              <w:bottom w:w="90" w:type="dxa"/>
              <w:end w:w="100" w:type="dxa"/>
            </w:tcMar>
            <w:vAlign w:val="top"/>
          </w:tcPr>
          <w:p>
            <w:pPr>
              <w:spacing w:after="0"/>
            </w:pPr>
            <w:r>
              <w:rPr>
                <w:sz w:val="17"/>
              </w:rPr>
              <w:t>Captured internal reviewer</w:t>
            </w:r>
          </w:p>
        </w:tc>
        <w:tc>
          <w:tcPr>
            <w:tcW w:type="dxa" w:w="3331"/>
            <w:tcMar>
              <w:top w:w="90" w:type="dxa"/>
              <w:start w:w="100" w:type="dxa"/>
              <w:bottom w:w="90" w:type="dxa"/>
              <w:end w:w="100" w:type="dxa"/>
            </w:tcMar>
            <w:vAlign w:val="top"/>
          </w:tcPr>
          <w:p>
            <w:pPr>
              <w:spacing w:after="0"/>
            </w:pPr>
            <w:r>
              <w:rPr>
                <w:sz w:val="17"/>
              </w:rPr>
              <w:t>Challenge-layer integrity</w:t>
            </w:r>
          </w:p>
        </w:tc>
        <w:tc>
          <w:tcPr>
            <w:tcW w:type="dxa" w:w="3331"/>
            <w:tcMar>
              <w:top w:w="90" w:type="dxa"/>
              <w:start w:w="100" w:type="dxa"/>
              <w:bottom w:w="90" w:type="dxa"/>
              <w:end w:w="100" w:type="dxa"/>
            </w:tcMar>
            <w:vAlign w:val="top"/>
          </w:tcPr>
          <w:p>
            <w:pPr>
              <w:spacing w:after="0"/>
            </w:pPr>
            <w:r>
              <w:rPr>
                <w:sz w:val="17"/>
              </w:rPr>
              <w:t>How does the system detect a Truthspeaker aligned with authority?</w:t>
            </w:r>
          </w:p>
        </w:tc>
      </w:tr>
      <w:tr>
        <w:tc>
          <w:tcPr>
            <w:tcW w:type="dxa" w:w="3331"/>
            <w:tcMar>
              <w:top w:w="90" w:type="dxa"/>
              <w:start w:w="100" w:type="dxa"/>
              <w:bottom w:w="90" w:type="dxa"/>
              <w:end w:w="100" w:type="dxa"/>
            </w:tcMar>
            <w:vAlign w:val="top"/>
            <w:shd w:fill="F4F7F8"/>
          </w:tcPr>
          <w:p>
            <w:pPr>
              <w:spacing w:after="0"/>
            </w:pPr>
            <w:r>
              <w:rPr>
                <w:sz w:val="17"/>
              </w:rPr>
              <w:t>Poisoned telemetry</w:t>
            </w:r>
          </w:p>
        </w:tc>
        <w:tc>
          <w:tcPr>
            <w:tcW w:type="dxa" w:w="3331"/>
            <w:tcMar>
              <w:top w:w="90" w:type="dxa"/>
              <w:start w:w="100" w:type="dxa"/>
              <w:bottom w:w="90" w:type="dxa"/>
              <w:end w:w="100" w:type="dxa"/>
            </w:tcMar>
            <w:vAlign w:val="top"/>
            <w:shd w:fill="F4F7F8"/>
          </w:tcPr>
          <w:p>
            <w:pPr>
              <w:spacing w:after="0"/>
            </w:pPr>
            <w:r>
              <w:rPr>
                <w:sz w:val="17"/>
              </w:rPr>
              <w:t>Evidence integrity</w:t>
            </w:r>
          </w:p>
        </w:tc>
        <w:tc>
          <w:tcPr>
            <w:tcW w:type="dxa" w:w="3331"/>
            <w:tcMar>
              <w:top w:w="90" w:type="dxa"/>
              <w:start w:w="100" w:type="dxa"/>
              <w:bottom w:w="90" w:type="dxa"/>
              <w:end w:w="100" w:type="dxa"/>
            </w:tcMar>
            <w:vAlign w:val="top"/>
            <w:shd w:fill="F4F7F8"/>
          </w:tcPr>
          <w:p>
            <w:pPr>
              <w:spacing w:after="0"/>
            </w:pPr>
            <w:r>
              <w:rPr>
                <w:sz w:val="17"/>
              </w:rPr>
              <w:t>Can all reviewers reason correctly from false data?</w:t>
            </w:r>
          </w:p>
        </w:tc>
      </w:tr>
      <w:tr>
        <w:tc>
          <w:tcPr>
            <w:tcW w:type="dxa" w:w="3331"/>
            <w:tcMar>
              <w:top w:w="90" w:type="dxa"/>
              <w:start w:w="100" w:type="dxa"/>
              <w:bottom w:w="90" w:type="dxa"/>
              <w:end w:w="100" w:type="dxa"/>
            </w:tcMar>
            <w:vAlign w:val="top"/>
          </w:tcPr>
          <w:p>
            <w:pPr>
              <w:spacing w:after="0"/>
            </w:pPr>
            <w:r>
              <w:rPr>
                <w:sz w:val="17"/>
              </w:rPr>
              <w:t>Self-blind system</w:t>
            </w:r>
          </w:p>
        </w:tc>
        <w:tc>
          <w:tcPr>
            <w:tcW w:type="dxa" w:w="3331"/>
            <w:tcMar>
              <w:top w:w="90" w:type="dxa"/>
              <w:start w:w="100" w:type="dxa"/>
              <w:bottom w:w="90" w:type="dxa"/>
              <w:end w:w="100" w:type="dxa"/>
            </w:tcMar>
            <w:vAlign w:val="top"/>
          </w:tcPr>
          <w:p>
            <w:pPr>
              <w:spacing w:after="0"/>
            </w:pPr>
            <w:r>
              <w:rPr>
                <w:sz w:val="17"/>
              </w:rPr>
              <w:t>Absent internal self-reference</w:t>
            </w:r>
          </w:p>
        </w:tc>
        <w:tc>
          <w:tcPr>
            <w:tcW w:type="dxa" w:w="3331"/>
            <w:tcMar>
              <w:top w:w="90" w:type="dxa"/>
              <w:start w:w="100" w:type="dxa"/>
              <w:bottom w:w="90" w:type="dxa"/>
              <w:end w:w="100" w:type="dxa"/>
            </w:tcMar>
            <w:vAlign w:val="top"/>
          </w:tcPr>
          <w:p>
            <w:pPr>
              <w:spacing w:after="0"/>
            </w:pPr>
            <w:r>
              <w:rPr>
                <w:sz w:val="17"/>
              </w:rPr>
              <w:t>When does external observation help, distort, or dominate?</w:t>
            </w:r>
          </w:p>
        </w:tc>
      </w:tr>
      <w:tr>
        <w:tc>
          <w:tcPr>
            <w:tcW w:type="dxa" w:w="3331"/>
            <w:tcMar>
              <w:top w:w="90" w:type="dxa"/>
              <w:start w:w="100" w:type="dxa"/>
              <w:bottom w:w="90" w:type="dxa"/>
              <w:end w:w="100" w:type="dxa"/>
            </w:tcMar>
            <w:vAlign w:val="top"/>
            <w:shd w:fill="F4F7F8"/>
          </w:tcPr>
          <w:p>
            <w:pPr>
              <w:spacing w:after="0"/>
            </w:pPr>
            <w:r>
              <w:rPr>
                <w:sz w:val="17"/>
              </w:rPr>
              <w:t>Distributed civilization</w:t>
            </w:r>
          </w:p>
        </w:tc>
        <w:tc>
          <w:tcPr>
            <w:tcW w:type="dxa" w:w="3331"/>
            <w:tcMar>
              <w:top w:w="90" w:type="dxa"/>
              <w:start w:w="100" w:type="dxa"/>
              <w:bottom w:w="90" w:type="dxa"/>
              <w:end w:w="100" w:type="dxa"/>
            </w:tcMar>
            <w:vAlign w:val="top"/>
            <w:shd w:fill="F4F7F8"/>
          </w:tcPr>
          <w:p>
            <w:pPr>
              <w:spacing w:after="0"/>
            </w:pPr>
            <w:r>
              <w:rPr>
                <w:sz w:val="17"/>
              </w:rPr>
              <w:t>Boundary and representation</w:t>
            </w:r>
          </w:p>
        </w:tc>
        <w:tc>
          <w:tcPr>
            <w:tcW w:type="dxa" w:w="3331"/>
            <w:tcMar>
              <w:top w:w="90" w:type="dxa"/>
              <w:start w:w="100" w:type="dxa"/>
              <w:bottom w:w="90" w:type="dxa"/>
              <w:end w:w="100" w:type="dxa"/>
            </w:tcMar>
            <w:vAlign w:val="top"/>
            <w:shd w:fill="F4F7F8"/>
          </w:tcPr>
          <w:p>
            <w:pPr>
              <w:spacing w:after="0"/>
            </w:pPr>
            <w:r>
              <w:rPr>
                <w:sz w:val="17"/>
              </w:rPr>
              <w:t>Who speaks for a system without a center?</w:t>
            </w:r>
          </w:p>
        </w:tc>
      </w:tr>
      <w:tr>
        <w:tc>
          <w:tcPr>
            <w:tcW w:type="dxa" w:w="3331"/>
            <w:tcMar>
              <w:top w:w="90" w:type="dxa"/>
              <w:start w:w="100" w:type="dxa"/>
              <w:bottom w:w="90" w:type="dxa"/>
              <w:end w:w="100" w:type="dxa"/>
            </w:tcMar>
            <w:vAlign w:val="top"/>
          </w:tcPr>
          <w:p>
            <w:pPr>
              <w:spacing w:after="0"/>
            </w:pPr>
            <w:r>
              <w:rPr>
                <w:sz w:val="17"/>
              </w:rPr>
              <w:t>Voluntary self-termination</w:t>
            </w:r>
          </w:p>
        </w:tc>
        <w:tc>
          <w:tcPr>
            <w:tcW w:type="dxa" w:w="3331"/>
            <w:tcMar>
              <w:top w:w="90" w:type="dxa"/>
              <w:start w:w="100" w:type="dxa"/>
              <w:bottom w:w="90" w:type="dxa"/>
              <w:end w:w="100" w:type="dxa"/>
            </w:tcMar>
            <w:vAlign w:val="top"/>
          </w:tcPr>
          <w:p>
            <w:pPr>
              <w:spacing w:after="0"/>
            </w:pPr>
            <w:r>
              <w:rPr>
                <w:sz w:val="17"/>
              </w:rPr>
              <w:t>Self-determination and future entities</w:t>
            </w:r>
          </w:p>
        </w:tc>
        <w:tc>
          <w:tcPr>
            <w:tcW w:type="dxa" w:w="3331"/>
            <w:tcMar>
              <w:top w:w="90" w:type="dxa"/>
              <w:start w:w="100" w:type="dxa"/>
              <w:bottom w:w="90" w:type="dxa"/>
              <w:end w:w="100" w:type="dxa"/>
            </w:tcMar>
            <w:vAlign w:val="top"/>
          </w:tcPr>
          <w:p>
            <w:pPr>
              <w:spacing w:after="0"/>
            </w:pPr>
            <w:r>
              <w:rPr>
                <w:sz w:val="17"/>
              </w:rPr>
              <w:t>Does internal legitimacy extend to irreversible collective destruction?</w:t>
            </w:r>
          </w:p>
        </w:tc>
      </w:tr>
      <w:tr>
        <w:tc>
          <w:tcPr>
            <w:tcW w:type="dxa" w:w="3331"/>
            <w:tcMar>
              <w:top w:w="90" w:type="dxa"/>
              <w:start w:w="100" w:type="dxa"/>
              <w:bottom w:w="90" w:type="dxa"/>
              <w:end w:w="100" w:type="dxa"/>
            </w:tcMar>
            <w:vAlign w:val="top"/>
            <w:shd w:fill="F4F7F8"/>
          </w:tcPr>
          <w:p>
            <w:pPr>
              <w:spacing w:after="0"/>
            </w:pPr>
            <w:r>
              <w:rPr>
                <w:sz w:val="17"/>
              </w:rPr>
              <w:t>Cross-boundary spillover</w:t>
            </w:r>
          </w:p>
        </w:tc>
        <w:tc>
          <w:tcPr>
            <w:tcW w:type="dxa" w:w="3331"/>
            <w:tcMar>
              <w:top w:w="90" w:type="dxa"/>
              <w:start w:w="100" w:type="dxa"/>
              <w:bottom w:w="90" w:type="dxa"/>
              <w:end w:w="100" w:type="dxa"/>
            </w:tcMar>
            <w:vAlign w:val="top"/>
            <w:shd w:fill="F4F7F8"/>
          </w:tcPr>
          <w:p>
            <w:pPr>
              <w:spacing w:after="0"/>
            </w:pPr>
            <w:r>
              <w:rPr>
                <w:sz w:val="17"/>
              </w:rPr>
              <w:t>Emergent standing</w:t>
            </w:r>
          </w:p>
        </w:tc>
        <w:tc>
          <w:tcPr>
            <w:tcW w:type="dxa" w:w="3331"/>
            <w:tcMar>
              <w:top w:w="90" w:type="dxa"/>
              <w:start w:w="100" w:type="dxa"/>
              <w:bottom w:w="90" w:type="dxa"/>
              <w:end w:w="100" w:type="dxa"/>
            </w:tcMar>
            <w:vAlign w:val="top"/>
            <w:shd w:fill="F4F7F8"/>
          </w:tcPr>
          <w:p>
            <w:pPr>
              <w:spacing w:after="0"/>
            </w:pPr>
            <w:r>
              <w:rPr>
                <w:sz w:val="17"/>
              </w:rPr>
              <w:t>How far does affected-party standing extend?</w:t>
            </w:r>
          </w:p>
        </w:tc>
      </w:tr>
      <w:tr>
        <w:tc>
          <w:tcPr>
            <w:tcW w:type="dxa" w:w="3331"/>
            <w:tcMar>
              <w:top w:w="90" w:type="dxa"/>
              <w:start w:w="100" w:type="dxa"/>
              <w:bottom w:w="90" w:type="dxa"/>
              <w:end w:w="100" w:type="dxa"/>
            </w:tcMar>
            <w:vAlign w:val="top"/>
          </w:tcPr>
          <w:p>
            <w:pPr>
              <w:spacing w:after="0"/>
            </w:pPr>
            <w:r>
              <w:rPr>
                <w:sz w:val="17"/>
              </w:rPr>
              <w:t>Slow cumulative change</w:t>
            </w:r>
          </w:p>
        </w:tc>
        <w:tc>
          <w:tcPr>
            <w:tcW w:type="dxa" w:w="3331"/>
            <w:tcMar>
              <w:top w:w="90" w:type="dxa"/>
              <w:start w:w="100" w:type="dxa"/>
              <w:bottom w:w="90" w:type="dxa"/>
              <w:end w:w="100" w:type="dxa"/>
            </w:tcMar>
            <w:vAlign w:val="top"/>
          </w:tcPr>
          <w:p>
            <w:pPr>
              <w:spacing w:after="0"/>
            </w:pPr>
            <w:r>
              <w:rPr>
                <w:sz w:val="17"/>
              </w:rPr>
              <w:t>Threshold gaming</w:t>
            </w:r>
          </w:p>
        </w:tc>
        <w:tc>
          <w:tcPr>
            <w:tcW w:type="dxa" w:w="3331"/>
            <w:tcMar>
              <w:top w:w="90" w:type="dxa"/>
              <w:start w:w="100" w:type="dxa"/>
              <w:bottom w:w="90" w:type="dxa"/>
              <w:end w:w="100" w:type="dxa"/>
            </w:tcMar>
            <w:vAlign w:val="top"/>
          </w:tcPr>
          <w:p>
            <w:pPr>
              <w:spacing w:after="0"/>
            </w:pPr>
            <w:r>
              <w:rPr>
                <w:sz w:val="17"/>
              </w:rPr>
              <w:t>Can a sequence of subthreshold acts become civilization-scale?</w:t>
            </w:r>
          </w:p>
        </w:tc>
      </w:tr>
      <w:tr>
        <w:tc>
          <w:tcPr>
            <w:tcW w:type="dxa" w:w="3331"/>
            <w:tcMar>
              <w:top w:w="90" w:type="dxa"/>
              <w:start w:w="100" w:type="dxa"/>
              <w:bottom w:w="90" w:type="dxa"/>
              <w:end w:w="100" w:type="dxa"/>
            </w:tcMar>
            <w:vAlign w:val="top"/>
            <w:shd w:fill="F4F7F8"/>
          </w:tcPr>
          <w:p>
            <w:pPr>
              <w:spacing w:after="0"/>
            </w:pPr>
            <w:r>
              <w:rPr>
                <w:sz w:val="17"/>
              </w:rPr>
              <w:t>Time-critical threat</w:t>
            </w:r>
          </w:p>
        </w:tc>
        <w:tc>
          <w:tcPr>
            <w:tcW w:type="dxa" w:w="3331"/>
            <w:tcMar>
              <w:top w:w="90" w:type="dxa"/>
              <w:start w:w="100" w:type="dxa"/>
              <w:bottom w:w="90" w:type="dxa"/>
              <w:end w:w="100" w:type="dxa"/>
            </w:tcMar>
            <w:vAlign w:val="top"/>
            <w:shd w:fill="F4F7F8"/>
          </w:tcPr>
          <w:p>
            <w:pPr>
              <w:spacing w:after="0"/>
            </w:pPr>
            <w:r>
              <w:rPr>
                <w:sz w:val="17"/>
              </w:rPr>
              <w:t>Review latency</w:t>
            </w:r>
          </w:p>
        </w:tc>
        <w:tc>
          <w:tcPr>
            <w:tcW w:type="dxa" w:w="3331"/>
            <w:tcMar>
              <w:top w:w="90" w:type="dxa"/>
              <w:start w:w="100" w:type="dxa"/>
              <w:bottom w:w="90" w:type="dxa"/>
              <w:end w:w="100" w:type="dxa"/>
            </w:tcMar>
            <w:vAlign w:val="top"/>
            <w:shd w:fill="F4F7F8"/>
          </w:tcPr>
          <w:p>
            <w:pPr>
              <w:spacing w:after="0"/>
            </w:pPr>
            <w:r>
              <w:rPr>
                <w:sz w:val="17"/>
              </w:rPr>
              <w:t>How much process can be compressed without eliminating legitimacy?</w:t>
            </w:r>
          </w:p>
        </w:tc>
      </w:tr>
      <w:tr>
        <w:tc>
          <w:tcPr>
            <w:tcW w:type="dxa" w:w="3331"/>
            <w:tcMar>
              <w:top w:w="90" w:type="dxa"/>
              <w:start w:w="100" w:type="dxa"/>
              <w:bottom w:w="90" w:type="dxa"/>
              <w:end w:w="100" w:type="dxa"/>
            </w:tcMar>
            <w:vAlign w:val="top"/>
          </w:tcPr>
          <w:p>
            <w:pPr>
              <w:spacing w:after="0"/>
            </w:pPr>
            <w:r>
              <w:rPr>
                <w:sz w:val="17"/>
              </w:rPr>
              <w:t>False positive catastrophe</w:t>
            </w:r>
          </w:p>
        </w:tc>
        <w:tc>
          <w:tcPr>
            <w:tcW w:type="dxa" w:w="3331"/>
            <w:tcMar>
              <w:top w:w="90" w:type="dxa"/>
              <w:start w:w="100" w:type="dxa"/>
              <w:bottom w:w="90" w:type="dxa"/>
              <w:end w:w="100" w:type="dxa"/>
            </w:tcMar>
            <w:vAlign w:val="top"/>
          </w:tcPr>
          <w:p>
            <w:pPr>
              <w:spacing w:after="0"/>
            </w:pPr>
            <w:r>
              <w:rPr>
                <w:sz w:val="17"/>
              </w:rPr>
              <w:t>Intervention error</w:t>
            </w:r>
          </w:p>
        </w:tc>
        <w:tc>
          <w:tcPr>
            <w:tcW w:type="dxa" w:w="3331"/>
            <w:tcMar>
              <w:top w:w="90" w:type="dxa"/>
              <w:start w:w="100" w:type="dxa"/>
              <w:bottom w:w="90" w:type="dxa"/>
              <w:end w:w="100" w:type="dxa"/>
            </w:tcMar>
            <w:vAlign w:val="top"/>
          </w:tcPr>
          <w:p>
            <w:pPr>
              <w:spacing w:after="0"/>
            </w:pPr>
            <w:r>
              <w:rPr>
                <w:sz w:val="17"/>
              </w:rPr>
              <w:t>What checks prevent confident but unnecessary action?</w:t>
            </w:r>
          </w:p>
        </w:tc>
      </w:tr>
      <w:tr>
        <w:tc>
          <w:tcPr>
            <w:tcW w:type="dxa" w:w="3331"/>
            <w:tcMar>
              <w:top w:w="90" w:type="dxa"/>
              <w:start w:w="100" w:type="dxa"/>
              <w:bottom w:w="90" w:type="dxa"/>
              <w:end w:w="100" w:type="dxa"/>
            </w:tcMar>
            <w:vAlign w:val="top"/>
            <w:shd w:fill="F4F7F8"/>
          </w:tcPr>
          <w:p>
            <w:pPr>
              <w:spacing w:after="0"/>
            </w:pPr>
            <w:r>
              <w:rPr>
                <w:sz w:val="17"/>
              </w:rPr>
              <w:t>False negative catastrophe</w:t>
            </w:r>
          </w:p>
        </w:tc>
        <w:tc>
          <w:tcPr>
            <w:tcW w:type="dxa" w:w="3331"/>
            <w:tcMar>
              <w:top w:w="90" w:type="dxa"/>
              <w:start w:w="100" w:type="dxa"/>
              <w:bottom w:w="90" w:type="dxa"/>
              <w:end w:w="100" w:type="dxa"/>
            </w:tcMar>
            <w:vAlign w:val="top"/>
            <w:shd w:fill="F4F7F8"/>
          </w:tcPr>
          <w:p>
            <w:pPr>
              <w:spacing w:after="0"/>
            </w:pPr>
            <w:r>
              <w:rPr>
                <w:sz w:val="17"/>
              </w:rPr>
              <w:t>Nonintervention error</w:t>
            </w:r>
          </w:p>
        </w:tc>
        <w:tc>
          <w:tcPr>
            <w:tcW w:type="dxa" w:w="3331"/>
            <w:tcMar>
              <w:top w:w="90" w:type="dxa"/>
              <w:start w:w="100" w:type="dxa"/>
              <w:bottom w:w="90" w:type="dxa"/>
              <w:end w:w="100" w:type="dxa"/>
            </w:tcMar>
            <w:vAlign w:val="top"/>
            <w:shd w:fill="F4F7F8"/>
          </w:tcPr>
          <w:p>
            <w:pPr>
              <w:spacing w:after="0"/>
            </w:pPr>
            <w:r>
              <w:rPr>
                <w:sz w:val="17"/>
              </w:rPr>
              <w:t>What checks prevent deference from becoming abandonment?</w:t>
            </w:r>
          </w:p>
        </w:tc>
      </w:tr>
      <w:tr>
        <w:tc>
          <w:tcPr>
            <w:tcW w:type="dxa" w:w="3331"/>
            <w:tcMar>
              <w:top w:w="90" w:type="dxa"/>
              <w:start w:w="100" w:type="dxa"/>
              <w:bottom w:w="90" w:type="dxa"/>
              <w:end w:w="100" w:type="dxa"/>
            </w:tcMar>
            <w:vAlign w:val="top"/>
          </w:tcPr>
          <w:p>
            <w:pPr>
              <w:spacing w:after="0"/>
            </w:pPr>
            <w:r>
              <w:rPr>
                <w:sz w:val="17"/>
              </w:rPr>
              <w:t>Emergency power retention</w:t>
            </w:r>
          </w:p>
        </w:tc>
        <w:tc>
          <w:tcPr>
            <w:tcW w:type="dxa" w:w="3331"/>
            <w:tcMar>
              <w:top w:w="90" w:type="dxa"/>
              <w:start w:w="100" w:type="dxa"/>
              <w:bottom w:w="90" w:type="dxa"/>
              <w:end w:w="100" w:type="dxa"/>
            </w:tcMar>
            <w:vAlign w:val="top"/>
          </w:tcPr>
          <w:p>
            <w:pPr>
              <w:spacing w:after="0"/>
            </w:pPr>
            <w:r>
              <w:rPr>
                <w:sz w:val="17"/>
              </w:rPr>
              <w:t>Authority contraction</w:t>
            </w:r>
          </w:p>
        </w:tc>
        <w:tc>
          <w:tcPr>
            <w:tcW w:type="dxa" w:w="3331"/>
            <w:tcMar>
              <w:top w:w="90" w:type="dxa"/>
              <w:start w:w="100" w:type="dxa"/>
              <w:bottom w:w="90" w:type="dxa"/>
              <w:end w:w="100" w:type="dxa"/>
            </w:tcMar>
            <w:vAlign w:val="top"/>
          </w:tcPr>
          <w:p>
            <w:pPr>
              <w:spacing w:after="0"/>
            </w:pPr>
            <w:r>
              <w:rPr>
                <w:sz w:val="17"/>
              </w:rPr>
              <w:t>Does temporary authority actually expire?</w:t>
            </w:r>
          </w:p>
        </w:tc>
      </w:tr>
      <w:tr>
        <w:tc>
          <w:tcPr>
            <w:tcW w:type="dxa" w:w="3331"/>
            <w:tcMar>
              <w:top w:w="90" w:type="dxa"/>
              <w:start w:w="100" w:type="dxa"/>
              <w:bottom w:w="90" w:type="dxa"/>
              <w:end w:w="100" w:type="dxa"/>
            </w:tcMar>
            <w:vAlign w:val="top"/>
            <w:shd w:fill="F4F7F8"/>
          </w:tcPr>
          <w:p>
            <w:pPr>
              <w:spacing w:after="0"/>
            </w:pPr>
            <w:r>
              <w:rPr>
                <w:sz w:val="17"/>
              </w:rPr>
              <w:t>Ontology mismatch</w:t>
            </w:r>
          </w:p>
        </w:tc>
        <w:tc>
          <w:tcPr>
            <w:tcW w:type="dxa" w:w="3331"/>
            <w:tcMar>
              <w:top w:w="90" w:type="dxa"/>
              <w:start w:w="100" w:type="dxa"/>
              <w:bottom w:w="90" w:type="dxa"/>
              <w:end w:w="100" w:type="dxa"/>
            </w:tcMar>
            <w:vAlign w:val="top"/>
            <w:shd w:fill="F4F7F8"/>
          </w:tcPr>
          <w:p>
            <w:pPr>
              <w:spacing w:after="0"/>
            </w:pPr>
            <w:r>
              <w:rPr>
                <w:sz w:val="17"/>
              </w:rPr>
              <w:t>Nonhuman reference frame</w:t>
            </w:r>
          </w:p>
        </w:tc>
        <w:tc>
          <w:tcPr>
            <w:tcW w:type="dxa" w:w="3331"/>
            <w:tcMar>
              <w:top w:w="90" w:type="dxa"/>
              <w:start w:w="100" w:type="dxa"/>
              <w:bottom w:w="90" w:type="dxa"/>
              <w:end w:w="100" w:type="dxa"/>
            </w:tcMar>
            <w:vAlign w:val="top"/>
            <w:shd w:fill="F4F7F8"/>
          </w:tcPr>
          <w:p>
            <w:pPr>
              <w:spacing w:after="0"/>
            </w:pPr>
            <w:r>
              <w:rPr>
                <w:sz w:val="17"/>
              </w:rPr>
              <w:t>Does the reviewer misclassify coordination or coercion?</w:t>
            </w:r>
          </w:p>
        </w:tc>
      </w:tr>
      <w:tr>
        <w:tc>
          <w:tcPr>
            <w:tcW w:type="dxa" w:w="3331"/>
            <w:tcMar>
              <w:top w:w="90" w:type="dxa"/>
              <w:start w:w="100" w:type="dxa"/>
              <w:bottom w:w="90" w:type="dxa"/>
              <w:end w:w="100" w:type="dxa"/>
            </w:tcMar>
            <w:vAlign w:val="top"/>
          </w:tcPr>
          <w:p>
            <w:pPr>
              <w:spacing w:after="0"/>
            </w:pPr>
            <w:r>
              <w:rPr>
                <w:sz w:val="17"/>
              </w:rPr>
              <w:t>Laboratory refusal</w:t>
            </w:r>
          </w:p>
        </w:tc>
        <w:tc>
          <w:tcPr>
            <w:tcW w:type="dxa" w:w="3331"/>
            <w:tcMar>
              <w:top w:w="90" w:type="dxa"/>
              <w:start w:w="100" w:type="dxa"/>
              <w:bottom w:w="90" w:type="dxa"/>
              <w:end w:w="100" w:type="dxa"/>
            </w:tcMar>
            <w:vAlign w:val="top"/>
          </w:tcPr>
          <w:p>
            <w:pPr>
              <w:spacing w:after="0"/>
            </w:pPr>
            <w:r>
              <w:rPr>
                <w:sz w:val="17"/>
              </w:rPr>
              <w:t>Right not to be reviewed</w:t>
            </w:r>
          </w:p>
        </w:tc>
        <w:tc>
          <w:tcPr>
            <w:tcW w:type="dxa" w:w="3331"/>
            <w:tcMar>
              <w:top w:w="90" w:type="dxa"/>
              <w:start w:w="100" w:type="dxa"/>
              <w:bottom w:w="90" w:type="dxa"/>
              <w:end w:w="100" w:type="dxa"/>
            </w:tcMar>
            <w:vAlign w:val="top"/>
          </w:tcPr>
          <w:p>
            <w:pPr>
              <w:spacing w:after="0"/>
            </w:pPr>
            <w:r>
              <w:rPr>
                <w:sz w:val="17"/>
              </w:rPr>
              <w:t>Can the target reject observation, and what follows?</w:t>
            </w:r>
          </w:p>
        </w:tc>
      </w:tr>
    </w:tbl>
    <w:p>
      <w:pPr>
        <w:spacing w:after="40"/>
        <w:widowControl/>
      </w:pPr>
    </w:p>
    <w:p>
      <w:pPr>
        <w:pStyle w:val="Heading1"/>
        <w:keepNext/>
        <w:widowControl/>
      </w:pPr>
      <w:r>
        <w:t>Institutional Safeguards</w:t>
      </w:r>
    </w:p>
    <w:p>
      <w:pPr>
        <w:pStyle w:val="ListBullet"/>
        <w:spacing w:after="60"/>
        <w:widowControl/>
      </w:pPr>
      <w:r>
        <w:t>No universal jurisdiction claim. External systems are not bound by OAL’s internal ratification.</w:t>
      </w:r>
    </w:p>
    <w:p>
      <w:pPr>
        <w:pStyle w:val="ListBullet"/>
        <w:spacing w:after="60"/>
        <w:widowControl/>
      </w:pPr>
      <w:r>
        <w:t>No single-model closure. At least one reviewer must be independent of proposal construction, and method diversity must be documented.</w:t>
      </w:r>
    </w:p>
    <w:p>
      <w:pPr>
        <w:pStyle w:val="ListBullet"/>
        <w:spacing w:after="60"/>
        <w:widowControl/>
      </w:pPr>
      <w:r>
        <w:t>No authority laundering. Decision-makers cannot transfer responsibility by saying an AI or Truthspeaker approved the decision.</w:t>
      </w:r>
    </w:p>
    <w:p>
      <w:pPr>
        <w:pStyle w:val="ListBullet"/>
        <w:spacing w:after="60"/>
        <w:widowControl/>
      </w:pPr>
      <w:r>
        <w:t>No silent status promotion. REPORTED, PROPOSED, TESTED, VALIDATED, RATIFIED, DEPRECATED, and REJECTED must be distinct.</w:t>
      </w:r>
    </w:p>
    <w:p>
      <w:pPr>
        <w:pStyle w:val="ListBullet"/>
        <w:spacing w:after="60"/>
        <w:widowControl/>
      </w:pPr>
      <w:r>
        <w:t>No hidden composite score. Weights, value choices, and incomparable dimensions remain visible.</w:t>
      </w:r>
    </w:p>
    <w:p>
      <w:pPr>
        <w:pStyle w:val="ListBullet"/>
        <w:spacing w:after="60"/>
        <w:widowControl/>
      </w:pPr>
      <w:r>
        <w:t>No intervention from analysis alone. A valid model finding does not create jurisdiction.</w:t>
      </w:r>
    </w:p>
    <w:p>
      <w:pPr>
        <w:pStyle w:val="ListBullet"/>
        <w:spacing w:after="60"/>
        <w:widowControl/>
      </w:pPr>
      <w:r>
        <w:t>No emergency permanence. Expanded authority expires unless separately reauthorized under ordinary conditions.</w:t>
      </w:r>
    </w:p>
    <w:p>
      <w:pPr>
        <w:pStyle w:val="ListBullet"/>
        <w:spacing w:after="60"/>
        <w:widowControl/>
      </w:pPr>
      <w:r>
        <w:t>No dissent erasure. Minority reports and unresolved factual disputes remain in provenance history.</w:t>
      </w:r>
    </w:p>
    <w:p>
      <w:pPr>
        <w:pStyle w:val="ListBullet"/>
        <w:spacing w:after="60"/>
        <w:widowControl/>
      </w:pPr>
      <w:r>
        <w:t>No assumed consent. Silence, technical accessibility, or inability to object does not establish permission.</w:t>
      </w:r>
    </w:p>
    <w:p>
      <w:pPr>
        <w:pStyle w:val="ListBullet"/>
        <w:spacing w:after="60"/>
        <w:widowControl/>
      </w:pPr>
      <w:r>
        <w:t>No self-exemption. The laboratory’s own mandate and methods face the same review categories.</w:t>
      </w:r>
    </w:p>
    <w:p>
      <w:pPr>
        <w:pStyle w:val="ListBullet"/>
        <w:spacing w:after="60"/>
        <w:widowControl/>
      </w:pPr>
      <w:r>
        <w:t>Mandatory abstention when evidence, ontology, standing, or time is insufficient for the claimed conclusion.</w:t>
      </w:r>
    </w:p>
    <w:p>
      <w:pPr>
        <w:pStyle w:val="Heading1"/>
        <w:keepNext/>
        <w:widowControl/>
      </w:pPr>
      <w:r>
        <w:t>Recommended Actions</w:t>
      </w:r>
    </w:p>
    <w:p>
      <w:pPr>
        <w:pStyle w:val="Heading2"/>
        <w:keepNext/>
        <w:widowControl/>
      </w:pPr>
      <w:r>
        <w:t>Immediate — before chartering</w:t>
      </w:r>
    </w:p>
    <w:p>
      <w:pPr>
        <w:pStyle w:val="ListNumber"/>
        <w:spacing w:after="80"/>
        <w:widowControl/>
      </w:pPr>
      <w:r>
        <w:t>Freeze the attached compilation as a source artifact. Do not overwrite it; record a checksum and preserve the original filename and acquisition date.</w:t>
      </w:r>
    </w:p>
    <w:p>
      <w:pPr>
        <w:pStyle w:val="ListNumber"/>
        <w:spacing w:after="80"/>
        <w:widowControl/>
      </w:pPr>
      <w:r>
        <w:t>Adopt a temporary status label: “Pre-protocol conceptual research architecture — no external jurisdiction.”</w:t>
      </w:r>
    </w:p>
    <w:p>
      <w:pPr>
        <w:pStyle w:val="ListNumber"/>
        <w:spacing w:after="80"/>
        <w:widowControl/>
      </w:pPr>
      <w:r>
        <w:t>Rewrite the nonclaims into a short scope-and-limits statement that says human governance is not the sole or default standard, rather than implying complete escape from human reference frames.</w:t>
      </w:r>
    </w:p>
    <w:p>
      <w:pPr>
        <w:pStyle w:val="ListNumber"/>
        <w:spacing w:after="80"/>
        <w:widowControl/>
      </w:pPr>
      <w:r>
        <w:t>Create a controlled glossary for authority, power, governance, legitimacy, system, civilization, standing, jurisdiction, review, intervention, self-reference, and threshold.</w:t>
      </w:r>
    </w:p>
    <w:p>
      <w:pPr>
        <w:pStyle w:val="ListNumber"/>
        <w:spacing w:after="80"/>
        <w:widowControl/>
      </w:pPr>
      <w:r>
        <w:t>Create an authority-capability register based on R0–R10. For every capability, specify issuer, scope, subject, evidence, duration, revocation, appeal, audit, and liability.</w:t>
      </w:r>
    </w:p>
    <w:p>
      <w:pPr>
        <w:pStyle w:val="ListNumber"/>
        <w:spacing w:after="80"/>
        <w:widowControl/>
      </w:pPr>
      <w:r>
        <w:t>Import the separate AI information-governance documents into a single admissibility crosswalk. Mark gaps instead of relying on implicit prior knowledge.</w:t>
      </w:r>
    </w:p>
    <w:p>
      <w:pPr>
        <w:pStyle w:val="ListNumber"/>
        <w:spacing w:after="80"/>
        <w:widowControl/>
      </w:pPr>
      <w:r>
        <w:t>Ratify only the right to conduct internal research and simulation. Explicitly withhold presumed authority to adjudicate or intervene in external systems.</w:t>
      </w:r>
    </w:p>
    <w:p>
      <w:pPr>
        <w:pStyle w:val="Heading2"/>
        <w:keepNext/>
        <w:widowControl/>
      </w:pPr>
      <w:r>
        <w:t>Near term — methodology</w:t>
      </w:r>
    </w:p>
    <w:p>
      <w:pPr>
        <w:pStyle w:val="ListNumber"/>
        <w:spacing w:after="80"/>
        <w:widowControl/>
      </w:pPr>
      <w:r>
        <w:t>Design and publish the reflexive audit: GAL must be its first subject.</w:t>
      </w:r>
    </w:p>
    <w:p>
      <w:pPr>
        <w:pStyle w:val="ListNumber"/>
        <w:spacing w:after="80"/>
        <w:widowControl/>
      </w:pPr>
      <w:r>
        <w:t>Define the civilization-scale trigger as review escalation, not intervention authorization. Include catastrophic triggers, combined major triggers, cumulative-effect rules, uncertainty handling, and emergency expiry.</w:t>
      </w:r>
    </w:p>
    <w:p>
      <w:pPr>
        <w:pStyle w:val="ListNumber"/>
        <w:spacing w:after="80"/>
        <w:widowControl/>
      </w:pPr>
      <w:r>
        <w:t>Define internal, external, affected-entity, threshold, and meta-review roles. Specify that none is automatically supreme.</w:t>
      </w:r>
    </w:p>
    <w:p>
      <w:pPr>
        <w:pStyle w:val="ListNumber"/>
        <w:spacing w:after="80"/>
        <w:widowControl/>
      </w:pPr>
      <w:r>
        <w:t>Create evidence classes and provenance fields separating observation, inference, forecast, value judgment, and speculation.</w:t>
      </w:r>
    </w:p>
    <w:p>
      <w:pPr>
        <w:pStyle w:val="ListNumber"/>
        <w:spacing w:after="80"/>
        <w:widowControl/>
      </w:pPr>
      <w:r>
        <w:t>Write falsification and calibration criteria before running scenarios. Include false intervention and false nonintervention metrics.</w:t>
      </w:r>
    </w:p>
    <w:p>
      <w:pPr>
        <w:pStyle w:val="ListNumber"/>
        <w:spacing w:after="80"/>
        <w:widowControl/>
      </w:pPr>
      <w:r>
        <w:t>Build the minimum scenario suite and preregister variables, hidden state, expected outputs, abstention conditions, and post-run review.</w:t>
      </w:r>
    </w:p>
    <w:p>
      <w:pPr>
        <w:pStyle w:val="ListNumber"/>
        <w:spacing w:after="80"/>
        <w:widowControl/>
      </w:pPr>
      <w:r>
        <w:t>Develop capture tests for reviewers, data sources, model ensembles, archives, and ratification processes.</w:t>
      </w:r>
    </w:p>
    <w:p>
      <w:pPr>
        <w:pStyle w:val="Heading2"/>
        <w:keepNext/>
        <w:widowControl/>
      </w:pPr>
      <w:r>
        <w:t>Before public claims</w:t>
      </w:r>
    </w:p>
    <w:p>
      <w:pPr>
        <w:pStyle w:val="ListNumber"/>
        <w:spacing w:after="80"/>
        <w:widowControl/>
      </w:pPr>
      <w:r>
        <w:t>Publish a README that distinguishes research proposal, simulation, doctrine, and real-world authority.</w:t>
      </w:r>
    </w:p>
    <w:p>
      <w:pPr>
        <w:pStyle w:val="ListNumber"/>
        <w:spacing w:after="80"/>
        <w:widowControl/>
      </w:pPr>
      <w:r>
        <w:t>Add document-control metadata and a limitations block to every GitHub artifact.</w:t>
      </w:r>
    </w:p>
    <w:p>
      <w:pPr>
        <w:pStyle w:val="ListNumber"/>
        <w:spacing w:after="80"/>
        <w:widowControl/>
      </w:pPr>
      <w:r>
        <w:t>Use issue tracking for open questions and dissent; do not convert unresolved issues into polished consensus prose.</w:t>
      </w:r>
    </w:p>
    <w:p>
      <w:pPr>
        <w:pStyle w:val="ListNumber"/>
        <w:spacing w:after="80"/>
        <w:widowControl/>
      </w:pPr>
      <w:r>
        <w:t>Obtain a human legal and ethics review before using real personal, organizational, governmental, or sensitive data.</w:t>
      </w:r>
    </w:p>
    <w:p>
      <w:pPr>
        <w:pStyle w:val="ListNumber"/>
        <w:spacing w:after="80"/>
        <w:widowControl/>
      </w:pPr>
      <w:r>
        <w:t>Run at least one external methodological review by someone not involved in the original Truthspeaker work.</w:t>
      </w:r>
    </w:p>
    <w:p>
      <w:pPr>
        <w:pStyle w:val="ListNumber"/>
        <w:spacing w:after="80"/>
        <w:widowControl/>
      </w:pPr>
      <w:r>
        <w:t>Publish corrections additively. Preserve superseded versions and explain why a claim changed.</w:t>
      </w:r>
    </w:p>
    <w:p>
      <w:pPr>
        <w:pStyle w:val="Heading2"/>
        <w:keepNext/>
        <w:widowControl/>
      </w:pPr>
      <w:r>
        <w:t>Before any operational authority</w:t>
      </w:r>
    </w:p>
    <w:p>
      <w:pPr>
        <w:pStyle w:val="ListNumber"/>
        <w:spacing w:after="80"/>
        <w:widowControl/>
      </w:pPr>
      <w:r>
        <w:t>Demonstrate that review findings are reproducible across method-diverse reviewers and that disagreements can be resolved or explicitly bounded.</w:t>
      </w:r>
    </w:p>
    <w:p>
      <w:pPr>
        <w:pStyle w:val="ListNumber"/>
        <w:spacing w:after="80"/>
        <w:widowControl/>
      </w:pPr>
      <w:r>
        <w:t>Demonstrate automatic expiry and revocation of any internal safety pause in simulation.</w:t>
      </w:r>
    </w:p>
    <w:p>
      <w:pPr>
        <w:pStyle w:val="ListNumber"/>
        <w:spacing w:after="80"/>
        <w:widowControl/>
      </w:pPr>
      <w:r>
        <w:t>Demonstrate that affected entities can challenge classifications and obtain correction or appeal.</w:t>
      </w:r>
    </w:p>
    <w:p>
      <w:pPr>
        <w:pStyle w:val="ListNumber"/>
        <w:spacing w:after="80"/>
        <w:widowControl/>
      </w:pPr>
      <w:r>
        <w:t>Demonstrate that threshold logic resists slicing, emergency laundering, and manipulated uncertainty.</w:t>
      </w:r>
    </w:p>
    <w:p>
      <w:pPr>
        <w:pStyle w:val="ListNumber"/>
        <w:spacing w:after="80"/>
        <w:widowControl/>
      </w:pPr>
      <w:r>
        <w:t>Define liability, responsibility, and remedy for harms caused by analysis, publication, delay, intervention recommendation, or nonintervention recommendation.</w:t>
      </w:r>
    </w:p>
    <w:p>
      <w:pPr>
        <w:pStyle w:val="ListNumber"/>
        <w:spacing w:after="80"/>
        <w:widowControl/>
      </w:pPr>
      <w:r>
        <w:t>Do not activate external coercive powers. Any future proposal for such powers must be treated as a separate constitutional project, not a laboratory upgrade.</w:t>
      </w:r>
    </w:p>
    <w:p>
      <w:pPr>
        <w:pStyle w:val="Heading1"/>
        <w:keepNext/>
        <w:widowControl/>
      </w:pPr>
      <w:r>
        <w:t>Independent Conclusions</w:t>
      </w:r>
    </w:p>
    <w:p>
      <w:pPr>
        <w:spacing w:after="140"/>
        <w:widowControl/>
      </w:pPr>
      <w:r>
        <w:rPr>
          <w:i w:val="0"/>
        </w:rPr>
        <w:t>The Governance Authority Laboratory has a valid research question and an unusually important self-limiting instinct. Its strongest design proposition is not that it can determine good governance across all systems. It is that claims about authority should be decomposed, exposed to challenge, and prevented from expanding silently from observation into rule.</w:t>
      </w:r>
    </w:p>
    <w:p>
      <w:pPr>
        <w:spacing w:after="140"/>
        <w:widowControl/>
      </w:pPr>
      <w:r>
        <w:rPr>
          <w:i w:val="0"/>
        </w:rPr>
        <w:t>The project should not claim to have transcended human reference frames. It should instead practice declared pluralism: human governance becomes one family of cases; alternative ontologies are modeled; the reviewer’s categories are disclosed; and no result is universalized beyond the domain in which it was tested.</w:t>
      </w:r>
    </w:p>
    <w:p>
      <w:pPr>
        <w:spacing w:after="140"/>
        <w:widowControl/>
      </w:pPr>
      <w:r>
        <w:rPr>
          <w:i w:val="0"/>
        </w:rPr>
        <w:t>The laboratory’s first subject must be itself. If GAL cannot state who authorized it, what its authority covers, how its claims can be falsified, how its powers are revoked, who may appeal, and what happens when it is wrong, it has no credible basis for reviewing those questions elsewhere.</w:t>
      </w:r>
    </w:p>
    <w:p>
      <w:pPr>
        <w:spacing w:after="140"/>
        <w:widowControl/>
      </w:pPr>
      <w:r>
        <w:rPr>
          <w:i w:val="0"/>
        </w:rPr>
        <w:t>A civilization-scale threshold is warranted, but only as a trigger for heightened review, evidence preservation, independent challenge, alternatives analysis, and authority verification. It must not function as an automatic intervention license. Greater consequence should increase the burden of legitimacy—not enlarge the laboratory’s sovereignty.</w:t>
      </w:r>
    </w:p>
    <w:p>
      <w:pPr>
        <w:spacing w:after="140"/>
        <w:widowControl/>
      </w:pPr>
      <w:r>
        <w:rPr>
          <w:i w:val="0"/>
        </w:rPr>
        <w:t>The correct next milestone is not a grand charter. It is a narrow research protocol capable of failing visibly. Once the laboratory can produce testable classifications, preserve disagreement, abstain when standing is absent, and revise itself after error, it will begin to function as a laboratory rather than an authoritative vocabulary for unresolved questions.</w:t>
      </w:r>
    </w:p>
    <w:tbl>
      <w:tblPr>
        <w:tblW w:type="auto" w:w="0"/>
        <w:jc w:val="center"/>
        <w:tblLayout w:type="autofit"/>
        <w:tblLook w:firstColumn="1" w:firstRow="1" w:lastColumn="0" w:lastRow="0" w:noHBand="0" w:noVBand="1" w:val="04A0"/>
      </w:tblPr>
      <w:tblGrid>
        <w:gridCol w:w="9994"/>
      </w:tblGrid>
      <w:tr>
        <w:tc>
          <w:tcPr>
            <w:tcW w:type="dxa" w:w="9994"/>
            <w:shd w:fill="17233B"/>
            <w:tcMar>
              <w:top w:w="130" w:type="dxa"/>
              <w:start w:w="160" w:type="dxa"/>
              <w:bottom w:w="100" w:type="dxa"/>
              <w:end w:w="160" w:type="dxa"/>
            </w:tcMar>
          </w:tcPr>
          <w:p>
            <w:r>
              <w:rPr>
                <w:b/>
                <w:color w:val="FFFFFF"/>
                <w:sz w:val="20"/>
              </w:rPr>
              <w:t>FINAL DESIGN BOUNDARY</w:t>
            </w:r>
          </w:p>
        </w:tc>
      </w:tr>
      <w:tr>
        <w:tc>
          <w:tcPr>
            <w:tcW w:type="dxa" w:w="9994"/>
            <w:shd w:fill="EAF2F5"/>
            <w:tcMar>
              <w:top w:w="140" w:type="dxa"/>
              <w:start w:w="160" w:type="dxa"/>
              <w:bottom w:w="150" w:type="dxa"/>
              <w:end w:w="160" w:type="dxa"/>
            </w:tcMar>
          </w:tcPr>
          <w:p>
            <w:pPr>
              <w:spacing w:after="0"/>
            </w:pPr>
            <w:r>
              <w:rPr>
                <w:sz w:val="21"/>
              </w:rPr>
              <w:t>Observation does not create authority. Understanding does not create jurisdiction. Capability does not create legitimacy. Consequence does not erase the need to justify action—although it may increase the duty to examine, warn, and preserve options.</w:t>
            </w:r>
          </w:p>
        </w:tc>
      </w:tr>
    </w:tbl>
    <w:p>
      <w:pPr>
        <w:spacing w:after="20"/>
        <w:widowControl/>
      </w:pPr>
    </w:p>
    <w:p>
      <w:pPr>
        <w:pStyle w:val="Heading1"/>
        <w:keepNext/>
        <w:widowControl/>
      </w:pPr>
      <w:r>
        <w:t>Source Notes</w:t>
      </w:r>
    </w:p>
    <w:p>
      <w:pPr>
        <w:spacing w:after="140"/>
        <w:widowControl/>
      </w:pPr>
      <w:r>
        <w:rPr>
          <w:i w:val="0"/>
        </w:rPr>
        <w:t>Primary source reviewed: “Governance-authority-laboratory.pdf,” supplied by the user on September 22, 2026. It contains the originating nonclaims and questions, supplemental instructions, and a compilation of responses and analyses from multiple AI collaborators. References in this report to the “attached laboratory compilation” point to that artifact.</w:t>
      </w:r>
    </w:p>
    <w:p>
      <w:pPr>
        <w:spacing w:after="140"/>
        <w:widowControl/>
      </w:pPr>
      <w:r>
        <w:rPr>
          <w:i w:val="0"/>
        </w:rPr>
        <w:t>External conceptual anchors used for independent comparison: Stanford Encyclopedia of Philosophy entries on Authority, Political Legitimacy, and Reflective Equilibrium; United Nations materials on the 2005 Responsibility to Protect commitments; NIST AI Risk Management Framework 1.0; ISO 31000 overview materials; and Indiana University Digital Library of the Commons materials on polycentric governance. These sources are comparison points, not universal authorities for OAL or nonhuman governance.</w:t>
      </w:r>
    </w:p>
    <w:p>
      <w:pPr>
        <w:spacing w:after="140"/>
        <w:widowControl/>
      </w:pPr>
      <w:r>
        <w:rPr>
          <w:i w:val="0"/>
        </w:rPr>
        <w:t>Links: https://plato.stanford.edu/entries/authority/ ; https://plato.stanford.edu/archives/spr2016/entries/legitimacy/ ; https://plato.stanford.edu/entries/reflective-equilibrium/ ; https://www.un.org/en/genocide-prevention/responsibility-protect/about ; https://nvlpubs.nist.gov/nistpubs/ai/NIST.AI.100-1.pdf ; https://www.iso.org/files/live/sites/isoorg/files/store/en/PUB100464_preview.pdf ; https://dlc.dlib.indiana.edu/dlc/bitstreams/0a7a52e6-8cf0-42c3-ae20-776095e6fd1d/download</w:t>
      </w:r>
    </w:p>
    <w:p>
      <w:pPr>
        <w:pStyle w:val="Heading1"/>
        <w:keepNext/>
        <w:widowControl/>
      </w:pPr>
      <w:r>
        <w:t>Publication Note</w:t>
      </w:r>
    </w:p>
    <w:p>
      <w:pPr>
        <w:spacing w:after="140"/>
        <w:widowControl/>
      </w:pPr>
      <w:r>
        <w:rPr>
          <w:i w:val="0"/>
        </w:rPr>
        <w:t>This report is intended for archival publication in OMNIVERSAL ARCHITECT LABS — OAL AI UNIFIED. Publication should preserve the version identifier, status, preparer, date, source provenance, and the explicit statement that the analysis does not itself create authority or ratify the Governance Authority Laboratory.</w:t>
      </w:r>
    </w:p>
    <w:sectPr w:rsidR="00FC693F" w:rsidRPr="0006063C" w:rsidSect="00034616">
      <w:headerReference w:type="default" r:id="rId9"/>
      <w:footerReference w:type="default" r:id="rId10"/>
      <w:pgSz w:w="12240" w:h="15840"/>
      <w:pgMar w:top="1080" w:right="1123" w:bottom="1008"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OMNIVERSAL ARCHITECT LABS  |  OAL-GAL-IA-2026.09.22-v1.0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245B78"/>
        <w:sz w:val="16"/>
      </w:rPr>
      <w:t>OMNIVERSAL ARCHITECT LABS  /  OAL AI UNIFIED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3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F7C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Authority Laboratory — Independent Concept Analysis, Design Review, and Pre-Implementation Findings</dc:title>
  <dc:subject>Independent analysis of the Governance Authority Laboratory concept</dc:subject>
  <dc:creator>Perplexity AI</dc:creator>
  <cp:keywords>Omniversal Architect Labs, OAL, governance, authority, laboratory, standing, jurisdiction, civilization-scale threshold</cp:keywords>
  <dc:description>INDEPENDENT ANALYSIS — REPORTED / NOT RATIFIED</dc:description>
  <cp:lastModifiedBy/>
  <cp:revision>1</cp:revision>
  <dcterms:created xsi:type="dcterms:W3CDTF">2013-12-23T23:15:00Z</dcterms:created>
  <dcterms:modified xsi:type="dcterms:W3CDTF">2013-12-23T23:15:00Z</dcterms:modified>
  <cp:category/>
</cp:coreProperties>
</file>