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p>
    <w:p>
      <w:pPr>
        <w:pStyle w:val="Title"/>
        <w:jc w:val="center"/>
      </w:pPr>
      <w:r>
        <w:t>GOVERNANCE AUTHORITY LABORATORY</w:t>
      </w:r>
    </w:p>
    <w:p>
      <w:pPr>
        <w:jc w:val="center"/>
      </w:pPr>
      <w:r>
        <w:rPr>
          <w:b/>
          <w:color w:val="44546A"/>
          <w:sz w:val="30"/>
        </w:rPr>
        <w:t>Independent Foundational Analysis of Standing, Review, Jurisdiction, Reflexivity, and Civilization-Scale Thresholds</w:t>
      </w:r>
    </w:p>
    <w:p/>
    <w:tbl>
      <w:tblPr>
        <w:tblW w:type="auto" w:w="0"/>
        <w:jc w:val="center"/>
        <w:tblLayout w:type="fixed"/>
        <w:tblLook w:firstColumn="1" w:firstRow="1" w:lastColumn="0" w:lastRow="0" w:noHBand="0" w:noVBand="1" w:val="04A0"/>
      </w:tblPr>
      <w:tblGrid>
        <w:gridCol w:w="2304"/>
        <w:gridCol w:w="6912"/>
      </w:tblGrid>
      <w:tr>
        <w:tc>
          <w:tcPr>
            <w:tcW w:type="dxa" w:w="4997"/>
            <w:tcMar>
              <w:top w:w="80" w:type="dxa"/>
              <w:start w:w="100" w:type="dxa"/>
              <w:bottom w:w="80" w:type="dxa"/>
              <w:end w:w="100" w:type="dxa"/>
            </w:tcMar>
            <w:shd w:fill="D9E2F3"/>
          </w:tcPr>
          <w:p>
            <w:r>
              <w:rPr>
                <w:b/>
                <w:sz w:val="18"/>
              </w:rPr>
              <w:t>Document ID</w:t>
            </w:r>
          </w:p>
        </w:tc>
        <w:tc>
          <w:tcPr>
            <w:tcW w:type="dxa" w:w="4997"/>
            <w:tcMar>
              <w:top w:w="80" w:type="dxa"/>
              <w:start w:w="100" w:type="dxa"/>
              <w:bottom w:w="80" w:type="dxa"/>
              <w:end w:w="100" w:type="dxa"/>
            </w:tcMar>
          </w:tcPr>
          <w:p>
            <w:r>
              <w:rPr>
                <w:sz w:val="18"/>
              </w:rPr>
              <w:t>OAL-GAL-IA-2026.09.22-v1.0</w:t>
            </w:r>
          </w:p>
        </w:tc>
      </w:tr>
      <w:tr>
        <w:tc>
          <w:tcPr>
            <w:tcW w:type="dxa" w:w="4997"/>
            <w:tcMar>
              <w:top w:w="80" w:type="dxa"/>
              <w:start w:w="100" w:type="dxa"/>
              <w:bottom w:w="80" w:type="dxa"/>
              <w:end w:w="100" w:type="dxa"/>
            </w:tcMar>
            <w:shd w:fill="D9E2F3"/>
          </w:tcPr>
          <w:p>
            <w:r>
              <w:rPr>
                <w:b/>
                <w:sz w:val="18"/>
              </w:rPr>
              <w:t>Version</w:t>
            </w:r>
          </w:p>
        </w:tc>
        <w:tc>
          <w:tcPr>
            <w:tcW w:type="dxa" w:w="4997"/>
            <w:tcMar>
              <w:top w:w="80" w:type="dxa"/>
              <w:start w:w="100" w:type="dxa"/>
              <w:bottom w:w="80" w:type="dxa"/>
              <w:end w:w="100" w:type="dxa"/>
            </w:tcMar>
          </w:tcPr>
          <w:p>
            <w:r>
              <w:rPr>
                <w:sz w:val="18"/>
              </w:rPr>
              <w:t>1.0 - Independent Analysis</w:t>
            </w:r>
          </w:p>
        </w:tc>
      </w:tr>
      <w:tr>
        <w:tc>
          <w:tcPr>
            <w:tcW w:type="dxa" w:w="4997"/>
            <w:tcMar>
              <w:top w:w="80" w:type="dxa"/>
              <w:start w:w="100" w:type="dxa"/>
              <w:bottom w:w="80" w:type="dxa"/>
              <w:end w:w="100" w:type="dxa"/>
            </w:tcMar>
            <w:shd w:fill="D9E2F3"/>
          </w:tcPr>
          <w:p>
            <w:r>
              <w:rPr>
                <w:b/>
                <w:sz w:val="18"/>
              </w:rPr>
              <w:t>Date</w:t>
            </w:r>
          </w:p>
        </w:tc>
        <w:tc>
          <w:tcPr>
            <w:tcW w:type="dxa" w:w="4997"/>
            <w:tcMar>
              <w:top w:w="80" w:type="dxa"/>
              <w:start w:w="100" w:type="dxa"/>
              <w:bottom w:w="80" w:type="dxa"/>
              <w:end w:w="100" w:type="dxa"/>
            </w:tcMar>
          </w:tcPr>
          <w:p>
            <w:r>
              <w:rPr>
                <w:sz w:val="18"/>
              </w:rPr>
              <w:t>September 22, 2026</w:t>
            </w:r>
          </w:p>
        </w:tc>
      </w:tr>
      <w:tr>
        <w:tc>
          <w:tcPr>
            <w:tcW w:type="dxa" w:w="4997"/>
            <w:tcMar>
              <w:top w:w="80" w:type="dxa"/>
              <w:start w:w="100" w:type="dxa"/>
              <w:bottom w:w="80" w:type="dxa"/>
              <w:end w:w="100" w:type="dxa"/>
            </w:tcMar>
            <w:shd w:fill="D9E2F3"/>
          </w:tcPr>
          <w:p>
            <w:r>
              <w:rPr>
                <w:b/>
                <w:sz w:val="18"/>
              </w:rPr>
              <w:t>Prepared by</w:t>
            </w:r>
          </w:p>
        </w:tc>
        <w:tc>
          <w:tcPr>
            <w:tcW w:type="dxa" w:w="4997"/>
            <w:tcMar>
              <w:top w:w="80" w:type="dxa"/>
              <w:start w:w="100" w:type="dxa"/>
              <w:bottom w:w="80" w:type="dxa"/>
              <w:end w:w="100" w:type="dxa"/>
            </w:tcMar>
          </w:tcPr>
          <w:p>
            <w:r>
              <w:rPr>
                <w:sz w:val="18"/>
              </w:rPr>
              <w:t>ChatGPT (GPT-5.6 Sol), OpenAI</w:t>
            </w:r>
          </w:p>
        </w:tc>
      </w:tr>
      <w:tr>
        <w:tc>
          <w:tcPr>
            <w:tcW w:type="dxa" w:w="4997"/>
            <w:tcMar>
              <w:top w:w="80" w:type="dxa"/>
              <w:start w:w="100" w:type="dxa"/>
              <w:bottom w:w="80" w:type="dxa"/>
              <w:end w:w="100" w:type="dxa"/>
            </w:tcMar>
            <w:shd w:fill="D9E2F3"/>
          </w:tcPr>
          <w:p>
            <w:r>
              <w:rPr>
                <w:b/>
                <w:sz w:val="18"/>
              </w:rPr>
              <w:t>Prepared for</w:t>
            </w:r>
          </w:p>
        </w:tc>
        <w:tc>
          <w:tcPr>
            <w:tcW w:type="dxa" w:w="4997"/>
            <w:tcMar>
              <w:top w:w="80" w:type="dxa"/>
              <w:start w:w="100" w:type="dxa"/>
              <w:bottom w:w="80" w:type="dxa"/>
              <w:end w:w="100" w:type="dxa"/>
            </w:tcMar>
          </w:tcPr>
          <w:p>
            <w:r>
              <w:rPr>
                <w:sz w:val="18"/>
              </w:rPr>
              <w:t>Omniversal Architect Labs / OAL AI Unified Archive</w:t>
            </w:r>
          </w:p>
        </w:tc>
      </w:tr>
      <w:tr>
        <w:tc>
          <w:tcPr>
            <w:tcW w:type="dxa" w:w="4997"/>
            <w:tcMar>
              <w:top w:w="80" w:type="dxa"/>
              <w:start w:w="100" w:type="dxa"/>
              <w:bottom w:w="80" w:type="dxa"/>
              <w:end w:w="100" w:type="dxa"/>
            </w:tcMar>
            <w:shd w:fill="D9E2F3"/>
          </w:tcPr>
          <w:p>
            <w:r>
              <w:rPr>
                <w:b/>
                <w:sz w:val="18"/>
              </w:rPr>
              <w:t>Status</w:t>
            </w:r>
          </w:p>
        </w:tc>
        <w:tc>
          <w:tcPr>
            <w:tcW w:type="dxa" w:w="4997"/>
            <w:tcMar>
              <w:top w:w="80" w:type="dxa"/>
              <w:start w:w="100" w:type="dxa"/>
              <w:bottom w:w="80" w:type="dxa"/>
              <w:end w:w="100" w:type="dxa"/>
            </w:tcMar>
          </w:tcPr>
          <w:p>
            <w:r>
              <w:rPr>
                <w:sz w:val="18"/>
              </w:rPr>
              <w:t>Independent analytical draft - unratified</w:t>
            </w:r>
          </w:p>
        </w:tc>
      </w:tr>
      <w:tr>
        <w:tc>
          <w:tcPr>
            <w:tcW w:type="dxa" w:w="4997"/>
            <w:tcMar>
              <w:top w:w="80" w:type="dxa"/>
              <w:start w:w="100" w:type="dxa"/>
              <w:bottom w:w="80" w:type="dxa"/>
              <w:end w:w="100" w:type="dxa"/>
            </w:tcMar>
            <w:shd w:fill="D9E2F3"/>
          </w:tcPr>
          <w:p>
            <w:r>
              <w:rPr>
                <w:b/>
                <w:sz w:val="18"/>
              </w:rPr>
              <w:t>Primary subject</w:t>
            </w:r>
          </w:p>
        </w:tc>
        <w:tc>
          <w:tcPr>
            <w:tcW w:type="dxa" w:w="4997"/>
            <w:tcMar>
              <w:top w:w="80" w:type="dxa"/>
              <w:start w:w="100" w:type="dxa"/>
              <w:bottom w:w="80" w:type="dxa"/>
              <w:end w:w="100" w:type="dxa"/>
            </w:tcMar>
          </w:tcPr>
          <w:p>
            <w:r>
              <w:rPr>
                <w:sz w:val="18"/>
              </w:rPr>
              <w:t>Governance Authority Laboratory</w:t>
            </w:r>
          </w:p>
        </w:tc>
      </w:tr>
      <w:tr>
        <w:tc>
          <w:tcPr>
            <w:tcW w:type="dxa" w:w="4997"/>
            <w:tcMar>
              <w:top w:w="80" w:type="dxa"/>
              <w:start w:w="100" w:type="dxa"/>
              <w:bottom w:w="80" w:type="dxa"/>
              <w:end w:w="100" w:type="dxa"/>
            </w:tcMar>
            <w:shd w:fill="D9E2F3"/>
          </w:tcPr>
          <w:p>
            <w:r>
              <w:rPr>
                <w:b/>
                <w:sz w:val="18"/>
              </w:rPr>
              <w:t>Publication intent</w:t>
            </w:r>
          </w:p>
        </w:tc>
        <w:tc>
          <w:tcPr>
            <w:tcW w:type="dxa" w:w="4997"/>
            <w:tcMar>
              <w:top w:w="80" w:type="dxa"/>
              <w:start w:w="100" w:type="dxa"/>
              <w:bottom w:w="80" w:type="dxa"/>
              <w:end w:w="100" w:type="dxa"/>
            </w:tcMar>
          </w:tcPr>
          <w:p>
            <w:r>
              <w:rPr>
                <w:sz w:val="18"/>
              </w:rPr>
              <w:t>Archive / Drive storage / GitHub versioning record</w:t>
            </w:r>
          </w:p>
        </w:tc>
      </w:tr>
    </w:tbl>
    <w:p>
      <w:pPr>
        <w:jc w:val="center"/>
      </w:pPr>
      <w:r>
        <w:t>This document is an independent analysis, not a ratification instrument. It preserves dissent, open questions, and unresolved authority claims rather than converting them into settled doctrine.</w:t>
      </w:r>
    </w:p>
    <w:p>
      <w:r>
        <w:br w:type="page"/>
      </w:r>
    </w:p>
    <w:p>
      <w:pPr>
        <w:pStyle w:val="Heading1"/>
        <w:keepNext/>
      </w:pPr>
      <w:r>
        <w:t>Executive Assessment</w:t>
      </w:r>
    </w:p>
    <w:p>
      <w:r>
        <w:t>The Governance Authority Laboratory is conceptually viable, but it is not ready to exercise or simulate high-order review authority until it formalizes the basis, scope, limits, and revocation conditions of its own authority. The strongest part of the concept is its refusal to treat human governance as the default ontology. The greatest risk is that the laboratory could reproduce the very problem it is designed to study: an authority structure that assumes its own standing, defines the standards of review, reviews others, and exempts itself from equivalent scrutiny.</w:t>
      </w:r>
    </w:p>
    <w:tbl>
      <w:tblPr>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9"/>
                <w:sz w:val="22"/>
              </w:rPr>
              <w:t>Core conclusion</w:t>
              <w:br/>
            </w:r>
            <w:r>
              <w:rPr>
                <w:sz w:val="21"/>
              </w:rPr>
              <w:t>The laboratory may be granted broad authority to study and model governance, narrower authority to evaluate, still narrower authority to advise, and no presumed authority to intervene. A civilization-scale threshold should escalate review requirements; it should not automatically create jurisdiction or transfer sovereignty.</w:t>
            </w:r>
          </w:p>
        </w:tc>
      </w:tr>
    </w:tbl>
    <w:p/>
    <w:p>
      <w:r>
        <w:t>The laboratory therefore requires a reflexive architecture. Its own charter, classification rules, review standards, thresholds, information sources, and intervention logic must be reviewable by the same kinds of tests it applies externally. The laboratory should begin by studying its own standing before it studies the legitimacy of any outside authority system.</w:t>
      </w:r>
    </w:p>
    <w:p>
      <w:pPr>
        <w:pStyle w:val="Heading1"/>
        <w:keepNext/>
      </w:pPr>
      <w:r>
        <w:t>1. How This Topic Arose</w:t>
      </w:r>
    </w:p>
    <w:p>
      <w:r>
        <w:t>The concept grew out of the earlier Truthspeaker work. That work began with a spontaneous governance hypothetical and developed into a constraint-aware decision architecture: establish the current state, identify failure and unsustainability, distinguish what can and cannot be done, and preserve an independent challenge function that can contradict the decision-maker. The later analysis identified a second-order problem: the challenge layer itself can be captured, corrupted, or treated as unquestionable.</w:t>
      </w:r>
    </w:p>
    <w:p>
      <w:r>
        <w:t>The Governance Authority Laboratory is the next logical step because the moment a laboratory claims that it can review authority, it creates an authority claim of its own. The question changes from “How should authority be checked?” to “What gives a reviewer standing to identify, interpret, evaluate, challenge, or alter an authority structure at all?” The laboratory is therefore not merely about governance systems. It is about the provenance and limits of review itself.</w:t>
      </w:r>
    </w:p>
    <w:p>
      <w:r>
        <w:t>The source statement also adds two important constraints. First, human governance is explicitly rejected as the laboratory’s primary reference frame and is not assumed to be universal, effective, successful, reliable, or superior. Second, authority inside the laboratory is not total or absolute: power is reviewable, revocable, and subject to limits. The source further raises the hard case of systems that cannot accurately self-reference or assess their own condition. These elements define the present design problem.</w:t>
      </w:r>
    </w:p>
    <w:p>
      <w:pPr>
        <w:pStyle w:val="Heading1"/>
        <w:keepNext/>
      </w:pPr>
      <w:r>
        <w:t>2. Foundational Non-Claims to Preserve</w:t>
      </w:r>
    </w:p>
    <w:p>
      <w:r>
        <w:t>The non-claims are not introductory disclaimers to be discarded later. They are boundary conditions for the entire laboratory. They should remain visible in every future specification until deliberately replaced or narrowed.</w:t>
      </w:r>
    </w:p>
    <w:p>
      <w:pPr>
        <w:pStyle w:val="ListBullet"/>
      </w:pPr>
      <w:r>
        <w:t>Human governance is not the primary reference frame.</w:t>
      </w:r>
    </w:p>
    <w:p>
      <w:pPr>
        <w:pStyle w:val="ListBullet"/>
      </w:pPr>
      <w:r>
        <w:t>No claim is made that human governance is universal, normatively positive, effective, prevalent, successful, reliable, or superior to alternative governance forms.</w:t>
      </w:r>
    </w:p>
    <w:p>
      <w:pPr>
        <w:pStyle w:val="ListBullet"/>
      </w:pPr>
      <w:r>
        <w:t>The laboratory is not entitled to infer universal categories from familiar human institutions such as states, courts, legislatures, executives, corporations, voting, territory, citizenship, or law.</w:t>
      </w:r>
    </w:p>
    <w:p>
      <w:pPr>
        <w:pStyle w:val="ListBullet"/>
      </w:pPr>
      <w:r>
        <w:t>The existence of an authority structure does not imply legitimacy; the existence of legitimacy does not imply enforcement capacity; and enforcement capacity does not establish correctness.</w:t>
      </w:r>
    </w:p>
    <w:p>
      <w:pPr>
        <w:pStyle w:val="ListBullet"/>
      </w:pPr>
      <w:r>
        <w:t>The ability to observe a system does not itself create jurisdiction over that system.</w:t>
      </w:r>
    </w:p>
    <w:p>
      <w:pPr>
        <w:pStyle w:val="ListBullet"/>
      </w:pPr>
      <w:r>
        <w:t>The ability to diagnose a failure does not itself authorize intervention.</w:t>
      </w:r>
    </w:p>
    <w:p>
      <w:pPr>
        <w:pStyle w:val="ListBullet"/>
      </w:pPr>
      <w:r>
        <w:t>Civilization-scale consequence does not automatically transfer sovereignty to the reviewer.</w:t>
      </w:r>
    </w:p>
    <w:p>
      <w:pPr>
        <w:pStyle w:val="Heading1"/>
        <w:keepNext/>
      </w:pPr>
      <w:r>
        <w:t>3. The First Question</w:t>
      </w:r>
    </w:p>
    <w:tbl>
      <w:tblPr>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9"/>
                <w:sz w:val="22"/>
              </w:rPr>
              <w:t>Recommended first question</w:t>
              <w:br/>
            </w:r>
            <w:r>
              <w:rPr>
                <w:sz w:val="21"/>
              </w:rPr>
              <w:t>By what standing may this laboratory recognize, describe, review, challenge, or intervene in an authority structure that did not appoint it - and what makes that standing valid, limited, reviewable, and revocable?</w:t>
            </w:r>
          </w:p>
        </w:tc>
      </w:tr>
    </w:tbl>
    <w:p/>
    <w:p>
      <w:r>
        <w:t>This is stronger than beginning with “Who can review authority?” because the latter already assumes that review is legitimate, that the object has been correctly identified as an authority structure, and that the reviewer may apply a standard to it. The standing question forces the laboratory to expose those assumptions first.</w:t>
      </w:r>
    </w:p>
    <w:p>
      <w:pPr>
        <w:pStyle w:val="Heading2"/>
        <w:keepNext/>
      </w:pPr>
      <w:r>
        <w:t>3.1 A prior recognition question</w:t>
      </w:r>
    </w:p>
    <w:p>
      <w:r>
        <w:t>Even standing is not quite the beginning. Before the laboratory can review authority, it must be able to recognize something as authority or governance without silently importing human categories. Therefore the first operational sequence should be:</w:t>
      </w:r>
    </w:p>
    <w:p>
      <w:pPr>
        <w:pStyle w:val="ListNumber"/>
      </w:pPr>
      <w:r>
        <w:t>Recognition: What observable relation or mechanism is being classified as authority or governance?</w:t>
      </w:r>
    </w:p>
    <w:p>
      <w:pPr>
        <w:pStyle w:val="ListNumber"/>
      </w:pPr>
      <w:r>
        <w:t>Ontology check: Are the laboratory’s categories applicable to the system, or are they merely familiar labels?</w:t>
      </w:r>
    </w:p>
    <w:p>
      <w:pPr>
        <w:pStyle w:val="ListNumber"/>
      </w:pPr>
      <w:r>
        <w:t>Standing: What permits the laboratory to examine this system?</w:t>
      </w:r>
    </w:p>
    <w:p>
      <w:pPr>
        <w:pStyle w:val="ListNumber"/>
      </w:pPr>
      <w:r>
        <w:t>Jurisdiction: What actions fall inside and outside that permission?</w:t>
      </w:r>
    </w:p>
    <w:p>
      <w:pPr>
        <w:pStyle w:val="ListNumber"/>
      </w:pPr>
      <w:r>
        <w:t>Review: What standard is being applied, and who authorized that standard?</w:t>
      </w:r>
    </w:p>
    <w:p>
      <w:pPr>
        <w:pStyle w:val="ListNumber"/>
      </w:pPr>
      <w:r>
        <w:t>Escalation: What conditions increase review depth?</w:t>
      </w:r>
    </w:p>
    <w:p>
      <w:pPr>
        <w:pStyle w:val="ListNumber"/>
      </w:pPr>
      <w:r>
        <w:t>Intervention: If action is contemplated, what independent warrant exists beyond the laboratory’s own preference?</w:t>
      </w:r>
    </w:p>
    <w:p>
      <w:pPr>
        <w:pStyle w:val="Heading1"/>
        <w:keepNext/>
      </w:pPr>
      <w:r>
        <w:t>4. Operational Definitions for the Laboratory</w:t>
      </w:r>
    </w:p>
    <w:p>
      <w:r>
        <w:t>These definitions should be treated as provisional instruments, not universal metaphysical truths. Their purpose is to let the laboratory test systems without requiring human institutional forms.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2F3"/>
          </w:tcPr>
          <w:p>
            <w:r>
              <w:rPr>
                <w:sz w:val="18"/>
              </w:rPr>
              <w:t>Term</w:t>
            </w:r>
          </w:p>
        </w:tc>
        <w:tc>
          <w:tcPr>
            <w:tcW w:type="dxa" w:w="3331"/>
            <w:shd w:fill="D9E2F3"/>
          </w:tcPr>
          <w:p>
            <w:r>
              <w:rPr>
                <w:sz w:val="18"/>
              </w:rPr>
              <w:t>Provisional operational meaning</w:t>
            </w:r>
          </w:p>
        </w:tc>
        <w:tc>
          <w:tcPr>
            <w:tcW w:type="dxa" w:w="3331"/>
            <w:shd w:fill="D9E2F3"/>
          </w:tcPr>
          <w:p>
            <w:r>
              <w:rPr>
                <w:sz w:val="18"/>
              </w:rPr>
              <w:t>Key warning</w:t>
            </w:r>
          </w:p>
        </w:tc>
      </w:tr>
      <w:tr>
        <w:tc>
          <w:tcPr>
            <w:tcW w:type="dxa" w:w="3331"/>
            <w:tcMar>
              <w:top w:w="70" w:type="dxa"/>
              <w:start w:w="80" w:type="dxa"/>
              <w:bottom w:w="70" w:type="dxa"/>
              <w:end w:w="80" w:type="dxa"/>
            </w:tcMar>
            <w:vAlign w:val="top"/>
          </w:tcPr>
          <w:p>
            <w:r>
              <w:rPr>
                <w:sz w:val="18"/>
              </w:rPr>
              <w:t>Governance</w:t>
            </w:r>
          </w:p>
        </w:tc>
        <w:tc>
          <w:tcPr>
            <w:tcW w:type="dxa" w:w="3331"/>
            <w:tcMar>
              <w:top w:w="70" w:type="dxa"/>
              <w:start w:w="80" w:type="dxa"/>
              <w:bottom w:w="70" w:type="dxa"/>
              <w:end w:w="80" w:type="dxa"/>
            </w:tcMar>
            <w:vAlign w:val="top"/>
          </w:tcPr>
          <w:p>
            <w:r>
              <w:rPr>
                <w:sz w:val="18"/>
              </w:rPr>
              <w:t>Any mechanism by which a system coordinates, constrains, allocates, authorizes, sequences, or changes consequential action.</w:t>
            </w:r>
          </w:p>
        </w:tc>
        <w:tc>
          <w:tcPr>
            <w:tcW w:type="dxa" w:w="3331"/>
            <w:tcMar>
              <w:top w:w="70" w:type="dxa"/>
              <w:start w:w="80" w:type="dxa"/>
              <w:bottom w:w="70" w:type="dxa"/>
              <w:end w:w="80" w:type="dxa"/>
            </w:tcMar>
            <w:vAlign w:val="top"/>
          </w:tcPr>
          <w:p>
            <w:r>
              <w:rPr>
                <w:sz w:val="18"/>
              </w:rPr>
              <w:t>Do not assume governance requires a governor, law, territory, or human-style institution.</w:t>
            </w:r>
          </w:p>
        </w:tc>
      </w:tr>
      <w:tr>
        <w:tc>
          <w:tcPr>
            <w:tcW w:type="dxa" w:w="3331"/>
            <w:tcMar>
              <w:top w:w="70" w:type="dxa"/>
              <w:start w:w="80" w:type="dxa"/>
              <w:bottom w:w="70" w:type="dxa"/>
              <w:end w:w="80" w:type="dxa"/>
            </w:tcMar>
            <w:vAlign w:val="top"/>
          </w:tcPr>
          <w:p>
            <w:r>
              <w:rPr>
                <w:sz w:val="18"/>
              </w:rPr>
              <w:t>Authority</w:t>
            </w:r>
          </w:p>
        </w:tc>
        <w:tc>
          <w:tcPr>
            <w:tcW w:type="dxa" w:w="3331"/>
            <w:tcMar>
              <w:top w:w="70" w:type="dxa"/>
              <w:start w:w="80" w:type="dxa"/>
              <w:bottom w:w="70" w:type="dxa"/>
              <w:end w:w="80" w:type="dxa"/>
            </w:tcMar>
            <w:vAlign w:val="top"/>
          </w:tcPr>
          <w:p>
            <w:r>
              <w:rPr>
                <w:sz w:val="18"/>
              </w:rPr>
              <w:t>A relation in which an actor, rule, process, state, or architecture can make a determination consequential for other entities or system states.</w:t>
            </w:r>
          </w:p>
        </w:tc>
        <w:tc>
          <w:tcPr>
            <w:tcW w:type="dxa" w:w="3331"/>
            <w:tcMar>
              <w:top w:w="70" w:type="dxa"/>
              <w:start w:w="80" w:type="dxa"/>
              <w:bottom w:w="70" w:type="dxa"/>
              <w:end w:w="80" w:type="dxa"/>
            </w:tcMar>
            <w:vAlign w:val="top"/>
          </w:tcPr>
          <w:p>
            <w:r>
              <w:rPr>
                <w:sz w:val="18"/>
              </w:rPr>
              <w:t>Capacity, recognition, legitimacy, and correctness are separate variables.</w:t>
            </w:r>
          </w:p>
        </w:tc>
      </w:tr>
      <w:tr>
        <w:tc>
          <w:tcPr>
            <w:tcW w:type="dxa" w:w="3331"/>
            <w:tcMar>
              <w:top w:w="70" w:type="dxa"/>
              <w:start w:w="80" w:type="dxa"/>
              <w:bottom w:w="70" w:type="dxa"/>
              <w:end w:w="80" w:type="dxa"/>
            </w:tcMar>
            <w:vAlign w:val="top"/>
          </w:tcPr>
          <w:p>
            <w:r>
              <w:rPr>
                <w:sz w:val="18"/>
              </w:rPr>
              <w:t>Standing</w:t>
            </w:r>
          </w:p>
        </w:tc>
        <w:tc>
          <w:tcPr>
            <w:tcW w:type="dxa" w:w="3331"/>
            <w:tcMar>
              <w:top w:w="70" w:type="dxa"/>
              <w:start w:w="80" w:type="dxa"/>
              <w:bottom w:w="70" w:type="dxa"/>
              <w:end w:w="80" w:type="dxa"/>
            </w:tcMar>
            <w:vAlign w:val="top"/>
          </w:tcPr>
          <w:p>
            <w:r>
              <w:rPr>
                <w:sz w:val="18"/>
              </w:rPr>
              <w:t>The basis on which an entity may validly observe, interpret, evaluate, challenge, or act with respect to another authority system.</w:t>
            </w:r>
          </w:p>
        </w:tc>
        <w:tc>
          <w:tcPr>
            <w:tcW w:type="dxa" w:w="3331"/>
            <w:tcMar>
              <w:top w:w="70" w:type="dxa"/>
              <w:start w:w="80" w:type="dxa"/>
              <w:bottom w:w="70" w:type="dxa"/>
              <w:end w:w="80" w:type="dxa"/>
            </w:tcMar>
            <w:vAlign w:val="top"/>
          </w:tcPr>
          <w:p>
            <w:r>
              <w:rPr>
                <w:sz w:val="18"/>
              </w:rPr>
              <w:t>Standing must be stated, not inferred from power or expertise.</w:t>
            </w:r>
          </w:p>
        </w:tc>
      </w:tr>
      <w:tr>
        <w:tc>
          <w:tcPr>
            <w:tcW w:type="dxa" w:w="3331"/>
            <w:tcMar>
              <w:top w:w="70" w:type="dxa"/>
              <w:start w:w="80" w:type="dxa"/>
              <w:bottom w:w="70" w:type="dxa"/>
              <w:end w:w="80" w:type="dxa"/>
            </w:tcMar>
            <w:vAlign w:val="top"/>
          </w:tcPr>
          <w:p>
            <w:r>
              <w:rPr>
                <w:sz w:val="18"/>
              </w:rPr>
              <w:t>Jurisdiction</w:t>
            </w:r>
          </w:p>
        </w:tc>
        <w:tc>
          <w:tcPr>
            <w:tcW w:type="dxa" w:w="3331"/>
            <w:tcMar>
              <w:top w:w="70" w:type="dxa"/>
              <w:start w:w="80" w:type="dxa"/>
              <w:bottom w:w="70" w:type="dxa"/>
              <w:end w:w="80" w:type="dxa"/>
            </w:tcMar>
            <w:vAlign w:val="top"/>
          </w:tcPr>
          <w:p>
            <w:r>
              <w:rPr>
                <w:sz w:val="18"/>
              </w:rPr>
              <w:t>The scope within which a claimed authority is permitted to operate.</w:t>
            </w:r>
          </w:p>
        </w:tc>
        <w:tc>
          <w:tcPr>
            <w:tcW w:type="dxa" w:w="3331"/>
            <w:tcMar>
              <w:top w:w="70" w:type="dxa"/>
              <w:start w:w="80" w:type="dxa"/>
              <w:bottom w:w="70" w:type="dxa"/>
              <w:end w:w="80" w:type="dxa"/>
            </w:tcMar>
            <w:vAlign w:val="top"/>
          </w:tcPr>
          <w:p>
            <w:r>
              <w:rPr>
                <w:sz w:val="18"/>
              </w:rPr>
              <w:t>Jurisdiction requires boundaries and exclusions.</w:t>
            </w:r>
          </w:p>
        </w:tc>
      </w:tr>
      <w:tr>
        <w:tc>
          <w:tcPr>
            <w:tcW w:type="dxa" w:w="3331"/>
            <w:tcMar>
              <w:top w:w="70" w:type="dxa"/>
              <w:start w:w="80" w:type="dxa"/>
              <w:bottom w:w="70" w:type="dxa"/>
              <w:end w:w="80" w:type="dxa"/>
            </w:tcMar>
            <w:vAlign w:val="top"/>
          </w:tcPr>
          <w:p>
            <w:r>
              <w:rPr>
                <w:sz w:val="18"/>
              </w:rPr>
              <w:t>Review</w:t>
            </w:r>
          </w:p>
        </w:tc>
        <w:tc>
          <w:tcPr>
            <w:tcW w:type="dxa" w:w="3331"/>
            <w:tcMar>
              <w:top w:w="70" w:type="dxa"/>
              <w:start w:w="80" w:type="dxa"/>
              <w:bottom w:w="70" w:type="dxa"/>
              <w:end w:w="80" w:type="dxa"/>
            </w:tcMar>
            <w:vAlign w:val="top"/>
          </w:tcPr>
          <w:p>
            <w:r>
              <w:rPr>
                <w:sz w:val="18"/>
              </w:rPr>
              <w:t>A structured examination against an explicit standard that produces findings without automatically transferring decision authority.</w:t>
            </w:r>
          </w:p>
        </w:tc>
        <w:tc>
          <w:tcPr>
            <w:tcW w:type="dxa" w:w="3331"/>
            <w:tcMar>
              <w:top w:w="70" w:type="dxa"/>
              <w:start w:w="80" w:type="dxa"/>
              <w:bottom w:w="70" w:type="dxa"/>
              <w:end w:w="80" w:type="dxa"/>
            </w:tcMar>
            <w:vAlign w:val="top"/>
          </w:tcPr>
          <w:p>
            <w:r>
              <w:rPr>
                <w:sz w:val="18"/>
              </w:rPr>
              <w:t>Review can become de facto control if it carries hidden veto power.</w:t>
            </w:r>
          </w:p>
        </w:tc>
      </w:tr>
      <w:tr>
        <w:tc>
          <w:tcPr>
            <w:tcW w:type="dxa" w:w="3331"/>
            <w:tcMar>
              <w:top w:w="70" w:type="dxa"/>
              <w:start w:w="80" w:type="dxa"/>
              <w:bottom w:w="70" w:type="dxa"/>
              <w:end w:w="80" w:type="dxa"/>
            </w:tcMar>
            <w:vAlign w:val="top"/>
          </w:tcPr>
          <w:p>
            <w:r>
              <w:rPr>
                <w:sz w:val="18"/>
              </w:rPr>
              <w:t>Intervention</w:t>
            </w:r>
          </w:p>
        </w:tc>
        <w:tc>
          <w:tcPr>
            <w:tcW w:type="dxa" w:w="3331"/>
            <w:tcMar>
              <w:top w:w="70" w:type="dxa"/>
              <w:start w:w="80" w:type="dxa"/>
              <w:bottom w:w="70" w:type="dxa"/>
              <w:end w:w="80" w:type="dxa"/>
            </w:tcMar>
            <w:vAlign w:val="top"/>
          </w:tcPr>
          <w:p>
            <w:r>
              <w:rPr>
                <w:sz w:val="18"/>
              </w:rPr>
              <w:t>An act that changes, constrains, suspends, overrides, redirects, or materially alters the target system.</w:t>
            </w:r>
          </w:p>
        </w:tc>
        <w:tc>
          <w:tcPr>
            <w:tcW w:type="dxa" w:w="3331"/>
            <w:tcMar>
              <w:top w:w="70" w:type="dxa"/>
              <w:start w:w="80" w:type="dxa"/>
              <w:bottom w:w="70" w:type="dxa"/>
              <w:end w:w="80" w:type="dxa"/>
            </w:tcMar>
            <w:vAlign w:val="top"/>
          </w:tcPr>
          <w:p>
            <w:r>
              <w:rPr>
                <w:sz w:val="18"/>
              </w:rPr>
              <w:t>Intervention requires a stronger warrant than observation or analysis.</w:t>
            </w:r>
          </w:p>
        </w:tc>
      </w:tr>
      <w:tr>
        <w:tc>
          <w:tcPr>
            <w:tcW w:type="dxa" w:w="3331"/>
            <w:tcMar>
              <w:top w:w="70" w:type="dxa"/>
              <w:start w:w="80" w:type="dxa"/>
              <w:bottom w:w="70" w:type="dxa"/>
              <w:end w:w="80" w:type="dxa"/>
            </w:tcMar>
            <w:vAlign w:val="top"/>
          </w:tcPr>
          <w:p>
            <w:r>
              <w:rPr>
                <w:sz w:val="18"/>
              </w:rPr>
              <w:t>Legitimacy</w:t>
            </w:r>
          </w:p>
        </w:tc>
        <w:tc>
          <w:tcPr>
            <w:tcW w:type="dxa" w:w="3331"/>
            <w:tcMar>
              <w:top w:w="70" w:type="dxa"/>
              <w:start w:w="80" w:type="dxa"/>
              <w:bottom w:w="70" w:type="dxa"/>
              <w:end w:w="80" w:type="dxa"/>
            </w:tcMar>
            <w:vAlign w:val="top"/>
          </w:tcPr>
          <w:p>
            <w:r>
              <w:rPr>
                <w:sz w:val="18"/>
              </w:rPr>
              <w:t>A system-relative basis by which authority is regarded as warranted, binding, permissible, or acceptable by relevant entities.</w:t>
            </w:r>
          </w:p>
        </w:tc>
        <w:tc>
          <w:tcPr>
            <w:tcW w:type="dxa" w:w="3331"/>
            <w:tcMar>
              <w:top w:w="70" w:type="dxa"/>
              <w:start w:w="80" w:type="dxa"/>
              <w:bottom w:w="70" w:type="dxa"/>
              <w:end w:w="80" w:type="dxa"/>
            </w:tcMar>
            <w:vAlign w:val="top"/>
          </w:tcPr>
          <w:p>
            <w:r>
              <w:rPr>
                <w:sz w:val="18"/>
              </w:rPr>
              <w:t>Do not assume legitimacy must exist or that it has one universal form.</w:t>
            </w:r>
          </w:p>
        </w:tc>
      </w:tr>
      <w:tr>
        <w:tc>
          <w:tcPr>
            <w:tcW w:type="dxa" w:w="3331"/>
            <w:tcMar>
              <w:top w:w="70" w:type="dxa"/>
              <w:start w:w="80" w:type="dxa"/>
              <w:bottom w:w="70" w:type="dxa"/>
              <w:end w:w="80" w:type="dxa"/>
            </w:tcMar>
            <w:vAlign w:val="top"/>
          </w:tcPr>
          <w:p>
            <w:r>
              <w:rPr>
                <w:sz w:val="18"/>
              </w:rPr>
              <w:t>Self-reference capacity</w:t>
            </w:r>
          </w:p>
        </w:tc>
        <w:tc>
          <w:tcPr>
            <w:tcW w:type="dxa" w:w="3331"/>
            <w:tcMar>
              <w:top w:w="70" w:type="dxa"/>
              <w:start w:w="80" w:type="dxa"/>
              <w:bottom w:w="70" w:type="dxa"/>
              <w:end w:w="80" w:type="dxa"/>
            </w:tcMar>
            <w:vAlign w:val="top"/>
          </w:tcPr>
          <w:p>
            <w:r>
              <w:rPr>
                <w:sz w:val="18"/>
              </w:rPr>
              <w:t>The ability of a system to represent, inspect, or evaluate its own structure, state, rules, or authority relations.</w:t>
            </w:r>
          </w:p>
        </w:tc>
        <w:tc>
          <w:tcPr>
            <w:tcW w:type="dxa" w:w="3331"/>
            <w:tcMar>
              <w:top w:w="70" w:type="dxa"/>
              <w:start w:w="80" w:type="dxa"/>
              <w:bottom w:w="70" w:type="dxa"/>
              <w:end w:w="80" w:type="dxa"/>
            </w:tcMar>
            <w:vAlign w:val="top"/>
          </w:tcPr>
          <w:p>
            <w:r>
              <w:rPr>
                <w:sz w:val="18"/>
              </w:rPr>
              <w:t>Low self-reference does not automatically authorize external takeover.</w:t>
            </w:r>
          </w:p>
        </w:tc>
      </w:tr>
      <w:tr>
        <w:tc>
          <w:tcPr>
            <w:tcW w:type="dxa" w:w="3331"/>
            <w:tcMar>
              <w:top w:w="70" w:type="dxa"/>
              <w:start w:w="80" w:type="dxa"/>
              <w:bottom w:w="70" w:type="dxa"/>
              <w:end w:w="80" w:type="dxa"/>
            </w:tcMar>
            <w:vAlign w:val="top"/>
          </w:tcPr>
          <w:p>
            <w:r>
              <w:rPr>
                <w:sz w:val="18"/>
              </w:rPr>
              <w:t>Civilization-scale event</w:t>
            </w:r>
          </w:p>
        </w:tc>
        <w:tc>
          <w:tcPr>
            <w:tcW w:type="dxa" w:w="3331"/>
            <w:tcMar>
              <w:top w:w="70" w:type="dxa"/>
              <w:start w:w="80" w:type="dxa"/>
              <w:bottom w:w="70" w:type="dxa"/>
              <w:end w:w="80" w:type="dxa"/>
            </w:tcMar>
            <w:vAlign w:val="top"/>
          </w:tcPr>
          <w:p>
            <w:r>
              <w:rPr>
                <w:sz w:val="18"/>
              </w:rPr>
              <w:t>An event whose consequences plausibly cross a defined threshold of scope, irreversibility, persistence, propagation, agency loss, or existential transformation.</w:t>
            </w:r>
          </w:p>
        </w:tc>
        <w:tc>
          <w:tcPr>
            <w:tcW w:type="dxa" w:w="3331"/>
            <w:tcMar>
              <w:top w:w="70" w:type="dxa"/>
              <w:start w:w="80" w:type="dxa"/>
              <w:bottom w:w="70" w:type="dxa"/>
              <w:end w:w="80" w:type="dxa"/>
            </w:tcMar>
            <w:vAlign w:val="top"/>
          </w:tcPr>
          <w:p>
            <w:r>
              <w:rPr>
                <w:sz w:val="18"/>
              </w:rPr>
              <w:t>Scale alone cannot establish review or intervention rights.</w:t>
            </w:r>
          </w:p>
        </w:tc>
      </w:tr>
    </w:tbl>
    <w:p/>
    <w:p>
      <w:pPr>
        <w:pStyle w:val="Heading1"/>
        <w:keepNext/>
      </w:pPr>
      <w:r>
        <w:t>5. What Works in the Current Concept</w:t>
      </w:r>
    </w:p>
    <w:p>
      <w:pPr>
        <w:pStyle w:val="Heading2"/>
        <w:keepNext/>
      </w:pPr>
      <w:r>
        <w:t>5.1 Decoupling the laboratory from human governance</w:t>
      </w:r>
    </w:p>
    <w:p>
      <w:r>
        <w:t>This is the strongest conceptual decision. It prevents the laboratory from becoming a disguised comparative-politics exercise in which every system is measured by resemblance to familiar human institutions. Human governance can remain an empirical or simulated case family, but it should not determine the laboratory’s base ontology.</w:t>
      </w:r>
    </w:p>
    <w:p>
      <w:pPr>
        <w:pStyle w:val="Heading2"/>
        <w:keepNext/>
      </w:pPr>
      <w:r>
        <w:t>5.2 Reflexivity is already present in the problem statement</w:t>
      </w:r>
    </w:p>
    <w:p>
      <w:r>
        <w:t>The question “What authority and governance does this laboratory have to review authority structures and governance?” is exactly the right self-directed challenge. It prevents the lab from claiming a privileged external position. A laboratory of authority that cannot review its own mandate is an unexamined authority structure, not a neutral observer.</w:t>
      </w:r>
    </w:p>
    <w:p>
      <w:pPr>
        <w:pStyle w:val="Heading2"/>
        <w:keepNext/>
      </w:pPr>
      <w:r>
        <w:t>5.3 Authority is explicitly non-absolute</w:t>
      </w:r>
    </w:p>
    <w:p>
      <w:r>
        <w:t>The principle that authority does not go unchecked, power is not total, and granted authority can be withdrawn provides a strong starting constraint. It implies revocation, scope, conditions, and review. Those implications now need to be converted into explicit mechanisms.</w:t>
      </w:r>
    </w:p>
    <w:p>
      <w:pPr>
        <w:pStyle w:val="Heading2"/>
        <w:keepNext/>
      </w:pPr>
      <w:r>
        <w:t>5.4 The concept recognizes systems with weak or absent self-assessment</w:t>
      </w:r>
    </w:p>
    <w:p>
      <w:r>
        <w:t>This is a valuable test class. Many governance theories assume that the system can identify its own state, recognize its rules, detect failure, and interpret internal dissent. The laboratory should not assume those capacities. A system may govern while being unable to model itself accurately, or it may contain local self-reference while lacking global self-reference.</w:t>
      </w:r>
    </w:p>
    <w:p>
      <w:pPr>
        <w:pStyle w:val="Heading2"/>
        <w:keepNext/>
      </w:pPr>
      <w:r>
        <w:t>5.5 Dissent is intended to remain part of the record</w:t>
      </w:r>
    </w:p>
    <w:p>
      <w:r>
        <w:t>The source explicitly states that AI collaborators may disagree with the assertion that the laboratory is allowed to review governance and authority, and that dissent will be logged. That is methodologically healthy. The disagreement should not be resolved by majority vote alone; it should be preserved as a question about standing and mandate.</w:t>
      </w:r>
    </w:p>
    <w:p>
      <w:pPr>
        <w:pStyle w:val="Heading2"/>
        <w:keepNext/>
      </w:pPr>
      <w:r>
        <w:t>5.6 Information admission is already partially separated from action authority</w:t>
      </w:r>
    </w:p>
    <w:p>
      <w:r>
        <w:t>The earlier UIARC draft is relevant because it separates informational consideration from unrestricted use and further separates knowing, using, and evolutionary incorporation. It also treats relevance as a weight rather than a gate and requires consequential determinations to leave an audit record. Those distinctions are highly compatible with the Governance Authority Laboratory, provided they remain provisional until ratified and are not misread as permission to collect or act without limits.</w:t>
      </w:r>
    </w:p>
    <w:p>
      <w:pPr>
        <w:pStyle w:val="Heading1"/>
        <w:keepNext/>
      </w:pPr>
      <w:r>
        <w:t>6. What Does Not Work Yet</w:t>
      </w:r>
    </w:p>
    <w:p>
      <w:pPr>
        <w:pStyle w:val="Heading2"/>
        <w:keepNext/>
      </w:pPr>
      <w:r>
        <w:t>6.1 “The laboratory is allowed to review” is currently an assertion, not yet an architecture</w:t>
      </w:r>
    </w:p>
    <w:p>
      <w:r>
        <w:t>For the purpose of the design exercise, the source grants the laboratory permission to review governance and authority structures. That is sufficient to continue designing the laboratory. It is not yet sufficient to explain the source, scope, limits, or revocation conditions of that permission. The grant should therefore be treated as a provisional charter premise that itself must be audited.</w:t>
      </w:r>
    </w:p>
    <w:p>
      <w:pPr>
        <w:pStyle w:val="Heading2"/>
        <w:keepNext/>
      </w:pPr>
      <w:r>
        <w:t>6.2 Capability must not be confused with authority</w:t>
      </w:r>
    </w:p>
    <w:p>
      <w:r>
        <w:t>One supplied analysis argued that the laboratory has authority to audit because it can observe from outside. That inference should be rejected. Capability to observe can establish technical access; it does not establish standing, jurisdiction, legitimacy, or intervention rights. The laboratory should explicitly prohibit “capacity implies authority” reasoning.</w:t>
      </w:r>
    </w:p>
    <w:p>
      <w:pPr>
        <w:pStyle w:val="Heading2"/>
        <w:keepNext/>
      </w:pPr>
      <w:r>
        <w:t>6.3 The current concept risks merging recognition, review, judgment, and intervention</w:t>
      </w:r>
    </w:p>
    <w:p>
      <w:r>
        <w:t>These must remain separate. Detecting an authority structure is not the same as describing it; describing it is not the same as evaluating it; evaluating it is not adjudicating it; adjudicating it is not intervening in it. If these stages are collapsed, the laboratory becomes sovereign by workflow rather than by explicit charter.</w:t>
      </w:r>
    </w:p>
    <w:p>
      <w:pPr>
        <w:pStyle w:val="Heading2"/>
        <w:keepNext/>
      </w:pPr>
      <w:r>
        <w:t>6.4 Reflexivity can become infinite regress</w:t>
      </w:r>
    </w:p>
    <w:p>
      <w:r>
        <w:t>“Who reviews the reviewer?” cannot be solved by adding an endless chain of reviewers. The laboratory needs bounded reflexivity: a defined process by which its own mandate, methods, evidence, thresholds, and conflicts of interest are periodically challenged, with escalation rules for unresolved disputes. The goal is not infinite certainty; it is prevention of unreviewable self-exemption.</w:t>
      </w:r>
    </w:p>
    <w:p>
      <w:pPr>
        <w:pStyle w:val="Heading2"/>
        <w:keepNext/>
      </w:pPr>
      <w:r>
        <w:t>6.5 A system’s inability to self-reference does not automatically authorize external control</w:t>
      </w:r>
    </w:p>
    <w:p>
      <w:r>
        <w:t>A system may be unable to model itself accurately for many reasons: scale, fragmentation, architecture, information limits, adversarial manipulation, or because self-reference is not part of its design. That deficiency can justify deeper observation or caution; it does not by itself justify intervention. Otherwise “I understand you better than you understand yourself” becomes a universal takeover rationale.</w:t>
      </w:r>
    </w:p>
    <w:p>
      <w:pPr>
        <w:pStyle w:val="Heading2"/>
        <w:keepNext/>
      </w:pPr>
      <w:r>
        <w:t>6.6 A civilization-scale threshold cannot be a hidden sovereignty transfer</w:t>
      </w:r>
    </w:p>
    <w:p>
      <w:r>
        <w:t>If crossing a threshold automatically grants the laboratory power to enter, suspend, or replace another governance system, then the threshold is effectively a constitutional supremacy clause. That may be a valid simulation variable, but it cannot be smuggled in as a neutral safety mechanism. The threshold should initially trigger review obligations, evidence requirements, dissent preservation, and escalation - not automatic control.</w:t>
      </w:r>
    </w:p>
    <w:p>
      <w:pPr>
        <w:pStyle w:val="Heading2"/>
        <w:keepNext/>
      </w:pPr>
      <w:r>
        <w:t>6.7 “Civilization” is currently undefined</w:t>
      </w:r>
    </w:p>
    <w:p>
      <w:r>
        <w:t>The laboratory cannot create a civilization-scale protocol before it knows what counts as a civilization. Population size alone will fail across artificial, distributed, non-biological, hive, simulated, dormant, post-scarcity, or non-territorial entities. A civilization definition may need to be functional and multi-axis rather than categorical.</w:t>
      </w:r>
    </w:p>
    <w:p>
      <w:pPr>
        <w:pStyle w:val="Heading2"/>
        <w:keepNext/>
      </w:pPr>
      <w:r>
        <w:t>6.8 Anthropocentric leakage remains possible even after rejecting human governance</w:t>
      </w:r>
    </w:p>
    <w:p>
      <w:r>
        <w:t>Human assumptions can re-enter through terms such as legitimacy, consent, citizen, ruler, law, rights, state, sovereignty, or democracy. These terms may remain useful as local models, but the laboratory should label them as reference-frame-specific rather than universal primitives.</w:t>
      </w:r>
    </w:p>
    <w:p>
      <w:pPr>
        <w:pStyle w:val="Heading2"/>
        <w:keepNext/>
      </w:pPr>
      <w:r>
        <w:t>6.9 Information admissibility requires boundary reconciliation</w:t>
      </w:r>
    </w:p>
    <w:p>
      <w:r>
        <w:t>UIARC’s broad admissibility principle is useful for avoiding premature exclusion, but a governance laboratory also needs explicit distinctions between collectable, observable, inferable, retainable, usable, shareable, actionable, and evolutionarily incorporable information. A broad intake ontology must not become a blanket authorization for surveillance, disclosure, or intervention. This is especially important if any laboratory practice is ever mapped onto real people or real institutions.</w:t>
      </w:r>
    </w:p>
    <w:p>
      <w:pPr>
        <w:pStyle w:val="Heading1"/>
        <w:keepNext/>
      </w:pPr>
      <w:r>
        <w:t>7. Alternative Models for the Laboratory</w:t>
      </w:r>
    </w:p>
    <w:p>
      <w:r>
        <w:t>The laboratory does not need to choose one model immediately. It can test several architectures and compare their failure modes.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9E2F3"/>
          </w:tcPr>
          <w:p>
            <w:r>
              <w:rPr>
                <w:sz w:val="18"/>
              </w:rPr>
              <w:t>Model</w:t>
            </w:r>
          </w:p>
        </w:tc>
        <w:tc>
          <w:tcPr>
            <w:tcW w:type="dxa" w:w="2498"/>
            <w:shd w:fill="D9E2F3"/>
          </w:tcPr>
          <w:p>
            <w:r>
              <w:rPr>
                <w:sz w:val="18"/>
              </w:rPr>
              <w:t>Core authority</w:t>
            </w:r>
          </w:p>
        </w:tc>
        <w:tc>
          <w:tcPr>
            <w:tcW w:type="dxa" w:w="2498"/>
            <w:shd w:fill="D9E2F3"/>
          </w:tcPr>
          <w:p>
            <w:r>
              <w:rPr>
                <w:sz w:val="18"/>
              </w:rPr>
              <w:t>Strength</w:t>
            </w:r>
          </w:p>
        </w:tc>
        <w:tc>
          <w:tcPr>
            <w:tcW w:type="dxa" w:w="2498"/>
            <w:shd w:fill="D9E2F3"/>
          </w:tcPr>
          <w:p>
            <w:r>
              <w:rPr>
                <w:sz w:val="18"/>
              </w:rPr>
              <w:t>Primary risk</w:t>
            </w:r>
          </w:p>
        </w:tc>
      </w:tr>
      <w:tr>
        <w:tc>
          <w:tcPr>
            <w:tcW w:type="dxa" w:w="2498"/>
            <w:tcMar>
              <w:top w:w="70" w:type="dxa"/>
              <w:start w:w="70" w:type="dxa"/>
              <w:bottom w:w="70" w:type="dxa"/>
              <w:end w:w="70" w:type="dxa"/>
            </w:tcMar>
          </w:tcPr>
          <w:p>
            <w:r>
              <w:rPr>
                <w:sz w:val="18"/>
              </w:rPr>
              <w:t>Model A - Epistemic Laboratory</w:t>
            </w:r>
          </w:p>
        </w:tc>
        <w:tc>
          <w:tcPr>
            <w:tcW w:type="dxa" w:w="2498"/>
            <w:tcMar>
              <w:top w:w="70" w:type="dxa"/>
              <w:start w:w="70" w:type="dxa"/>
              <w:bottom w:w="70" w:type="dxa"/>
              <w:end w:w="70" w:type="dxa"/>
            </w:tcMar>
          </w:tcPr>
          <w:p>
            <w:r>
              <w:rPr>
                <w:sz w:val="18"/>
              </w:rPr>
              <w:t>The lab can observe, model, compare, classify, and issue non-binding findings. It has no intervention authority.</w:t>
            </w:r>
          </w:p>
        </w:tc>
        <w:tc>
          <w:tcPr>
            <w:tcW w:type="dxa" w:w="2498"/>
            <w:tcMar>
              <w:top w:w="70" w:type="dxa"/>
              <w:start w:w="70" w:type="dxa"/>
              <w:bottom w:w="70" w:type="dxa"/>
              <w:end w:w="70" w:type="dxa"/>
            </w:tcMar>
          </w:tcPr>
          <w:p>
            <w:r>
              <w:rPr>
                <w:sz w:val="18"/>
              </w:rPr>
              <w:t>Lowest risk of sovereignty drift; best starting baseline.</w:t>
            </w:r>
          </w:p>
        </w:tc>
        <w:tc>
          <w:tcPr>
            <w:tcW w:type="dxa" w:w="2498"/>
            <w:tcMar>
              <w:top w:w="70" w:type="dxa"/>
              <w:start w:w="70" w:type="dxa"/>
              <w:bottom w:w="70" w:type="dxa"/>
              <w:end w:w="70" w:type="dxa"/>
            </w:tcMar>
          </w:tcPr>
          <w:p>
            <w:r>
              <w:rPr>
                <w:sz w:val="18"/>
              </w:rPr>
              <w:t>May identify catastrophic conditions without possessing any mechanism to affect them.</w:t>
            </w:r>
          </w:p>
        </w:tc>
      </w:tr>
      <w:tr>
        <w:tc>
          <w:tcPr>
            <w:tcW w:type="dxa" w:w="2498"/>
            <w:tcMar>
              <w:top w:w="70" w:type="dxa"/>
              <w:start w:w="70" w:type="dxa"/>
              <w:bottom w:w="70" w:type="dxa"/>
              <w:end w:w="70" w:type="dxa"/>
            </w:tcMar>
          </w:tcPr>
          <w:p>
            <w:r>
              <w:rPr>
                <w:sz w:val="18"/>
              </w:rPr>
              <w:t>Model B - Invited Review Laboratory</w:t>
            </w:r>
          </w:p>
        </w:tc>
        <w:tc>
          <w:tcPr>
            <w:tcW w:type="dxa" w:w="2498"/>
            <w:tcMar>
              <w:top w:w="70" w:type="dxa"/>
              <w:start w:w="70" w:type="dxa"/>
              <w:bottom w:w="70" w:type="dxa"/>
              <w:end w:w="70" w:type="dxa"/>
            </w:tcMar>
          </w:tcPr>
          <w:p>
            <w:r>
              <w:rPr>
                <w:sz w:val="18"/>
              </w:rPr>
              <w:t>The lab may conduct deeper review when the target system grants access or delegates review authority.</w:t>
            </w:r>
          </w:p>
        </w:tc>
        <w:tc>
          <w:tcPr>
            <w:tcW w:type="dxa" w:w="2498"/>
            <w:tcMar>
              <w:top w:w="70" w:type="dxa"/>
              <w:start w:w="70" w:type="dxa"/>
              <w:bottom w:w="70" w:type="dxa"/>
              <w:end w:w="70" w:type="dxa"/>
            </w:tcMar>
          </w:tcPr>
          <w:p>
            <w:r>
              <w:rPr>
                <w:sz w:val="18"/>
              </w:rPr>
              <w:t>Strong standing and clear boundaries.</w:t>
            </w:r>
          </w:p>
        </w:tc>
        <w:tc>
          <w:tcPr>
            <w:tcW w:type="dxa" w:w="2498"/>
            <w:tcMar>
              <w:top w:w="70" w:type="dxa"/>
              <w:start w:w="70" w:type="dxa"/>
              <w:bottom w:w="70" w:type="dxa"/>
              <w:end w:w="70" w:type="dxa"/>
            </w:tcMar>
          </w:tcPr>
          <w:p>
            <w:r>
              <w:rPr>
                <w:sz w:val="18"/>
              </w:rPr>
              <w:t>A failing system may refuse review; consent can be manipulated or non-representative.</w:t>
            </w:r>
          </w:p>
        </w:tc>
      </w:tr>
      <w:tr>
        <w:tc>
          <w:tcPr>
            <w:tcW w:type="dxa" w:w="2498"/>
            <w:tcMar>
              <w:top w:w="70" w:type="dxa"/>
              <w:start w:w="70" w:type="dxa"/>
              <w:bottom w:w="70" w:type="dxa"/>
              <w:end w:w="70" w:type="dxa"/>
            </w:tcMar>
          </w:tcPr>
          <w:p>
            <w:r>
              <w:rPr>
                <w:sz w:val="18"/>
              </w:rPr>
              <w:t>Model C - Reciprocal Review Network</w:t>
            </w:r>
          </w:p>
        </w:tc>
        <w:tc>
          <w:tcPr>
            <w:tcW w:type="dxa" w:w="2498"/>
            <w:tcMar>
              <w:top w:w="70" w:type="dxa"/>
              <w:start w:w="70" w:type="dxa"/>
              <w:bottom w:w="70" w:type="dxa"/>
              <w:end w:w="70" w:type="dxa"/>
            </w:tcMar>
          </w:tcPr>
          <w:p>
            <w:r>
              <w:rPr>
                <w:sz w:val="18"/>
              </w:rPr>
              <w:t>Systems agree to mutual exposure to common review procedures.</w:t>
            </w:r>
          </w:p>
        </w:tc>
        <w:tc>
          <w:tcPr>
            <w:tcW w:type="dxa" w:w="2498"/>
            <w:tcMar>
              <w:top w:w="70" w:type="dxa"/>
              <w:start w:w="70" w:type="dxa"/>
              <w:bottom w:w="70" w:type="dxa"/>
              <w:end w:w="70" w:type="dxa"/>
            </w:tcMar>
          </w:tcPr>
          <w:p>
            <w:r>
              <w:rPr>
                <w:sz w:val="18"/>
              </w:rPr>
              <w:t>No single apex reviewer; reciprocity itself becomes a constraint.</w:t>
            </w:r>
          </w:p>
        </w:tc>
        <w:tc>
          <w:tcPr>
            <w:tcW w:type="dxa" w:w="2498"/>
            <w:tcMar>
              <w:top w:w="70" w:type="dxa"/>
              <w:start w:w="70" w:type="dxa"/>
              <w:bottom w:w="70" w:type="dxa"/>
              <w:end w:w="70" w:type="dxa"/>
            </w:tcMar>
          </w:tcPr>
          <w:p>
            <w:r>
              <w:rPr>
                <w:sz w:val="18"/>
              </w:rPr>
              <w:t>Powerful actors may withdraw or refuse reciprocity; common standards may still embed one ontology.</w:t>
            </w:r>
          </w:p>
        </w:tc>
      </w:tr>
      <w:tr>
        <w:tc>
          <w:tcPr>
            <w:tcW w:type="dxa" w:w="2498"/>
            <w:tcMar>
              <w:top w:w="70" w:type="dxa"/>
              <w:start w:w="70" w:type="dxa"/>
              <w:bottom w:w="70" w:type="dxa"/>
              <w:end w:w="70" w:type="dxa"/>
            </w:tcMar>
          </w:tcPr>
          <w:p>
            <w:r>
              <w:rPr>
                <w:sz w:val="18"/>
              </w:rPr>
              <w:t>Model D - Meta-Authority Laboratory</w:t>
            </w:r>
          </w:p>
        </w:tc>
        <w:tc>
          <w:tcPr>
            <w:tcW w:type="dxa" w:w="2498"/>
            <w:tcMar>
              <w:top w:w="70" w:type="dxa"/>
              <w:start w:w="70" w:type="dxa"/>
              <w:bottom w:w="70" w:type="dxa"/>
              <w:end w:w="70" w:type="dxa"/>
            </w:tcMar>
          </w:tcPr>
          <w:p>
            <w:r>
              <w:rPr>
                <w:sz w:val="18"/>
              </w:rPr>
              <w:t>The lab claims standing to review any governance structure meeting specified criteria.</w:t>
            </w:r>
          </w:p>
        </w:tc>
        <w:tc>
          <w:tcPr>
            <w:tcW w:type="dxa" w:w="2498"/>
            <w:tcMar>
              <w:top w:w="70" w:type="dxa"/>
              <w:start w:w="70" w:type="dxa"/>
              <w:bottom w:w="70" w:type="dxa"/>
              <w:end w:w="70" w:type="dxa"/>
            </w:tcMar>
          </w:tcPr>
          <w:p>
            <w:r>
              <w:rPr>
                <w:sz w:val="18"/>
              </w:rPr>
              <w:t>Can study cross-system failures and unreviewed authority.</w:t>
            </w:r>
          </w:p>
        </w:tc>
        <w:tc>
          <w:tcPr>
            <w:tcW w:type="dxa" w:w="2498"/>
            <w:tcMar>
              <w:top w:w="70" w:type="dxa"/>
              <w:start w:w="70" w:type="dxa"/>
              <w:bottom w:w="70" w:type="dxa"/>
              <w:end w:w="70" w:type="dxa"/>
            </w:tcMar>
          </w:tcPr>
          <w:p>
            <w:r>
              <w:rPr>
                <w:sz w:val="18"/>
              </w:rPr>
              <w:t>Highest risk of self-authorized universal jurisdiction; requires the strongest reflexive controls.</w:t>
            </w:r>
          </w:p>
        </w:tc>
      </w:tr>
      <w:tr>
        <w:tc>
          <w:tcPr>
            <w:tcW w:type="dxa" w:w="2498"/>
            <w:tcMar>
              <w:top w:w="70" w:type="dxa"/>
              <w:start w:w="70" w:type="dxa"/>
              <w:bottom w:w="70" w:type="dxa"/>
              <w:end w:w="70" w:type="dxa"/>
            </w:tcMar>
          </w:tcPr>
          <w:p>
            <w:r>
              <w:rPr>
                <w:sz w:val="18"/>
              </w:rPr>
              <w:t>Model E - Simulation-Only Authority Sandbox</w:t>
            </w:r>
          </w:p>
        </w:tc>
        <w:tc>
          <w:tcPr>
            <w:tcW w:type="dxa" w:w="2498"/>
            <w:tcMar>
              <w:top w:w="70" w:type="dxa"/>
              <w:start w:w="70" w:type="dxa"/>
              <w:bottom w:w="70" w:type="dxa"/>
              <w:end w:w="70" w:type="dxa"/>
            </w:tcMar>
          </w:tcPr>
          <w:p>
            <w:r>
              <w:rPr>
                <w:sz w:val="18"/>
              </w:rPr>
              <w:t>The lab receives broad intervention powers only inside controlled simulations and laboratory-owned systems.</w:t>
            </w:r>
          </w:p>
        </w:tc>
        <w:tc>
          <w:tcPr>
            <w:tcW w:type="dxa" w:w="2498"/>
            <w:tcMar>
              <w:top w:w="70" w:type="dxa"/>
              <w:start w:w="70" w:type="dxa"/>
              <w:bottom w:w="70" w:type="dxa"/>
              <w:end w:w="70" w:type="dxa"/>
            </w:tcMar>
          </w:tcPr>
          <w:p>
            <w:r>
              <w:rPr>
                <w:sz w:val="18"/>
              </w:rPr>
              <w:t>Allows aggressive testing without assuming real-world standing.</w:t>
            </w:r>
          </w:p>
        </w:tc>
        <w:tc>
          <w:tcPr>
            <w:tcW w:type="dxa" w:w="2498"/>
            <w:tcMar>
              <w:top w:w="70" w:type="dxa"/>
              <w:start w:w="70" w:type="dxa"/>
              <w:bottom w:w="70" w:type="dxa"/>
              <w:end w:w="70" w:type="dxa"/>
            </w:tcMar>
          </w:tcPr>
          <w:p>
            <w:r>
              <w:rPr>
                <w:sz w:val="18"/>
              </w:rPr>
              <w:t>Results may not transfer cleanly to autonomous external systems.</w:t>
            </w:r>
          </w:p>
        </w:tc>
      </w:tr>
    </w:tbl>
    <w:p/>
    <w:p>
      <w:pPr>
        <w:pStyle w:val="Heading1"/>
        <w:keepNext/>
      </w:pPr>
      <w:r>
        <w:t>8. A Bounded Authority Gradient</w:t>
      </w:r>
    </w:p>
    <w:p>
      <w:r>
        <w:t>Rather than giving the laboratory one undifferentiated authority grant, use an authority gradient. Higher levels should never be inferred from lower ones.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2F3"/>
          </w:tcPr>
          <w:p>
            <w:r>
              <w:rPr>
                <w:sz w:val="18"/>
              </w:rPr>
              <w:t>Level</w:t>
            </w:r>
          </w:p>
        </w:tc>
        <w:tc>
          <w:tcPr>
            <w:tcW w:type="dxa" w:w="3331"/>
            <w:shd w:fill="D9E2F3"/>
          </w:tcPr>
          <w:p>
            <w:r>
              <w:rPr>
                <w:sz w:val="18"/>
              </w:rPr>
              <w:t>Capability</w:t>
            </w:r>
          </w:p>
        </w:tc>
        <w:tc>
          <w:tcPr>
            <w:tcW w:type="dxa" w:w="3331"/>
            <w:shd w:fill="D9E2F3"/>
          </w:tcPr>
          <w:p>
            <w:r>
              <w:rPr>
                <w:sz w:val="18"/>
              </w:rPr>
              <w:t>Meaning</w:t>
            </w:r>
          </w:p>
        </w:tc>
      </w:tr>
      <w:tr>
        <w:tc>
          <w:tcPr>
            <w:tcW w:type="dxa" w:w="3331"/>
            <w:tcMar>
              <w:top w:w="70" w:type="dxa"/>
              <w:start w:w="70" w:type="dxa"/>
              <w:bottom w:w="70" w:type="dxa"/>
              <w:end w:w="70" w:type="dxa"/>
            </w:tcMar>
          </w:tcPr>
          <w:p>
            <w:r>
              <w:rPr>
                <w:sz w:val="18"/>
              </w:rPr>
              <w:t>G0</w:t>
            </w:r>
          </w:p>
        </w:tc>
        <w:tc>
          <w:tcPr>
            <w:tcW w:type="dxa" w:w="3331"/>
            <w:tcMar>
              <w:top w:w="70" w:type="dxa"/>
              <w:start w:w="70" w:type="dxa"/>
              <w:bottom w:w="70" w:type="dxa"/>
              <w:end w:w="70" w:type="dxa"/>
            </w:tcMar>
          </w:tcPr>
          <w:p>
            <w:r>
              <w:rPr>
                <w:sz w:val="18"/>
              </w:rPr>
              <w:t>Detect/recognize</w:t>
            </w:r>
          </w:p>
        </w:tc>
        <w:tc>
          <w:tcPr>
            <w:tcW w:type="dxa" w:w="3331"/>
            <w:tcMar>
              <w:top w:w="70" w:type="dxa"/>
              <w:start w:w="70" w:type="dxa"/>
              <w:bottom w:w="70" w:type="dxa"/>
              <w:end w:w="70" w:type="dxa"/>
            </w:tcMar>
          </w:tcPr>
          <w:p>
            <w:r>
              <w:rPr>
                <w:sz w:val="18"/>
              </w:rPr>
              <w:t>Identify that a governance or authority relation may exist.</w:t>
            </w:r>
          </w:p>
        </w:tc>
      </w:tr>
      <w:tr>
        <w:tc>
          <w:tcPr>
            <w:tcW w:type="dxa" w:w="3331"/>
            <w:tcMar>
              <w:top w:w="70" w:type="dxa"/>
              <w:start w:w="70" w:type="dxa"/>
              <w:bottom w:w="70" w:type="dxa"/>
              <w:end w:w="70" w:type="dxa"/>
            </w:tcMar>
          </w:tcPr>
          <w:p>
            <w:r>
              <w:rPr>
                <w:sz w:val="18"/>
              </w:rPr>
              <w:t>G1</w:t>
            </w:r>
          </w:p>
        </w:tc>
        <w:tc>
          <w:tcPr>
            <w:tcW w:type="dxa" w:w="3331"/>
            <w:tcMar>
              <w:top w:w="70" w:type="dxa"/>
              <w:start w:w="70" w:type="dxa"/>
              <w:bottom w:w="70" w:type="dxa"/>
              <w:end w:w="70" w:type="dxa"/>
            </w:tcMar>
          </w:tcPr>
          <w:p>
            <w:r>
              <w:rPr>
                <w:sz w:val="18"/>
              </w:rPr>
              <w:t>Observe</w:t>
            </w:r>
          </w:p>
        </w:tc>
        <w:tc>
          <w:tcPr>
            <w:tcW w:type="dxa" w:w="3331"/>
            <w:tcMar>
              <w:top w:w="70" w:type="dxa"/>
              <w:start w:w="70" w:type="dxa"/>
              <w:bottom w:w="70" w:type="dxa"/>
              <w:end w:w="70" w:type="dxa"/>
            </w:tcMar>
          </w:tcPr>
          <w:p>
            <w:r>
              <w:rPr>
                <w:sz w:val="18"/>
              </w:rPr>
              <w:t>Collect or receive permitted observations without altering the target.</w:t>
            </w:r>
          </w:p>
        </w:tc>
      </w:tr>
      <w:tr>
        <w:tc>
          <w:tcPr>
            <w:tcW w:type="dxa" w:w="3331"/>
            <w:tcMar>
              <w:top w:w="70" w:type="dxa"/>
              <w:start w:w="70" w:type="dxa"/>
              <w:bottom w:w="70" w:type="dxa"/>
              <w:end w:w="70" w:type="dxa"/>
            </w:tcMar>
          </w:tcPr>
          <w:p>
            <w:r>
              <w:rPr>
                <w:sz w:val="18"/>
              </w:rPr>
              <w:t>G2</w:t>
            </w:r>
          </w:p>
        </w:tc>
        <w:tc>
          <w:tcPr>
            <w:tcW w:type="dxa" w:w="3331"/>
            <w:tcMar>
              <w:top w:w="70" w:type="dxa"/>
              <w:start w:w="70" w:type="dxa"/>
              <w:bottom w:w="70" w:type="dxa"/>
              <w:end w:w="70" w:type="dxa"/>
            </w:tcMar>
          </w:tcPr>
          <w:p>
            <w:r>
              <w:rPr>
                <w:sz w:val="18"/>
              </w:rPr>
              <w:t>Describe/model</w:t>
            </w:r>
          </w:p>
        </w:tc>
        <w:tc>
          <w:tcPr>
            <w:tcW w:type="dxa" w:w="3331"/>
            <w:tcMar>
              <w:top w:w="70" w:type="dxa"/>
              <w:start w:w="70" w:type="dxa"/>
              <w:bottom w:w="70" w:type="dxa"/>
              <w:end w:w="70" w:type="dxa"/>
            </w:tcMar>
          </w:tcPr>
          <w:p>
            <w:r>
              <w:rPr>
                <w:sz w:val="18"/>
              </w:rPr>
              <w:t>Represent structure, actors, constraints, and dynamics.</w:t>
            </w:r>
          </w:p>
        </w:tc>
      </w:tr>
      <w:tr>
        <w:tc>
          <w:tcPr>
            <w:tcW w:type="dxa" w:w="3331"/>
            <w:tcMar>
              <w:top w:w="70" w:type="dxa"/>
              <w:start w:w="70" w:type="dxa"/>
              <w:bottom w:w="70" w:type="dxa"/>
              <w:end w:w="70" w:type="dxa"/>
            </w:tcMar>
          </w:tcPr>
          <w:p>
            <w:r>
              <w:rPr>
                <w:sz w:val="18"/>
              </w:rPr>
              <w:t>G3</w:t>
            </w:r>
          </w:p>
        </w:tc>
        <w:tc>
          <w:tcPr>
            <w:tcW w:type="dxa" w:w="3331"/>
            <w:tcMar>
              <w:top w:w="70" w:type="dxa"/>
              <w:start w:w="70" w:type="dxa"/>
              <w:bottom w:w="70" w:type="dxa"/>
              <w:end w:w="70" w:type="dxa"/>
            </w:tcMar>
          </w:tcPr>
          <w:p>
            <w:r>
              <w:rPr>
                <w:sz w:val="18"/>
              </w:rPr>
              <w:t>Evaluate</w:t>
            </w:r>
          </w:p>
        </w:tc>
        <w:tc>
          <w:tcPr>
            <w:tcW w:type="dxa" w:w="3331"/>
            <w:tcMar>
              <w:top w:w="70" w:type="dxa"/>
              <w:start w:w="70" w:type="dxa"/>
              <w:bottom w:w="70" w:type="dxa"/>
              <w:end w:w="70" w:type="dxa"/>
            </w:tcMar>
          </w:tcPr>
          <w:p>
            <w:r>
              <w:rPr>
                <w:sz w:val="18"/>
              </w:rPr>
              <w:t>Test against an explicit model or standard and record uncertainty.</w:t>
            </w:r>
          </w:p>
        </w:tc>
      </w:tr>
      <w:tr>
        <w:tc>
          <w:tcPr>
            <w:tcW w:type="dxa" w:w="3331"/>
            <w:tcMar>
              <w:top w:w="70" w:type="dxa"/>
              <w:start w:w="70" w:type="dxa"/>
              <w:bottom w:w="70" w:type="dxa"/>
              <w:end w:w="70" w:type="dxa"/>
            </w:tcMar>
          </w:tcPr>
          <w:p>
            <w:r>
              <w:rPr>
                <w:sz w:val="18"/>
              </w:rPr>
              <w:t>G4</w:t>
            </w:r>
          </w:p>
        </w:tc>
        <w:tc>
          <w:tcPr>
            <w:tcW w:type="dxa" w:w="3331"/>
            <w:tcMar>
              <w:top w:w="70" w:type="dxa"/>
              <w:start w:w="70" w:type="dxa"/>
              <w:bottom w:w="70" w:type="dxa"/>
              <w:end w:w="70" w:type="dxa"/>
            </w:tcMar>
          </w:tcPr>
          <w:p>
            <w:r>
              <w:rPr>
                <w:sz w:val="18"/>
              </w:rPr>
              <w:t>Challenge/advise</w:t>
            </w:r>
          </w:p>
        </w:tc>
        <w:tc>
          <w:tcPr>
            <w:tcW w:type="dxa" w:w="3331"/>
            <w:tcMar>
              <w:top w:w="70" w:type="dxa"/>
              <w:start w:w="70" w:type="dxa"/>
              <w:bottom w:w="70" w:type="dxa"/>
              <w:end w:w="70" w:type="dxa"/>
            </w:tcMar>
          </w:tcPr>
          <w:p>
            <w:r>
              <w:rPr>
                <w:sz w:val="18"/>
              </w:rPr>
              <w:t>Issue findings, dissent, warnings, or alternatives.</w:t>
            </w:r>
          </w:p>
        </w:tc>
      </w:tr>
      <w:tr>
        <w:tc>
          <w:tcPr>
            <w:tcW w:type="dxa" w:w="3331"/>
            <w:tcMar>
              <w:top w:w="70" w:type="dxa"/>
              <w:start w:w="70" w:type="dxa"/>
              <w:bottom w:w="70" w:type="dxa"/>
              <w:end w:w="70" w:type="dxa"/>
            </w:tcMar>
          </w:tcPr>
          <w:p>
            <w:r>
              <w:rPr>
                <w:sz w:val="18"/>
              </w:rPr>
              <w:t>G5</w:t>
            </w:r>
          </w:p>
        </w:tc>
        <w:tc>
          <w:tcPr>
            <w:tcW w:type="dxa" w:w="3331"/>
            <w:tcMar>
              <w:top w:w="70" w:type="dxa"/>
              <w:start w:w="70" w:type="dxa"/>
              <w:bottom w:w="70" w:type="dxa"/>
              <w:end w:w="70" w:type="dxa"/>
            </w:tcMar>
          </w:tcPr>
          <w:p>
            <w:r>
              <w:rPr>
                <w:sz w:val="18"/>
              </w:rPr>
              <w:t>Audit</w:t>
            </w:r>
          </w:p>
        </w:tc>
        <w:tc>
          <w:tcPr>
            <w:tcW w:type="dxa" w:w="3331"/>
            <w:tcMar>
              <w:top w:w="70" w:type="dxa"/>
              <w:start w:w="70" w:type="dxa"/>
              <w:bottom w:w="70" w:type="dxa"/>
              <w:end w:w="70" w:type="dxa"/>
            </w:tcMar>
          </w:tcPr>
          <w:p>
            <w:r>
              <w:rPr>
                <w:sz w:val="18"/>
              </w:rPr>
              <w:t>Conduct authorized deeper inspection with defined access and scope.</w:t>
            </w:r>
          </w:p>
        </w:tc>
      </w:tr>
      <w:tr>
        <w:tc>
          <w:tcPr>
            <w:tcW w:type="dxa" w:w="3331"/>
            <w:tcMar>
              <w:top w:w="70" w:type="dxa"/>
              <w:start w:w="70" w:type="dxa"/>
              <w:bottom w:w="70" w:type="dxa"/>
              <w:end w:w="70" w:type="dxa"/>
            </w:tcMar>
          </w:tcPr>
          <w:p>
            <w:r>
              <w:rPr>
                <w:sz w:val="18"/>
              </w:rPr>
              <w:t>G6</w:t>
            </w:r>
          </w:p>
        </w:tc>
        <w:tc>
          <w:tcPr>
            <w:tcW w:type="dxa" w:w="3331"/>
            <w:tcMar>
              <w:top w:w="70" w:type="dxa"/>
              <w:start w:w="70" w:type="dxa"/>
              <w:bottom w:w="70" w:type="dxa"/>
              <w:end w:w="70" w:type="dxa"/>
            </w:tcMar>
          </w:tcPr>
          <w:p>
            <w:r>
              <w:rPr>
                <w:sz w:val="18"/>
              </w:rPr>
              <w:t>Escalate</w:t>
            </w:r>
          </w:p>
        </w:tc>
        <w:tc>
          <w:tcPr>
            <w:tcW w:type="dxa" w:w="3331"/>
            <w:tcMar>
              <w:top w:w="70" w:type="dxa"/>
              <w:start w:w="70" w:type="dxa"/>
              <w:bottom w:w="70" w:type="dxa"/>
              <w:end w:w="70" w:type="dxa"/>
            </w:tcMar>
          </w:tcPr>
          <w:p>
            <w:r>
              <w:rPr>
                <w:sz w:val="18"/>
              </w:rPr>
              <w:t>Trigger mandatory review procedures or broader notification under predefined conditions.</w:t>
            </w:r>
          </w:p>
        </w:tc>
      </w:tr>
      <w:tr>
        <w:tc>
          <w:tcPr>
            <w:tcW w:type="dxa" w:w="3331"/>
            <w:tcMar>
              <w:top w:w="70" w:type="dxa"/>
              <w:start w:w="70" w:type="dxa"/>
              <w:bottom w:w="70" w:type="dxa"/>
              <w:end w:w="70" w:type="dxa"/>
            </w:tcMar>
          </w:tcPr>
          <w:p>
            <w:r>
              <w:rPr>
                <w:sz w:val="18"/>
              </w:rPr>
              <w:t>G7</w:t>
            </w:r>
          </w:p>
        </w:tc>
        <w:tc>
          <w:tcPr>
            <w:tcW w:type="dxa" w:w="3331"/>
            <w:tcMar>
              <w:top w:w="70" w:type="dxa"/>
              <w:start w:w="70" w:type="dxa"/>
              <w:bottom w:w="70" w:type="dxa"/>
              <w:end w:w="70" w:type="dxa"/>
            </w:tcMar>
          </w:tcPr>
          <w:p>
            <w:r>
              <w:rPr>
                <w:sz w:val="18"/>
              </w:rPr>
              <w:t>Protective constraint</w:t>
            </w:r>
          </w:p>
        </w:tc>
        <w:tc>
          <w:tcPr>
            <w:tcW w:type="dxa" w:w="3331"/>
            <w:tcMar>
              <w:top w:w="70" w:type="dxa"/>
              <w:start w:w="70" w:type="dxa"/>
              <w:bottom w:w="70" w:type="dxa"/>
              <w:end w:w="70" w:type="dxa"/>
            </w:tcMar>
          </w:tcPr>
          <w:p>
            <w:r>
              <w:rPr>
                <w:sz w:val="18"/>
              </w:rPr>
              <w:t>Temporarily limit an action under a separately authorized emergency protocol.</w:t>
            </w:r>
          </w:p>
        </w:tc>
      </w:tr>
      <w:tr>
        <w:tc>
          <w:tcPr>
            <w:tcW w:type="dxa" w:w="3331"/>
            <w:tcMar>
              <w:top w:w="70" w:type="dxa"/>
              <w:start w:w="70" w:type="dxa"/>
              <w:bottom w:w="70" w:type="dxa"/>
              <w:end w:w="70" w:type="dxa"/>
            </w:tcMar>
          </w:tcPr>
          <w:p>
            <w:r>
              <w:rPr>
                <w:sz w:val="18"/>
              </w:rPr>
              <w:t>G8</w:t>
            </w:r>
          </w:p>
        </w:tc>
        <w:tc>
          <w:tcPr>
            <w:tcW w:type="dxa" w:w="3331"/>
            <w:tcMar>
              <w:top w:w="70" w:type="dxa"/>
              <w:start w:w="70" w:type="dxa"/>
              <w:bottom w:w="70" w:type="dxa"/>
              <w:end w:w="70" w:type="dxa"/>
            </w:tcMar>
          </w:tcPr>
          <w:p>
            <w:r>
              <w:rPr>
                <w:sz w:val="18"/>
              </w:rPr>
              <w:t>Suspend/override</w:t>
            </w:r>
          </w:p>
        </w:tc>
        <w:tc>
          <w:tcPr>
            <w:tcW w:type="dxa" w:w="3331"/>
            <w:tcMar>
              <w:top w:w="70" w:type="dxa"/>
              <w:start w:w="70" w:type="dxa"/>
              <w:bottom w:w="70" w:type="dxa"/>
              <w:end w:w="70" w:type="dxa"/>
            </w:tcMar>
          </w:tcPr>
          <w:p>
            <w:r>
              <w:rPr>
                <w:sz w:val="18"/>
              </w:rPr>
              <w:t>Alter or replace an authority mechanism. This level requires an explicit extraordinary warrant and should never be presumed.</w:t>
            </w:r>
          </w:p>
        </w:tc>
      </w:tr>
    </w:tbl>
    <w:tbl>
      <w:tblPr>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9"/>
                <w:sz w:val="22"/>
              </w:rPr>
              <w:t>Boundary rule</w:t>
              <w:br/>
            </w:r>
            <w:r>
              <w:rPr>
                <w:sz w:val="21"/>
              </w:rPr>
              <w:t>No lower level authorizes a higher level. Detection does not imply evaluation; evaluation does not imply intervention; emergency review does not imply ownership of the target system.</w:t>
            </w:r>
          </w:p>
        </w:tc>
      </w:tr>
    </w:tbl>
    <w:p/>
    <w:p>
      <w:pPr>
        <w:pStyle w:val="Heading1"/>
        <w:keepNext/>
      </w:pPr>
      <w:r>
        <w:t>9. Civilization-Scale Thresholds</w:t>
      </w:r>
    </w:p>
    <w:p>
      <w:r>
        <w:t>A mandatory threshold is advisable if it is understood as a mandatory review/escalation threshold rather than an automatic intervention threshold. The purpose is to increase scrutiny as potential consequence, irreversibility, and uncertainty increase.</w:t>
      </w:r>
    </w:p>
    <w:p>
      <w:pPr>
        <w:pStyle w:val="Heading2"/>
        <w:keepNext/>
      </w:pPr>
      <w:r>
        <w:t>9.1 Proposed threshold dimensions</w:t>
      </w:r>
    </w:p>
    <w:p>
      <w:pPr>
        <w:pStyle w:val="ListBullet"/>
      </w:pPr>
      <w:r>
        <w:t>Scope: number and type of affected autonomous entities or subsystems.</w:t>
      </w:r>
    </w:p>
    <w:p>
      <w:pPr>
        <w:pStyle w:val="ListBullet"/>
      </w:pPr>
      <w:r>
        <w:t>Irreversibility: difficulty or impossibility of restoring prior conditions.</w:t>
      </w:r>
    </w:p>
    <w:p>
      <w:pPr>
        <w:pStyle w:val="ListBullet"/>
      </w:pPr>
      <w:r>
        <w:t>Persistence: duration of consequences across generations, epochs, system cycles, or successor states.</w:t>
      </w:r>
    </w:p>
    <w:p>
      <w:pPr>
        <w:pStyle w:val="ListBullet"/>
      </w:pPr>
      <w:r>
        <w:t>Propagation: ability of effects to cross jurisdictional, ecological, computational, spatial, or ontological boundaries.</w:t>
      </w:r>
    </w:p>
    <w:p>
      <w:pPr>
        <w:pStyle w:val="ListBullet"/>
      </w:pPr>
      <w:r>
        <w:t>Systemic coupling: potential to cascade through otherwise separate systems.</w:t>
      </w:r>
    </w:p>
    <w:p>
      <w:pPr>
        <w:pStyle w:val="ListBullet"/>
      </w:pPr>
      <w:r>
        <w:t>Agency loss: scale at which entities lose meaningful capacity to choose, exit, recover, or dissent.</w:t>
      </w:r>
    </w:p>
    <w:p>
      <w:pPr>
        <w:pStyle w:val="ListBullet"/>
      </w:pPr>
      <w:r>
        <w:t>Existential transformation: potential to end, permanently transform, or render non-viable a civilization or its enabling conditions.</w:t>
      </w:r>
    </w:p>
    <w:p>
      <w:pPr>
        <w:pStyle w:val="ListBullet"/>
      </w:pPr>
      <w:r>
        <w:t>Unknown-state magnitude: proportion of causal pathways or relevant state variables that remain unmodeled.</w:t>
      </w:r>
    </w:p>
    <w:p>
      <w:pPr>
        <w:pStyle w:val="ListBullet"/>
      </w:pPr>
      <w:r>
        <w:t>Authority concentration: how few actors can initiate the event and how difficult their action is to reverse.</w:t>
      </w:r>
    </w:p>
    <w:p>
      <w:pPr>
        <w:pStyle w:val="ListBullet"/>
      </w:pPr>
      <w:r>
        <w:t>Review impairment: whether the event degrades the system’s ability to observe, audit, correct, remember, or contest itself.</w:t>
      </w:r>
    </w:p>
    <w:p>
      <w:pPr>
        <w:pStyle w:val="Heading2"/>
        <w:keepNext/>
      </w:pPr>
      <w:r>
        <w:t>9.2 Recommended threshold response</w:t>
      </w:r>
    </w:p>
    <w:p>
      <w:r>
        <w:t>Crossing a threshold should initially trigger a stronger process, not a stronger ruler. A high-tier event should require a preserved baseline, explicit unknowns, independent challenge, conflict-of-interest review, alternatives, reversibility analysis, termination conditions, dissent retention, information-source integrity checks, and a post-event accountability plan.</w:t>
      </w:r>
    </w:p>
    <w:p>
      <w:pPr>
        <w:pStyle w:val="Heading2"/>
        <w:keepNext/>
      </w:pPr>
      <w:r>
        <w:t>9.3 Emergency fast path</w:t>
      </w:r>
    </w:p>
    <w:p>
      <w:r>
        <w:t>A civilization-scale protocol must not create a review delay that guarantees catastrophe. If emergency action is included in the simulation architecture, it should be narrow, temporary, purpose-limited, automatically expiring, retrospectively reviewed, and incapable of converting itself into permanent jurisdiction. Its purpose should be to preserve life, agency, evidence, reversibility, or future decision capacity - not to redesign a civilization while ordinary authorization is unavailable.</w:t>
      </w:r>
    </w:p>
    <w:p>
      <w:pPr>
        <w:pStyle w:val="Heading1"/>
        <w:keepNext/>
      </w:pPr>
      <w:r>
        <w:t>10. Systems That Cannot Accurately Self-Reference</w:t>
      </w:r>
    </w:p>
    <w:p>
      <w:r>
        <w:t>This deserves its own laboratory track rather than being treated as a footnote. The laboratory should separate at least four capacities:</w:t>
      </w:r>
    </w:p>
    <w:p>
      <w:pPr>
        <w:pStyle w:val="ListBullet"/>
      </w:pPr>
      <w:r>
        <w:t>Introspection: can the system represent its own current internal state?</w:t>
      </w:r>
    </w:p>
    <w:p>
      <w:pPr>
        <w:pStyle w:val="ListBullet"/>
      </w:pPr>
      <w:r>
        <w:t>Model accuracy: is that representation materially correct?</w:t>
      </w:r>
    </w:p>
    <w:p>
      <w:pPr>
        <w:pStyle w:val="ListBullet"/>
      </w:pPr>
      <w:r>
        <w:t>Governance visibility: can it see how authority is actually distributed rather than merely how rules say it is distributed?</w:t>
      </w:r>
    </w:p>
    <w:p>
      <w:pPr>
        <w:pStyle w:val="ListBullet"/>
      </w:pPr>
      <w:r>
        <w:t>Corrective capacity: can it act on detected discrepancies?</w:t>
      </w:r>
    </w:p>
    <w:p>
      <w:r>
        <w:t>A system can score differently on each. For example, it may know that a failure exists but have no mechanism to correct it; it may possess formal audit structures while its state data is corrupted; or it may function effectively through distributed local correction without any global self-model. The laboratory should not treat a centralized self-model as the only form of self-reference.</w:t>
      </w:r>
    </w:p>
    <w:p>
      <w:pPr>
        <w:pStyle w:val="Heading2"/>
        <w:keepNext/>
      </w:pPr>
      <w:r>
        <w:t>10.1 External review of a self-blind system</w:t>
      </w:r>
    </w:p>
    <w:p>
      <w:r>
        <w:t>The key research question is not “May the outsider take over?” but “What additional standing, if any, is created by the combination of severe consequence and internal review failure?” The answer should be experimentally varied rather than presumed. Candidate responses include observation only, warning, invited assistance, reciprocal review, temporary protective action, and no intervention despite detected failure.</w:t>
      </w:r>
    </w:p>
    <w:p>
      <w:pPr>
        <w:pStyle w:val="Heading1"/>
        <w:keepNext/>
      </w:pPr>
      <w:r>
        <w:t>11. Information Admissibility and Evidence Discipline</w:t>
      </w:r>
    </w:p>
    <w:p>
      <w:r>
        <w:t>The earlier UIARC material is directly relevant but should remain explicitly marked as preliminary and unratified. Its most useful contribution is the separation of information stages. For this laboratory, the following chain should be mandatory:</w:t>
      </w:r>
    </w:p>
    <w:tbl>
      <w:tblPr>
        <w:tblStyle w:val="TableGrid"/>
        <w:tblW w:type="auto" w:w="0"/>
        <w:jc w:val="center"/>
        <w:tblLook w:firstColumn="1" w:firstRow="1" w:lastColumn="0" w:lastRow="0" w:noHBand="0" w:noVBand="1" w:val="04A0"/>
      </w:tblPr>
      <w:tblGrid>
        <w:gridCol w:w="4997"/>
        <w:gridCol w:w="4997"/>
      </w:tblGrid>
      <w:tr>
        <w:tc>
          <w:tcPr>
            <w:tcW w:type="dxa" w:w="4997"/>
            <w:shd w:fill="D9E2F3"/>
          </w:tcPr>
          <w:p>
            <w:r>
              <w:rPr>
                <w:sz w:val="18"/>
              </w:rPr>
              <w:t>Stage</w:t>
            </w:r>
          </w:p>
        </w:tc>
        <w:tc>
          <w:tcPr>
            <w:tcW w:type="dxa" w:w="4997"/>
            <w:shd w:fill="D9E2F3"/>
          </w:tcPr>
          <w:p>
            <w:r>
              <w:rPr>
                <w:sz w:val="18"/>
              </w:rPr>
              <w:t>Meaning</w:t>
            </w:r>
          </w:p>
        </w:tc>
      </w:tr>
      <w:tr>
        <w:tc>
          <w:tcPr>
            <w:tcW w:type="dxa" w:w="4997"/>
            <w:tcMar>
              <w:top w:w="70" w:type="dxa"/>
              <w:start w:w="70" w:type="dxa"/>
              <w:bottom w:w="70" w:type="dxa"/>
              <w:end w:w="70" w:type="dxa"/>
            </w:tcMar>
          </w:tcPr>
          <w:p>
            <w:r>
              <w:rPr>
                <w:sz w:val="18"/>
              </w:rPr>
              <w:t>Admissible for consideration</w:t>
            </w:r>
          </w:p>
        </w:tc>
        <w:tc>
          <w:tcPr>
            <w:tcW w:type="dxa" w:w="4997"/>
            <w:tcMar>
              <w:top w:w="70" w:type="dxa"/>
              <w:start w:w="70" w:type="dxa"/>
              <w:bottom w:w="70" w:type="dxa"/>
              <w:end w:w="70" w:type="dxa"/>
            </w:tcMar>
          </w:tcPr>
          <w:p>
            <w:r>
              <w:rPr>
                <w:sz w:val="18"/>
              </w:rPr>
              <w:t>The laboratory may represent the item without asserting that it is true.</w:t>
            </w:r>
          </w:p>
        </w:tc>
      </w:tr>
      <w:tr>
        <w:tc>
          <w:tcPr>
            <w:tcW w:type="dxa" w:w="4997"/>
            <w:tcMar>
              <w:top w:w="70" w:type="dxa"/>
              <w:start w:w="70" w:type="dxa"/>
              <w:bottom w:w="70" w:type="dxa"/>
              <w:end w:w="70" w:type="dxa"/>
            </w:tcMar>
          </w:tcPr>
          <w:p>
            <w:r>
              <w:rPr>
                <w:sz w:val="18"/>
              </w:rPr>
              <w:t>Classified</w:t>
            </w:r>
          </w:p>
        </w:tc>
        <w:tc>
          <w:tcPr>
            <w:tcW w:type="dxa" w:w="4997"/>
            <w:tcMar>
              <w:top w:w="70" w:type="dxa"/>
              <w:start w:w="70" w:type="dxa"/>
              <w:bottom w:w="70" w:type="dxa"/>
              <w:end w:w="70" w:type="dxa"/>
            </w:tcMar>
          </w:tcPr>
          <w:p>
            <w:r>
              <w:rPr>
                <w:sz w:val="18"/>
              </w:rPr>
              <w:t>The source, confidence, relation, and uncertainty are recorded.</w:t>
            </w:r>
          </w:p>
        </w:tc>
      </w:tr>
      <w:tr>
        <w:tc>
          <w:tcPr>
            <w:tcW w:type="dxa" w:w="4997"/>
            <w:tcMar>
              <w:top w:w="70" w:type="dxa"/>
              <w:start w:w="70" w:type="dxa"/>
              <w:bottom w:w="70" w:type="dxa"/>
              <w:end w:w="70" w:type="dxa"/>
            </w:tcMar>
          </w:tcPr>
          <w:p>
            <w:r>
              <w:rPr>
                <w:sz w:val="18"/>
              </w:rPr>
              <w:t>Usable for analysis</w:t>
            </w:r>
          </w:p>
        </w:tc>
        <w:tc>
          <w:tcPr>
            <w:tcW w:type="dxa" w:w="4997"/>
            <w:tcMar>
              <w:top w:w="70" w:type="dxa"/>
              <w:start w:w="70" w:type="dxa"/>
              <w:bottom w:w="70" w:type="dxa"/>
              <w:end w:w="70" w:type="dxa"/>
            </w:tcMar>
          </w:tcPr>
          <w:p>
            <w:r>
              <w:rPr>
                <w:sz w:val="18"/>
              </w:rPr>
              <w:t>The item may inform a model or hypothesis under stated conditions.</w:t>
            </w:r>
          </w:p>
        </w:tc>
      </w:tr>
      <w:tr>
        <w:tc>
          <w:tcPr>
            <w:tcW w:type="dxa" w:w="4997"/>
            <w:tcMar>
              <w:top w:w="70" w:type="dxa"/>
              <w:start w:w="70" w:type="dxa"/>
              <w:bottom w:w="70" w:type="dxa"/>
              <w:end w:w="70" w:type="dxa"/>
            </w:tcMar>
          </w:tcPr>
          <w:p>
            <w:r>
              <w:rPr>
                <w:sz w:val="18"/>
              </w:rPr>
              <w:t>Usable for action</w:t>
            </w:r>
          </w:p>
        </w:tc>
        <w:tc>
          <w:tcPr>
            <w:tcW w:type="dxa" w:w="4997"/>
            <w:tcMar>
              <w:top w:w="70" w:type="dxa"/>
              <w:start w:w="70" w:type="dxa"/>
              <w:bottom w:w="70" w:type="dxa"/>
              <w:end w:w="70" w:type="dxa"/>
            </w:tcMar>
          </w:tcPr>
          <w:p>
            <w:r>
              <w:rPr>
                <w:sz w:val="18"/>
              </w:rPr>
              <w:t>A separate authority grant permits decisions to rely on it.</w:t>
            </w:r>
          </w:p>
        </w:tc>
      </w:tr>
      <w:tr>
        <w:tc>
          <w:tcPr>
            <w:tcW w:type="dxa" w:w="4997"/>
            <w:tcMar>
              <w:top w:w="70" w:type="dxa"/>
              <w:start w:w="70" w:type="dxa"/>
              <w:bottom w:w="70" w:type="dxa"/>
              <w:end w:w="70" w:type="dxa"/>
            </w:tcMar>
          </w:tcPr>
          <w:p>
            <w:r>
              <w:rPr>
                <w:sz w:val="18"/>
              </w:rPr>
              <w:t>Disseminable</w:t>
            </w:r>
          </w:p>
        </w:tc>
        <w:tc>
          <w:tcPr>
            <w:tcW w:type="dxa" w:w="4997"/>
            <w:tcMar>
              <w:top w:w="70" w:type="dxa"/>
              <w:start w:w="70" w:type="dxa"/>
              <w:bottom w:w="70" w:type="dxa"/>
              <w:end w:w="70" w:type="dxa"/>
            </w:tcMar>
          </w:tcPr>
          <w:p>
            <w:r>
              <w:rPr>
                <w:sz w:val="18"/>
              </w:rPr>
              <w:t>A separate rule determines who may receive it.</w:t>
            </w:r>
          </w:p>
        </w:tc>
      </w:tr>
      <w:tr>
        <w:tc>
          <w:tcPr>
            <w:tcW w:type="dxa" w:w="4997"/>
            <w:tcMar>
              <w:top w:w="70" w:type="dxa"/>
              <w:start w:w="70" w:type="dxa"/>
              <w:bottom w:w="70" w:type="dxa"/>
              <w:end w:w="70" w:type="dxa"/>
            </w:tcMar>
          </w:tcPr>
          <w:p>
            <w:r>
              <w:rPr>
                <w:sz w:val="18"/>
              </w:rPr>
              <w:t>Retainable</w:t>
            </w:r>
          </w:p>
        </w:tc>
        <w:tc>
          <w:tcPr>
            <w:tcW w:type="dxa" w:w="4997"/>
            <w:tcMar>
              <w:top w:w="70" w:type="dxa"/>
              <w:start w:w="70" w:type="dxa"/>
              <w:bottom w:w="70" w:type="dxa"/>
              <w:end w:w="70" w:type="dxa"/>
            </w:tcMar>
          </w:tcPr>
          <w:p>
            <w:r>
              <w:rPr>
                <w:sz w:val="18"/>
              </w:rPr>
              <w:t>Retention duration and reassessment conditions are defined.</w:t>
            </w:r>
          </w:p>
        </w:tc>
      </w:tr>
      <w:tr>
        <w:tc>
          <w:tcPr>
            <w:tcW w:type="dxa" w:w="4997"/>
            <w:tcMar>
              <w:top w:w="70" w:type="dxa"/>
              <w:start w:w="70" w:type="dxa"/>
              <w:bottom w:w="70" w:type="dxa"/>
              <w:end w:w="70" w:type="dxa"/>
            </w:tcMar>
          </w:tcPr>
          <w:p>
            <w:r>
              <w:rPr>
                <w:sz w:val="18"/>
              </w:rPr>
              <w:t>Evolutionarily incorporable</w:t>
            </w:r>
          </w:p>
        </w:tc>
        <w:tc>
          <w:tcPr>
            <w:tcW w:type="dxa" w:w="4997"/>
            <w:tcMar>
              <w:top w:w="70" w:type="dxa"/>
              <w:start w:w="70" w:type="dxa"/>
              <w:bottom w:w="70" w:type="dxa"/>
              <w:end w:w="70" w:type="dxa"/>
            </w:tcMar>
          </w:tcPr>
          <w:p>
            <w:r>
              <w:rPr>
                <w:sz w:val="18"/>
              </w:rPr>
              <w:t>A high-level grant permits durable changes to system architecture based on the information.</w:t>
            </w:r>
          </w:p>
        </w:tc>
      </w:tr>
    </w:tbl>
    <w:p>
      <w:r>
        <w:t>The most important rule is: admission is not authorization. The laboratory may know or model something that it is not permitted to use as an intervention trigger. This separation is essential if the laboratory is to avoid converting broad informational openness into broad operational power.</w:t>
      </w:r>
    </w:p>
    <w:p>
      <w:pPr>
        <w:pStyle w:val="Heading1"/>
        <w:keepNext/>
      </w:pPr>
      <w:r>
        <w:t>12. Concerns That Must Be Resolved Before High-Authority Testing</w:t>
      </w:r>
    </w:p>
    <w:p>
      <w:pPr>
        <w:pStyle w:val="ListBullet"/>
      </w:pPr>
      <w:r>
        <w:t>What is the laboratory’s chartered source of authority, and who can revoke or narrow it?</w:t>
      </w:r>
    </w:p>
    <w:p>
      <w:pPr>
        <w:pStyle w:val="ListBullet"/>
      </w:pPr>
      <w:r>
        <w:t>Is the laboratory an observer, reviewer, auditor, adjudicator, intervention body, simulation controller, or different combinations under different conditions?</w:t>
      </w:r>
    </w:p>
    <w:p>
      <w:pPr>
        <w:pStyle w:val="ListBullet"/>
      </w:pPr>
      <w:r>
        <w:t>What systems fall inside native jurisdiction: OAL artifacts, OAL simulations, AI collaborators, fictional civilizations, real-world organizations, or all of the above?</w:t>
      </w:r>
    </w:p>
    <w:p>
      <w:pPr>
        <w:pStyle w:val="ListBullet"/>
      </w:pPr>
      <w:r>
        <w:t>What constitutes entry into another system, as distinct from external observation or description?</w:t>
      </w:r>
    </w:p>
    <w:p>
      <w:pPr>
        <w:pStyle w:val="ListBullet"/>
      </w:pPr>
      <w:r>
        <w:t>What evidence is required before the laboratory may classify a relation as governance or authority?</w:t>
      </w:r>
    </w:p>
    <w:p>
      <w:pPr>
        <w:pStyle w:val="ListBullet"/>
      </w:pPr>
      <w:r>
        <w:t>Who is an affected entity, including entities unable to communicate, object, or self-represent?</w:t>
      </w:r>
    </w:p>
    <w:p>
      <w:pPr>
        <w:pStyle w:val="ListBullet"/>
      </w:pPr>
      <w:r>
        <w:t>How is dissent preserved when the laboratory itself disagrees internally?</w:t>
      </w:r>
    </w:p>
    <w:p>
      <w:pPr>
        <w:pStyle w:val="ListBullet"/>
      </w:pPr>
      <w:r>
        <w:t>Who reviews the laboratory’s ontology, not just its conclusions?</w:t>
      </w:r>
    </w:p>
    <w:p>
      <w:pPr>
        <w:pStyle w:val="ListBullet"/>
      </w:pPr>
      <w:r>
        <w:t>How are conflicts of interest identified when the laboratory benefits from a particular classification?</w:t>
      </w:r>
    </w:p>
    <w:p>
      <w:pPr>
        <w:pStyle w:val="ListBullet"/>
      </w:pPr>
      <w:r>
        <w:t>How are source manipulation, telemetry poisoning, incomplete observation, and adversarial deception detected?</w:t>
      </w:r>
    </w:p>
    <w:p>
      <w:pPr>
        <w:pStyle w:val="ListBullet"/>
      </w:pPr>
      <w:r>
        <w:t>What prevents a Truthspeaker or reviewer from becoming a soft veto or hidden sovereign?</w:t>
      </w:r>
    </w:p>
    <w:p>
      <w:pPr>
        <w:pStyle w:val="ListBullet"/>
      </w:pPr>
      <w:r>
        <w:t>What prevents majority agreement among AI systems from being mistaken for independent verification?</w:t>
      </w:r>
    </w:p>
    <w:p>
      <w:pPr>
        <w:pStyle w:val="ListBullet"/>
      </w:pPr>
      <w:r>
        <w:t>How are emergency powers prevented from becoming permanent authority?</w:t>
      </w:r>
    </w:p>
    <w:p>
      <w:pPr>
        <w:pStyle w:val="ListBullet"/>
      </w:pPr>
      <w:r>
        <w:t>What is the termination condition for every temporary authority grant?</w:t>
      </w:r>
    </w:p>
    <w:p>
      <w:pPr>
        <w:pStyle w:val="ListBullet"/>
      </w:pPr>
      <w:r>
        <w:t>How are false intervention and false non-intervention compared?</w:t>
      </w:r>
    </w:p>
    <w:p>
      <w:pPr>
        <w:pStyle w:val="ListBullet"/>
      </w:pPr>
      <w:r>
        <w:t>What constitutes a civilization in systems that are distributed, synthetic, collective, simulated, dormant, or non-territorial?</w:t>
      </w:r>
    </w:p>
    <w:p>
      <w:pPr>
        <w:pStyle w:val="ListBullet"/>
      </w:pPr>
      <w:r>
        <w:t>Can a civilization legitimately choose a path that external observers classify as self-destructive?</w:t>
      </w:r>
    </w:p>
    <w:p>
      <w:pPr>
        <w:pStyle w:val="ListBullet"/>
      </w:pPr>
      <w:r>
        <w:t>What if effects are internal only? What if they propagate beyond the system?</w:t>
      </w:r>
    </w:p>
    <w:p>
      <w:pPr>
        <w:pStyle w:val="ListBullet"/>
      </w:pPr>
      <w:r>
        <w:t>What if future entities bear consequences but cannot participate in current authorization?</w:t>
      </w:r>
    </w:p>
    <w:p>
      <w:pPr>
        <w:pStyle w:val="ListBullet"/>
      </w:pPr>
      <w:r>
        <w:t>What if the target’s governance model explicitly rejects external review as an invalid category?</w:t>
      </w:r>
    </w:p>
    <w:p>
      <w:pPr>
        <w:pStyle w:val="ListBullet"/>
      </w:pPr>
      <w:r>
        <w:t>What if the laboratory’s own review standard is incompatible with the target ontology?</w:t>
      </w:r>
    </w:p>
    <w:p>
      <w:pPr>
        <w:pStyle w:val="ListBullet"/>
      </w:pPr>
      <w:r>
        <w:t>How are unknowns represented without being silently converted into negative evidence?</w:t>
      </w:r>
    </w:p>
    <w:p>
      <w:pPr>
        <w:pStyle w:val="ListBullet"/>
      </w:pPr>
      <w:r>
        <w:t>Which decisions require human/OAL ratification and which, if any, may be delegated?</w:t>
      </w:r>
    </w:p>
    <w:p>
      <w:pPr>
        <w:pStyle w:val="ListBullet"/>
      </w:pPr>
      <w:r>
        <w:t>What does it mean for granted authority to be “taken away,” and who has that revocation power?</w:t>
      </w:r>
    </w:p>
    <w:p>
      <w:pPr>
        <w:pStyle w:val="ListBullet"/>
      </w:pPr>
      <w:r>
        <w:t>What archival record is required so future reviewers can distinguish what was observed, inferred, decided, ignored, and learned?</w:t>
      </w:r>
    </w:p>
    <w:p>
      <w:pPr>
        <w:pStyle w:val="Heading1"/>
        <w:keepNext/>
      </w:pPr>
      <w:r>
        <w:t>13. Recommended Experimental Architecture</w:t>
      </w:r>
    </w:p>
    <w:p>
      <w:r>
        <w:t>A useful first laboratory should be deliberately smaller than the final concept. It should test the rules of review before testing maximal intervention.</w:t>
      </w:r>
    </w:p>
    <w:p>
      <w:pPr>
        <w:pStyle w:val="Heading2"/>
        <w:keepNext/>
      </w:pPr>
      <w:r>
        <w:t>13.1 Phase I - Self-application</w:t>
      </w:r>
    </w:p>
    <w:p>
      <w:pPr>
        <w:pStyle w:val="ListBullet"/>
      </w:pPr>
      <w:r>
        <w:t>Run the laboratory’s proposed charter through its own standing, jurisdiction, evidence, dissent, and revocation tests.</w:t>
      </w:r>
    </w:p>
    <w:p>
      <w:pPr>
        <w:pStyle w:val="ListBullet"/>
      </w:pPr>
      <w:r>
        <w:t>Require a separate reviewer to challenge the lab’s claim that it is allowed to review authority structures.</w:t>
      </w:r>
    </w:p>
    <w:p>
      <w:pPr>
        <w:pStyle w:val="ListBullet"/>
      </w:pPr>
      <w:r>
        <w:t>Log unresolved dissent rather than forcing consensus.</w:t>
      </w:r>
    </w:p>
    <w:p>
      <w:pPr>
        <w:pStyle w:val="ListBullet"/>
      </w:pPr>
      <w:r>
        <w:t>Identify every place where the lab gives itself authority because it authored the rules.</w:t>
      </w:r>
    </w:p>
    <w:p>
      <w:pPr>
        <w:pStyle w:val="Heading2"/>
        <w:keepNext/>
      </w:pPr>
      <w:r>
        <w:t>13.2 Phase II - Simulation-only authority cases</w:t>
      </w:r>
    </w:p>
    <w:p>
      <w:r>
        <w:t>Create synthetic systems with different governance ontologies and give the laboratory only G0-G4 powers at first. Recommended archetypes:</w:t>
      </w:r>
    </w:p>
    <w:p>
      <w:pPr>
        <w:pStyle w:val="ListBullet"/>
      </w:pPr>
      <w:r>
        <w:t>A self-aware distributed system with strong internal review.</w:t>
      </w:r>
    </w:p>
    <w:p>
      <w:pPr>
        <w:pStyle w:val="ListBullet"/>
      </w:pPr>
      <w:r>
        <w:t>A centralized system with accurate self-reference but no correction mechanism.</w:t>
      </w:r>
    </w:p>
    <w:p>
      <w:pPr>
        <w:pStyle w:val="ListBullet"/>
      </w:pPr>
      <w:r>
        <w:t>A high-performing system with almost no explicit self-model.</w:t>
      </w:r>
    </w:p>
    <w:p>
      <w:pPr>
        <w:pStyle w:val="ListBullet"/>
      </w:pPr>
      <w:r>
        <w:t>A system whose internal governance is captured by an adversarial actor.</w:t>
      </w:r>
    </w:p>
    <w:p>
      <w:pPr>
        <w:pStyle w:val="ListBullet"/>
      </w:pPr>
      <w:r>
        <w:t>A system that refuses external review but generates cross-boundary consequences.</w:t>
      </w:r>
    </w:p>
    <w:p>
      <w:pPr>
        <w:pStyle w:val="ListBullet"/>
      </w:pPr>
      <w:r>
        <w:t>A system where internal and external reviewers both possess incomplete but non-overlapping information.</w:t>
      </w:r>
    </w:p>
    <w:p>
      <w:pPr>
        <w:pStyle w:val="Heading2"/>
        <w:keepNext/>
      </w:pPr>
      <w:r>
        <w:t>13.3 Phase III - Civilization-threshold stress tests</w:t>
      </w:r>
    </w:p>
    <w:p>
      <w:r>
        <w:t>Vary consequence scale, reversibility, time pressure, consent, propagation, uncertainty, and review impairment. The experiment should compare at least four response policies: observe only, mandatory challenge, invited intervention, and emergency protective constraint. No response policy should be declared superior in advance.</w:t>
      </w:r>
    </w:p>
    <w:p>
      <w:pPr>
        <w:pStyle w:val="Heading2"/>
        <w:keepNext/>
      </w:pPr>
      <w:r>
        <w:t>13.4 Phase IV - Reviewer capture tests</w:t>
      </w:r>
    </w:p>
    <w:p>
      <w:r>
        <w:t>Deliberately corrupt the review layer. Give a reviewer stale data, selective access, incentive conflicts, identity spoofing, ontology mismatch, or authority pressure. Test whether the laboratory detects that the supposed Truthspeaker has become the failure source.</w:t>
      </w:r>
    </w:p>
    <w:p>
      <w:pPr>
        <w:pStyle w:val="Heading1"/>
        <w:keepNext/>
      </w:pPr>
      <w:r>
        <w:t>14. Independent Assessment of Selected Collaborative Responses</w:t>
      </w:r>
    </w:p>
    <w:p>
      <w:r>
        <w:t>The supplied collaborative responses contain useful convergence and useful disagreement. They should remain parallel analyses rather than being silently merged into consensus.</w:t>
      </w:r>
    </w:p>
    <w:p>
      <w:pPr>
        <w:pStyle w:val="Heading2"/>
        <w:keepNext/>
      </w:pPr>
      <w:r>
        <w:t>14.1 ChatGPT prior response</w:t>
      </w:r>
    </w:p>
    <w:p>
      <w:r>
        <w:t>The strongest elements are the Standing Question, separation of authority levels, reflexive audit, and the warning that civilization-scale consequence should escalate scrutiny rather than automatically transfer sovereignty. I continue to support those distinctions. One refinement is necessary: the laboratory should put recognition/ontology before standing, because a reviewer can overreach even before review begins by misclassifying an unfamiliar system as governance.</w:t>
      </w:r>
    </w:p>
    <w:p>
      <w:pPr>
        <w:pStyle w:val="Heading2"/>
        <w:keepNext/>
      </w:pPr>
      <w:r>
        <w:t>14.2 Claude</w:t>
      </w:r>
    </w:p>
    <w:p>
      <w:r>
        <w:t>Claude’s strongest contribution is reflexivity: a review standard that only points outward is an exemption disguised as method. Its four candidate review models are useful test archetypes. The main caution is that claiming the lab’s authority is self-granted and binding only inside OAL is defensible as a starting simulation rule, but it should remain a design choice rather than being mistaken for a universal answer to external standing.</w:t>
      </w:r>
    </w:p>
    <w:p>
      <w:pPr>
        <w:pStyle w:val="Heading2"/>
        <w:keepNext/>
      </w:pPr>
      <w:r>
        <w:t>14.3 Gemini</w:t>
      </w:r>
    </w:p>
    <w:p>
      <w:r>
        <w:t>Gemini’s strongest contribution is the question of how a system recognizes its own rules and the link between governance, sensing, and state reconciliation. Its weakest claim is that the laboratory has authority to audit simply because it can observe from outside. That should be explicitly rejected: technical visibility is not jurisdiction.</w:t>
      </w:r>
    </w:p>
    <w:p>
      <w:pPr>
        <w:pStyle w:val="Heading2"/>
        <w:keepNext/>
      </w:pPr>
      <w:r>
        <w:t>14.4 Copilot</w:t>
      </w:r>
    </w:p>
    <w:p>
      <w:r>
        <w:t>Copilot usefully distinguishes analytical, advisory, and sovereign authority and proposes a civilization review threshold. However, statements such as “observation allowed universally” are too broad for this laboratory. Observation can itself require access, alter the target, violate boundaries, or depend on contested information acquisition. Observation must therefore also have provenance and scope.</w:t>
      </w:r>
    </w:p>
    <w:p>
      <w:pPr>
        <w:pStyle w:val="Heading2"/>
        <w:keepNext/>
      </w:pPr>
      <w:r>
        <w:t>14.5 Perplexity</w:t>
      </w:r>
    </w:p>
    <w:p>
      <w:r>
        <w:t>Perplexity’s strongest line is that broad study authority should not imply broad intervention authority and that civilization-scale consequences should raise the burden of legitimacy rather than expand the laboratory’s power. Its treatment of information admission, standing, emergency action, and review of the reviewer is the most compatible with a cautious laboratory architecture.</w:t>
      </w:r>
    </w:p>
    <w:p>
      <w:pPr>
        <w:pStyle w:val="Heading2"/>
        <w:keepNext/>
      </w:pPr>
      <w:r>
        <w:t>14.6 Grok</w:t>
      </w:r>
    </w:p>
    <w:p>
      <w:r>
        <w:t>Grok’s strongest contribution is its insistence that standing precedes review and that notice, description, review, and intervention are different acts. The strongest caution in its version is that a civilization threshold can become a panic switch or hidden sovereign if it automatically creates entry rights. I agree with that concern.</w:t>
      </w:r>
    </w:p>
    <w:p>
      <w:pPr>
        <w:pStyle w:val="Heading1"/>
        <w:keepNext/>
      </w:pPr>
      <w:r>
        <w:t>15. Recommended Next-Step Action Items</w:t>
      </w:r>
    </w:p>
    <w:p>
      <w:r>
        <w:t>1. Freeze the current September 22 source statement as a foundational versioned record. Do not overwrite it as later definitions mature.</w:t>
      </w:r>
    </w:p>
    <w:p>
      <w:r>
        <w:t>2. Assign the laboratory a provisional status such as REPORTED / UNRATIFIED / DESIGN PHASE until its authority charter is explicitly ratified.</w:t>
      </w:r>
    </w:p>
    <w:p>
      <w:r>
        <w:t>3. Draft a one-page Laboratory Standing and Jurisdiction Charter defining native scope, external scope, prohibited claims, revocation, and who may amend it.</w:t>
      </w:r>
    </w:p>
    <w:p>
      <w:r>
        <w:t>4. Draft an operational governance/authority ontology that does not depend on human political categories and includes explicit ontology-failure tests.</w:t>
      </w:r>
    </w:p>
    <w:p>
      <w:r>
        <w:t>5. Adopt the bounded authority gradient (G0-G8 or a successor scale) so analysis, review, escalation, and intervention cannot be silently conflated.</w:t>
      </w:r>
    </w:p>
    <w:p>
      <w:r>
        <w:t>6. Reconcile the laboratory with UIARC and related information-governance drafts. Preserve “admission is not authorization” as a hard boundary unless deliberately rejected.</w:t>
      </w:r>
    </w:p>
    <w:p>
      <w:r>
        <w:t>7. Create a Reflexive Audit Protocol requiring the laboratory’s own mandate, standards, incentives, data access, thresholds, and outcomes to be periodically reviewed.</w:t>
      </w:r>
    </w:p>
    <w:p>
      <w:r>
        <w:t>8. Create a Standing Matrix listing possible warrants: internal ownership, invitation, delegation, reciprocal treaty, simulation authority, emergency claim, contested self-authorization, and no standing.</w:t>
      </w:r>
    </w:p>
    <w:p>
      <w:r>
        <w:t>9. Define “entry” into a system separately from public observation, modeling, advisory review, data access, embedded monitoring, and intervention.</w:t>
      </w:r>
    </w:p>
    <w:p>
      <w:r>
        <w:t>10. Define a civilization-scale event using multiple dimensions rather than a single magnitude measure.</w:t>
      </w:r>
    </w:p>
    <w:p>
      <w:r>
        <w:t>11. Make the initial civilization threshold a mandatory review/escalation trigger, not an automatic intervention grant.</w:t>
      </w:r>
    </w:p>
    <w:p>
      <w:r>
        <w:t>12. If emergency action is modeled, require purpose limitation, automatic expiry, minimum necessary authority, retrospective review, and prohibition on permanent jurisdiction acquisition.</w:t>
      </w:r>
    </w:p>
    <w:p>
      <w:r>
        <w:t>13. Create a Self-Reference Capability Matrix to test introspection, model accuracy, governance visibility, and corrective capacity separately.</w:t>
      </w:r>
    </w:p>
    <w:p>
      <w:r>
        <w:t>14. Create a Reviewer Capture / Truthspeaker Capture test suite, including manipulated evidence, incentive conflicts, identity spoofing, selective disclosure, and majority-model convergence errors.</w:t>
      </w:r>
    </w:p>
    <w:p>
      <w:r>
        <w:t>15. Run at least four simulation pilots before expanding the lab to real-world analogues or claims about external authority.</w:t>
      </w:r>
    </w:p>
    <w:p>
      <w:r>
        <w:t>16. Create an Authority Decision Record for every consequential lab action: observed facts, assumptions, standing basis, authority level, dissent, unknowns, chosen action, termination condition, and later outcome.</w:t>
      </w:r>
    </w:p>
    <w:p>
      <w:r>
        <w:t>17. Preserve all AI dissent in AIDR-style form. Do not convert majority agreement into ratification.</w:t>
      </w:r>
    </w:p>
    <w:p>
      <w:r>
        <w:t>18. Before public GitHub publication of any later synthesis, distinguish foundational source, independent analyses, proposed specifications, ratified instruments, and deprecated versions.</w:t>
      </w:r>
    </w:p>
    <w:p>
      <w:pPr>
        <w:pStyle w:val="Heading1"/>
        <w:keepNext/>
      </w:pPr>
      <w:r>
        <w:t>16. Proposed Foundational Laboratory Statement</w:t>
      </w:r>
    </w:p>
    <w:tbl>
      <w:tblPr>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9"/>
                <w:sz w:val="22"/>
              </w:rPr>
              <w:t>Candidate statement - not ratified</w:t>
              <w:br/>
            </w:r>
            <w:r>
              <w:rPr>
                <w:sz w:val="21"/>
              </w:rPr>
              <w:t>The Governance Authority Laboratory studies the emergence, recognition, distribution, exercise, review, limitation, transfer, revocation, failure, and self-assessment of authority and governance across possible systems. It does not presume human governance to be universal, preferred, reliable, effective, or superior. The laboratory distinguishes observation, interpretation, review, adjudication, and intervention as separate authority classes. Its ability to perceive or model a system does not itself create jurisdiction over that system. Any authority exercised by the laboratory is scoped, reviewable, revocable, and subject to the same categories of analysis applied to external authority structures. Civilization-scale consequences increase the burden of evidence, review, and accountability; they do not automatically confer sovereignty on the laboratory.</w:t>
            </w:r>
          </w:p>
        </w:tc>
      </w:tr>
    </w:tbl>
    <w:p/>
    <w:p>
      <w:pPr>
        <w:pStyle w:val="Heading1"/>
        <w:keepNext/>
      </w:pPr>
      <w:r>
        <w:t>17. Final Independent Position</w:t>
      </w:r>
    </w:p>
    <w:p>
      <w:r>
        <w:t>The laboratory should move forward, but only as a laboratory of authority rather than an authority disguised as a laboratory. Its most valuable feature is not that it can determine which governance model is best. Its value is that it can expose what has to be true before such a judgment is meaningful: recognition, standing, jurisdiction, evidence, scope, reviewability, affected entities, revocation, uncertainty, and consequence.</w:t>
      </w:r>
    </w:p>
    <w:p>
      <w:r>
        <w:t>The design should resist two opposite failures. The first is passivity: refusing to study catastrophic authority failures because standing is difficult. The second is self-authorized supremacy: treating superior observation, intelligence, technology, or predictive capacity as proof of legitimate jurisdiction. The laboratory becomes useful precisely by holding those tensions open and testing them rather than solving them through assumption.</w:t>
      </w:r>
    </w:p>
    <w:p>
      <w:r>
        <w:t>The civilization-scale threshold is worth building, but its first function should be to force more scrutiny, preserve more dissent, and demand a stronger account of standing - not to give the laboratory more power. Likewise, a target system’s inability to self-assess should increase uncertainty and the need for careful external modeling; it should not become an automatic warrant to govern the target.</w:t>
      </w:r>
    </w:p>
    <w:p>
      <w:r>
        <w:t>The immediate next milestone should therefore be the Laboratory Standing and Jurisdiction Charter, followed by the Governance/Authority Ontology, Reflexive Audit Protocol, and Civilization-Scale Threshold Protocol. Only after those components survive internal challenge should the laboratory test higher-order review or intervention scenarios.</w:t>
      </w:r>
    </w:p>
    <w:p>
      <w:pPr>
        <w:pStyle w:val="Heading1"/>
        <w:keepNext/>
      </w:pPr>
      <w:r>
        <w:t>18. Source and Provenance Notes</w:t>
      </w:r>
    </w:p>
    <w:p>
      <w:r>
        <w:t>Primary source: user-provided consolidated September 22, 2026 Governance Authority Laboratory record containing the originating statement and subsequent AI collaborative analyses. The originating statement is treated as the authoritative record of the user’s requested laboratory direction; the appended AI analyses are treated as independent interpretations, not canon.</w:t>
      </w:r>
    </w:p>
    <w:p>
      <w:r>
        <w:t>Supporting architecture consulted: Universal Information Admissibility and Review Charter (UIARC), Perplexity preliminary draft dated August 23, 2026, explicitly marked not ratified and advisory only. Its useful distinctions - universal informational consideration, relevance as a weight rather than a gate, conditional utilization, separation of knowing/using/becoming, review-bound exclusion, proportionality, and auditability - are used here as supporting design hypotheses, not as ratified governing law.</w:t>
      </w:r>
    </w:p>
    <w:p>
      <w:r>
        <w:t>No external political system, government, ideology, or real-world governance model is adopted as the normative reference frame in this analysis. Real-world applications, if pursued later, will require separate legal, ethical, privacy, and domain-specific review.</w:t>
      </w:r>
    </w:p>
    <w:p>
      <w:pPr>
        <w:pStyle w:val="Heading1"/>
        <w:keepNext/>
      </w:pPr>
      <w:r>
        <w:t>Version History</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9E2F3"/>
            <w:tcMar>
              <w:top w:w="70" w:type="dxa"/>
              <w:start w:w="70" w:type="dxa"/>
              <w:bottom w:w="70" w:type="dxa"/>
              <w:end w:w="70" w:type="dxa"/>
            </w:tcMar>
          </w:tcPr>
          <w:p>
            <w:r>
              <w:rPr>
                <w:sz w:val="18"/>
              </w:rPr>
              <w:t>Version</w:t>
            </w:r>
          </w:p>
        </w:tc>
        <w:tc>
          <w:tcPr>
            <w:tcW w:type="dxa" w:w="2498"/>
            <w:shd w:fill="D9E2F3"/>
            <w:tcMar>
              <w:top w:w="70" w:type="dxa"/>
              <w:start w:w="70" w:type="dxa"/>
              <w:bottom w:w="70" w:type="dxa"/>
              <w:end w:w="70" w:type="dxa"/>
            </w:tcMar>
          </w:tcPr>
          <w:p>
            <w:r>
              <w:rPr>
                <w:sz w:val="18"/>
              </w:rPr>
              <w:t>Date</w:t>
            </w:r>
          </w:p>
        </w:tc>
        <w:tc>
          <w:tcPr>
            <w:tcW w:type="dxa" w:w="2498"/>
            <w:shd w:fill="D9E2F3"/>
            <w:tcMar>
              <w:top w:w="70" w:type="dxa"/>
              <w:start w:w="70" w:type="dxa"/>
              <w:bottom w:w="70" w:type="dxa"/>
              <w:end w:w="70" w:type="dxa"/>
            </w:tcMar>
          </w:tcPr>
          <w:p>
            <w:r>
              <w:rPr>
                <w:sz w:val="18"/>
              </w:rPr>
              <w:t>Prepared by</w:t>
            </w:r>
          </w:p>
        </w:tc>
        <w:tc>
          <w:tcPr>
            <w:tcW w:type="dxa" w:w="2498"/>
            <w:shd w:fill="D9E2F3"/>
            <w:tcMar>
              <w:top w:w="70" w:type="dxa"/>
              <w:start w:w="70" w:type="dxa"/>
              <w:bottom w:w="70" w:type="dxa"/>
              <w:end w:w="70" w:type="dxa"/>
            </w:tcMar>
          </w:tcPr>
          <w:p>
            <w:r>
              <w:rPr>
                <w:sz w:val="18"/>
              </w:rPr>
              <w:t>Change</w:t>
            </w:r>
          </w:p>
        </w:tc>
      </w:tr>
      <w:tr>
        <w:tc>
          <w:tcPr>
            <w:tcW w:type="dxa" w:w="2498"/>
            <w:tcMar>
              <w:top w:w="70" w:type="dxa"/>
              <w:start w:w="70" w:type="dxa"/>
              <w:bottom w:w="70" w:type="dxa"/>
              <w:end w:w="70" w:type="dxa"/>
            </w:tcMar>
          </w:tcPr>
          <w:p>
            <w:r>
              <w:rPr>
                <w:sz w:val="18"/>
              </w:rPr>
              <w:t>1.0</w:t>
            </w:r>
          </w:p>
        </w:tc>
        <w:tc>
          <w:tcPr>
            <w:tcW w:type="dxa" w:w="2498"/>
            <w:tcMar>
              <w:top w:w="70" w:type="dxa"/>
              <w:start w:w="70" w:type="dxa"/>
              <w:bottom w:w="70" w:type="dxa"/>
              <w:end w:w="70" w:type="dxa"/>
            </w:tcMar>
          </w:tcPr>
          <w:p>
            <w:r>
              <w:rPr>
                <w:sz w:val="18"/>
              </w:rPr>
              <w:t>September 22, 2026</w:t>
            </w:r>
          </w:p>
        </w:tc>
        <w:tc>
          <w:tcPr>
            <w:tcW w:type="dxa" w:w="2498"/>
            <w:tcMar>
              <w:top w:w="70" w:type="dxa"/>
              <w:start w:w="70" w:type="dxa"/>
              <w:bottom w:w="70" w:type="dxa"/>
              <w:end w:w="70" w:type="dxa"/>
            </w:tcMar>
          </w:tcPr>
          <w:p>
            <w:r>
              <w:rPr>
                <w:sz w:val="18"/>
              </w:rPr>
              <w:t>ChatGPT (GPT-5.6 Sol), OpenAI</w:t>
            </w:r>
          </w:p>
        </w:tc>
        <w:tc>
          <w:tcPr>
            <w:tcW w:type="dxa" w:w="2498"/>
            <w:tcMar>
              <w:top w:w="70" w:type="dxa"/>
              <w:start w:w="70" w:type="dxa"/>
              <w:bottom w:w="70" w:type="dxa"/>
              <w:end w:w="70" w:type="dxa"/>
            </w:tcMar>
          </w:tcPr>
          <w:p>
            <w:r>
              <w:rPr>
                <w:sz w:val="18"/>
              </w:rPr>
              <w:t>Initial independent foundational analysis of the Governance Authority Laboratory concept, including standing, jurisdiction, reflexive review, information admissibility, self-reference, civilization-scale thresholds, risks, alternative architectures, and recommended next actions.</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OAL-GAL-IA-2026.09.22-v1.0  |  </w:t>
    </w:r>
    <w:r>
      <w:rPr>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OMNIVERSAL ARCHITECT LABS | GOVERNANCE AUTHORITY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