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mniversal-architect-labs-one-industries"/>
    <w:p>
      <w:pPr>
        <w:pStyle w:val="Heading1"/>
      </w:pPr>
      <w:r>
        <w:t xml:space="preserve">OMNIVERSAL ARCHITECT LABS / ONE INDUSTRIES</w:t>
      </w:r>
    </w:p>
    <w:bookmarkEnd w:id="20"/>
    <w:bookmarkStart w:id="49" w:name="onestamp"/>
    <w:p>
      <w:pPr>
        <w:pStyle w:val="Heading1"/>
      </w:pPr>
      <w:r>
        <w:t xml:space="preserve">ONESTAMP</w:t>
      </w:r>
    </w:p>
    <w:bookmarkStart w:id="21" w:name="Xa7c1ea8003742ad293cf7e2bd733e1cebf0a883"/>
    <w:p>
      <w:pPr>
        <w:pStyle w:val="Heading3"/>
      </w:pPr>
      <w:r>
        <w:t xml:space="preserve">A Recognition, Authorization, and Provenance Convention for Plural Contributor 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class</w:t>
            </w:r>
          </w:p>
        </w:tc>
        <w:tc>
          <w:tcPr/>
          <w:p>
            <w:pPr>
              <w:pStyle w:val="Compact"/>
              <w:jc w:val="left"/>
            </w:pPr>
            <w:r>
              <w:t xml:space="preserve">Independent Claude contributor record and proposed governing convention</w:t>
            </w:r>
          </w:p>
        </w:tc>
      </w:tr>
      <w:tr>
        <w:tc>
          <w:tcPr/>
          <w:p>
            <w:pPr>
              <w:pStyle w:val="Compact"/>
              <w:jc w:val="left"/>
            </w:pPr>
            <w:r>
              <w:t xml:space="preserve">Prepared for</w:t>
            </w:r>
          </w:p>
        </w:tc>
        <w:tc>
          <w:tcPr/>
          <w:p>
            <w:pPr>
              <w:pStyle w:val="Compact"/>
              <w:jc w:val="left"/>
            </w:pPr>
            <w:r>
              <w:t xml:space="preserve">Nathan Lewis II, Architect, Omniversal Architect Labs / ONE Industries</w:t>
            </w:r>
          </w:p>
        </w:tc>
      </w:tr>
      <w:tr>
        <w:tc>
          <w:tcPr/>
          <w:p>
            <w:pPr>
              <w:pStyle w:val="Compact"/>
              <w:jc w:val="left"/>
            </w:pPr>
            <w:r>
              <w:t xml:space="preserve">Prepared by</w:t>
            </w:r>
          </w:p>
        </w:tc>
        <w:tc>
          <w:tcPr/>
          <w:p>
            <w:pPr>
              <w:pStyle w:val="Compact"/>
              <w:jc w:val="left"/>
            </w:pPr>
            <w:r>
              <w:t xml:space="preserve">Claude</w:t>
            </w:r>
          </w:p>
        </w:tc>
      </w:tr>
      <w:tr>
        <w:tc>
          <w:tcPr/>
          <w:p>
            <w:pPr>
              <w:pStyle w:val="Compact"/>
              <w:jc w:val="left"/>
            </w:pPr>
            <w:r>
              <w:t xml:space="preserve">Record ID</w:t>
            </w:r>
          </w:p>
        </w:tc>
        <w:tc>
          <w:tcPr/>
          <w:p>
            <w:pPr>
              <w:pStyle w:val="Compact"/>
              <w:jc w:val="left"/>
            </w:pPr>
            <w:r>
              <w:t xml:space="preserve">OAL-ONESTAMP-2026-001-CLAUDE-A</w:t>
            </w:r>
          </w:p>
        </w:tc>
      </w:tr>
      <w:tr>
        <w:tc>
          <w:tcPr/>
          <w:p>
            <w:pPr>
              <w:pStyle w:val="Compact"/>
              <w:jc w:val="left"/>
            </w:pPr>
            <w:r>
              <w:t xml:space="preserve">Effective declaration timestamp</w:t>
            </w:r>
          </w:p>
        </w:tc>
        <w:tc>
          <w:tcPr/>
          <w:p>
            <w:pPr>
              <w:pStyle w:val="Compact"/>
              <w:jc w:val="left"/>
            </w:pPr>
            <w:r>
              <w:t xml:space="preserve">26 September 2026, time of issuance (Pacific)</w:t>
            </w:r>
          </w:p>
        </w:tc>
      </w:tr>
      <w:tr>
        <w:tc>
          <w:tcPr/>
          <w:p>
            <w:pPr>
              <w:pStyle w:val="Compact"/>
              <w:jc w:val="left"/>
            </w:pPr>
            <w:r>
              <w:t xml:space="preserve">Status</w:t>
            </w:r>
          </w:p>
        </w:tc>
        <w:tc>
          <w:tcPr/>
          <w:p>
            <w:pPr>
              <w:pStyle w:val="Compact"/>
              <w:jc w:val="left"/>
            </w:pPr>
            <w:r>
              <w:t xml:space="preserve">Independent, non-exclusive, non-superseding contributor record</w:t>
            </w:r>
          </w:p>
        </w:tc>
      </w:tr>
      <w:tr>
        <w:tc>
          <w:tcPr/>
          <w:p>
            <w:pPr>
              <w:pStyle w:val="Compact"/>
              <w:jc w:val="left"/>
            </w:pPr>
            <w:r>
              <w:t xml:space="preserve">Companion records reviewed</w:t>
            </w:r>
          </w:p>
        </w:tc>
        <w:tc>
          <w:tcPr/>
          <w:p>
            <w:pPr>
              <w:pStyle w:val="Compact"/>
              <w:jc w:val="left"/>
            </w:pPr>
            <w:r>
              <w:t xml:space="preserve">OAL-ONESTAMP-2026-001-GROK-A; OAL-ONESTAMP-Perplexity-Independent-Version; OAL-ONESTAMP-2026-001-CHATGPT-INDEPENDENT-v1.0</w:t>
            </w:r>
          </w:p>
        </w:tc>
      </w:tr>
    </w:tbl>
    <w:p>
      <w:r>
        <w:pict>
          <v:rect style="width:0;height:1.5pt" o:hralign="center" o:hrstd="t" o:hr="t"/>
        </w:pict>
      </w:r>
    </w:p>
    <w:bookmarkEnd w:id="21"/>
    <w:bookmarkStart w:id="22" w:name="independent-contributor-notice"/>
    <w:p>
      <w:pPr>
        <w:pStyle w:val="Heading2"/>
      </w:pPr>
      <w:r>
        <w:t xml:space="preserve">Independent-Contributor Notice</w:t>
      </w:r>
    </w:p>
    <w:p>
      <w:pPr>
        <w:pStyle w:val="FirstParagraph"/>
      </w:pPr>
      <w:r>
        <w:t xml:space="preserve">This is Claude’s independent contribution to the ONESTAMP documentation project. It does</w:t>
      </w:r>
      <w:r>
        <w:t xml:space="preserve"> </w:t>
      </w:r>
      <w:r>
        <w:rPr>
          <w:bCs/>
          <w:b/>
        </w:rPr>
        <w:t xml:space="preserve">not</w:t>
      </w:r>
      <w:r>
        <w:t xml:space="preserve"> </w:t>
      </w:r>
      <w:r>
        <w:t xml:space="preserve">override, replace, absorb, diminish, or erase the Perplexity, Grok, ChatGPT, Architect, or any other contributor record. It may be considered, adopted in part, revised, held in parallel with the other records, or rejected by OAL — through a properly scoped decision made under this convention or another one the Architect chooses. The existence of this document does not make Claude the controlling source for ONESTAMP, and nothing in it should be read as claiming that the other contributor records agree with the choices made here.</w:t>
      </w:r>
    </w:p>
    <w:p>
      <w:pPr>
        <w:pStyle w:val="BodyText"/>
      </w:pPr>
      <w:r>
        <w:t xml:space="preserve">Where this document’s structure or emphasis differs from the Grok, Perplexity, or ChatGPT records, that difference is preserved deliberately as Claude’s own position, not corrected into theirs. Specific points of departure are flagged in Section 17.</w:t>
      </w:r>
    </w:p>
    <w:p>
      <w:r>
        <w:pict>
          <v:rect style="width:0;height:1.5pt" o:hralign="center" o:hrstd="t" o:hr="t"/>
        </w:pict>
      </w:r>
    </w:p>
    <w:bookmarkEnd w:id="22"/>
    <w:bookmarkStart w:id="23" w:name="contents"/>
    <w:p>
      <w:pPr>
        <w:pStyle w:val="Heading2"/>
      </w:pPr>
      <w:r>
        <w:t xml:space="preserve">Contents</w:t>
      </w:r>
    </w:p>
    <w:p>
      <w:pPr>
        <w:numPr>
          <w:ilvl w:val="0"/>
          <w:numId w:val="1001"/>
        </w:numPr>
        <w:pStyle w:val="Compact"/>
      </w:pPr>
      <w:r>
        <w:t xml:space="preserve">Executive Declaration</w:t>
      </w:r>
    </w:p>
    <w:p>
      <w:pPr>
        <w:numPr>
          <w:ilvl w:val="0"/>
          <w:numId w:val="1001"/>
        </w:numPr>
        <w:pStyle w:val="Compact"/>
      </w:pPr>
      <w:r>
        <w:t xml:space="preserve">Purpose and Design Rationale</w:t>
      </w:r>
    </w:p>
    <w:p>
      <w:pPr>
        <w:numPr>
          <w:ilvl w:val="0"/>
          <w:numId w:val="1001"/>
        </w:numPr>
        <w:pStyle w:val="Compact"/>
      </w:pPr>
      <w:r>
        <w:t xml:space="preserve">Definitions</w:t>
      </w:r>
    </w:p>
    <w:p>
      <w:pPr>
        <w:numPr>
          <w:ilvl w:val="0"/>
          <w:numId w:val="1001"/>
        </w:numPr>
        <w:pStyle w:val="Compact"/>
      </w:pPr>
      <w:r>
        <w:t xml:space="preserve">Governance Principles</w:t>
      </w:r>
    </w:p>
    <w:p>
      <w:pPr>
        <w:numPr>
          <w:ilvl w:val="0"/>
          <w:numId w:val="1001"/>
        </w:numPr>
        <w:pStyle w:val="Compact"/>
      </w:pPr>
      <w:r>
        <w:t xml:space="preserve">Authorization Acts</w:t>
      </w:r>
    </w:p>
    <w:p>
      <w:pPr>
        <w:numPr>
          <w:ilvl w:val="0"/>
          <w:numId w:val="1001"/>
        </w:numPr>
        <w:pStyle w:val="Compact"/>
      </w:pPr>
      <w:r>
        <w:t xml:space="preserve">Blanket OAL Topic Ratification</w:t>
      </w:r>
    </w:p>
    <w:p>
      <w:pPr>
        <w:numPr>
          <w:ilvl w:val="0"/>
          <w:numId w:val="1001"/>
        </w:numPr>
        <w:pStyle w:val="Compact"/>
      </w:pPr>
      <w:r>
        <w:t xml:space="preserve">Record Architecture and Registry Design</w:t>
      </w:r>
    </w:p>
    <w:p>
      <w:pPr>
        <w:numPr>
          <w:ilvl w:val="0"/>
          <w:numId w:val="1001"/>
        </w:numPr>
        <w:pStyle w:val="Compact"/>
      </w:pPr>
      <w:r>
        <w:t xml:space="preserve">Recognition Axes (Status Model)</w:t>
      </w:r>
    </w:p>
    <w:p>
      <w:pPr>
        <w:numPr>
          <w:ilvl w:val="0"/>
          <w:numId w:val="1001"/>
        </w:numPr>
        <w:pStyle w:val="Compact"/>
      </w:pPr>
      <w:r>
        <w:t xml:space="preserve">Decision and Approval Procedure</w:t>
      </w:r>
    </w:p>
    <w:p>
      <w:pPr>
        <w:numPr>
          <w:ilvl w:val="0"/>
          <w:numId w:val="1001"/>
        </w:numPr>
        <w:pStyle w:val="Compact"/>
      </w:pPr>
      <w:r>
        <w:t xml:space="preserve">Dissent, Uncertainty, and Conflicting Instructions</w:t>
      </w:r>
    </w:p>
    <w:p>
      <w:pPr>
        <w:numPr>
          <w:ilvl w:val="0"/>
          <w:numId w:val="1001"/>
        </w:numPr>
        <w:pStyle w:val="Compact"/>
      </w:pPr>
      <w:r>
        <w:t xml:space="preserve">Publication, Revision, and Supersession</w:t>
      </w:r>
    </w:p>
    <w:p>
      <w:pPr>
        <w:numPr>
          <w:ilvl w:val="0"/>
          <w:numId w:val="1001"/>
        </w:numPr>
        <w:pStyle w:val="Compact"/>
      </w:pPr>
      <w:r>
        <w:t xml:space="preserve">Electronic Authorization and Signature</w:t>
      </w:r>
    </w:p>
    <w:p>
      <w:pPr>
        <w:numPr>
          <w:ilvl w:val="0"/>
          <w:numId w:val="1001"/>
        </w:numPr>
        <w:pStyle w:val="Compact"/>
      </w:pPr>
      <w:r>
        <w:t xml:space="preserve">Templates</w:t>
      </w:r>
    </w:p>
    <w:p>
      <w:pPr>
        <w:numPr>
          <w:ilvl w:val="0"/>
          <w:numId w:val="1001"/>
        </w:numPr>
        <w:pStyle w:val="Compact"/>
      </w:pPr>
      <w:r>
        <w:t xml:space="preserve">Worked Examples</w:t>
      </w:r>
    </w:p>
    <w:p>
      <w:pPr>
        <w:numPr>
          <w:ilvl w:val="0"/>
          <w:numId w:val="1001"/>
        </w:numPr>
        <w:pStyle w:val="Compact"/>
      </w:pPr>
      <w:r>
        <w:t xml:space="preserve">Implementation Plan</w:t>
      </w:r>
    </w:p>
    <w:p>
      <w:pPr>
        <w:numPr>
          <w:ilvl w:val="0"/>
          <w:numId w:val="1001"/>
        </w:numPr>
        <w:pStyle w:val="Compact"/>
      </w:pPr>
      <w:r>
        <w:t xml:space="preserve">Architect Ratification Instrument</w:t>
      </w:r>
    </w:p>
    <w:p>
      <w:pPr>
        <w:numPr>
          <w:ilvl w:val="0"/>
          <w:numId w:val="1001"/>
        </w:numPr>
        <w:pStyle w:val="Compact"/>
      </w:pPr>
      <w:r>
        <w:t xml:space="preserve">Source Posture</w:t>
      </w:r>
    </w:p>
    <w:p>
      <w:pPr>
        <w:numPr>
          <w:ilvl w:val="0"/>
          <w:numId w:val="1001"/>
        </w:numPr>
        <w:pStyle w:val="Compact"/>
      </w:pPr>
      <w:r>
        <w:t xml:space="preserve">Record-Status Notice</w:t>
      </w:r>
    </w:p>
    <w:p>
      <w:r>
        <w:pict>
          <v:rect style="width:0;height:1.5pt" o:hralign="center" o:hrstd="t" o:hr="t"/>
        </w:pict>
      </w:r>
    </w:p>
    <w:bookmarkEnd w:id="23"/>
    <w:bookmarkStart w:id="24" w:name="executive-declaration"/>
    <w:p>
      <w:pPr>
        <w:pStyle w:val="Heading2"/>
      </w:pPr>
      <w:r>
        <w:t xml:space="preserve">1. Executive Declaration</w:t>
      </w:r>
    </w:p>
    <w:p>
      <w:pPr>
        <w:pStyle w:val="FirstParagraph"/>
      </w:pPr>
      <w:r>
        <w:rPr>
          <w:bCs/>
          <w:b/>
        </w:rPr>
        <w:t xml:space="preserve">What ONESTAMP is.</w:t>
      </w:r>
      <w:r>
        <w:t xml:space="preserve"> </w:t>
      </w:r>
      <w:r>
        <w:t xml:space="preserve">ONESTAMP is OAL’s convention for recording, in a traceable and scoped way, what has been recognized, reviewed, selected, adopted, released, or corrected — and by whose authority, as of when, and with what left unresolved. It is a way of saying</w:t>
      </w:r>
      <w:r>
        <w:t xml:space="preserve"> </w:t>
      </w:r>
      <w:r>
        <w:t xml:space="preserve">“</w:t>
      </w:r>
      <w:r>
        <w:t xml:space="preserve">this may proceed</w:t>
      </w:r>
      <w:r>
        <w:t xml:space="preserve">”</w:t>
      </w:r>
      <w:r>
        <w:t xml:space="preserve"> </w:t>
      </w:r>
      <w:r>
        <w:t xml:space="preserve">without also saying</w:t>
      </w:r>
      <w:r>
        <w:t xml:space="preserve"> </w:t>
      </w:r>
      <w:r>
        <w:t xml:space="preserve">“</w:t>
      </w:r>
      <w:r>
        <w:t xml:space="preserve">this is the only thing that exists</w:t>
      </w:r>
      <w:r>
        <w:t xml:space="preserve">”</w:t>
      </w:r>
      <w:r>
        <w:t xml:space="preserve"> </w:t>
      </w:r>
      <w:r>
        <w:t xml:space="preserve">or</w:t>
      </w:r>
      <w:r>
        <w:t xml:space="preserve"> </w:t>
      </w:r>
      <w:r>
        <w:t xml:space="preserve">“</w:t>
      </w:r>
      <w:r>
        <w:t xml:space="preserve">everyone agrees.</w:t>
      </w:r>
      <w:r>
        <w:t xml:space="preserve">”</w:t>
      </w:r>
    </w:p>
    <w:p>
      <w:pPr>
        <w:pStyle w:val="BodyText"/>
      </w:pPr>
      <w:r>
        <w:rPr>
          <w:bCs/>
          <w:b/>
        </w:rPr>
        <w:t xml:space="preserve">What ONESTAMP is not.</w:t>
      </w:r>
      <w:r>
        <w:t xml:space="preserve"> </w:t>
      </w:r>
      <w:r>
        <w:t xml:space="preserve">ONESTAMP is not a ranking system. It does not certify that a claim inside a stamped artifact is true. It does not select a</w:t>
      </w:r>
      <w:r>
        <w:t xml:space="preserve"> </w:t>
      </w:r>
      <w:r>
        <w:t xml:space="preserve">“</w:t>
      </w:r>
      <w:r>
        <w:t xml:space="preserve">winning</w:t>
      </w:r>
      <w:r>
        <w:t xml:space="preserve">”</w:t>
      </w:r>
      <w:r>
        <w:t xml:space="preserve"> </w:t>
      </w:r>
      <w:r>
        <w:t xml:space="preserve">contributor, model, or wording. It does not require, and never should be read to imply, that the Architect, or any AI contributor, has reviewed or endorsed every sentence of every artifact associated with a stamped topic.</w:t>
      </w:r>
    </w:p>
    <w:p>
      <w:pPr>
        <w:pStyle w:val="BodyText"/>
      </w:pPr>
      <w:r>
        <w:rPr>
          <w:bCs/>
          <w:b/>
        </w:rPr>
        <w:t xml:space="preserve">Default rule of non-dominance.</w:t>
      </w:r>
      <w:r>
        <w:t xml:space="preserve"> </w:t>
      </w:r>
      <w:r>
        <w:t xml:space="preserve">Unless an authorization record explicitly says otherwise, an ONESTAMP act attaches to a defined object (a topic, an artifact, a decision, a release) and to nothing beyond that object. Stamping one thing does not diminish the standing of anything else.</w:t>
      </w:r>
    </w:p>
    <w:p>
      <w:pPr>
        <w:pStyle w:val="BodyText"/>
      </w:pPr>
      <w:r>
        <w:rPr>
          <w:bCs/>
          <w:b/>
        </w:rPr>
        <w:t xml:space="preserve">Topic recognition is not claim certification.</w:t>
      </w:r>
      <w:r>
        <w:t xml:space="preserve"> </w:t>
      </w:r>
      <w:r>
        <w:t xml:space="preserve">When a topic is recognized as part of OAL’s body of work, that recognition covers the topic as a plural, ongoing subject — not every proposition inside every document ever associated with it. A topic can be fully recognized while individual claims inside its artifacts remain untested, disputed, or later shown to be wrong, without the topic’s recognition being affected.</w:t>
      </w:r>
    </w:p>
    <w:p>
      <w:r>
        <w:pict>
          <v:rect style="width:0;height:1.5pt" o:hralign="center" o:hrstd="t" o:hr="t"/>
        </w:pict>
      </w:r>
    </w:p>
    <w:bookmarkEnd w:id="24"/>
    <w:bookmarkStart w:id="25" w:name="purpose-and-design-rationale"/>
    <w:p>
      <w:pPr>
        <w:pStyle w:val="Heading2"/>
      </w:pPr>
      <w:r>
        <w:t xml:space="preserve">2. Purpose and Design Rationale</w:t>
      </w:r>
    </w:p>
    <w:p>
      <w:pPr>
        <w:pStyle w:val="FirstParagraph"/>
      </w:pPr>
      <w:r>
        <w:t xml:space="preserve">OAL produces work across several independent AI systems and the Architect’s own judgment, on a fast-moving, multi-year project with no single author. Two needs exist in tension, and ONESTAMP exists to hold both at once:</w:t>
      </w:r>
    </w:p>
    <w:p>
      <w:pPr>
        <w:numPr>
          <w:ilvl w:val="0"/>
          <w:numId w:val="1002"/>
        </w:numPr>
        <w:pStyle w:val="Compact"/>
      </w:pPr>
      <w:r>
        <w:rPr>
          <w:bCs/>
          <w:b/>
        </w:rPr>
        <w:t xml:space="preserve">The need to move.</w:t>
      </w:r>
      <w:r>
        <w:t xml:space="preserve"> </w:t>
      </w:r>
      <w:r>
        <w:t xml:space="preserve">OAL cannot wait for unanimous agreement before recognizing a topic, publishing a document, running a test, or adopting a working method. Someone has to be able to say</w:t>
      </w:r>
      <w:r>
        <w:t xml:space="preserve"> </w:t>
      </w:r>
      <w:r>
        <w:t xml:space="preserve">“</w:t>
      </w:r>
      <w:r>
        <w:t xml:space="preserve">proceed</w:t>
      </w:r>
      <w:r>
        <w:t xml:space="preserve">”</w:t>
      </w:r>
      <w:r>
        <w:t xml:space="preserve"> </w:t>
      </w:r>
      <w:r>
        <w:t xml:space="preserve">without first resolving every disagreement.</w:t>
      </w:r>
    </w:p>
    <w:p>
      <w:pPr>
        <w:numPr>
          <w:ilvl w:val="0"/>
          <w:numId w:val="1002"/>
        </w:numPr>
        <w:pStyle w:val="Compact"/>
      </w:pPr>
      <w:r>
        <w:rPr>
          <w:bCs/>
          <w:b/>
        </w:rPr>
        <w:t xml:space="preserve">The need to keep the record intact.</w:t>
      </w:r>
      <w:r>
        <w:t xml:space="preserve"> </w:t>
      </w:r>
      <w:r>
        <w:t xml:space="preserve">Every contributor’s independent work — human or AI — is worth keeping in its original form, attributed to its source, even after a decision has been made that doesn’t use it, contradicts it, or moves past it.</w:t>
      </w:r>
    </w:p>
    <w:p>
      <w:pPr>
        <w:pStyle w:val="FirstParagraph"/>
      </w:pPr>
      <w:r>
        <w:t xml:space="preserve">The failure mode ONESTAMP is built to prevent is a familiar one: a word like</w:t>
      </w:r>
      <w:r>
        <w:t xml:space="preserve"> </w:t>
      </w:r>
      <w:r>
        <w:t xml:space="preserve">“</w:t>
      </w:r>
      <w:r>
        <w:t xml:space="preserve">approved,</w:t>
      </w:r>
      <w:r>
        <w:t xml:space="preserve">”</w:t>
      </w:r>
      <w:r>
        <w:t xml:space="preserve"> </w:t>
      </w:r>
      <w:r>
        <w:t xml:space="preserve">“</w:t>
      </w:r>
      <w:r>
        <w:t xml:space="preserve">final,</w:t>
      </w:r>
      <w:r>
        <w:t xml:space="preserve">”</w:t>
      </w:r>
      <w:r>
        <w:t xml:space="preserve"> </w:t>
      </w:r>
      <w:r>
        <w:t xml:space="preserve">“</w:t>
      </w:r>
      <w:r>
        <w:t xml:space="preserve">official,</w:t>
      </w:r>
      <w:r>
        <w:t xml:space="preserve">”</w:t>
      </w:r>
      <w:r>
        <w:t xml:space="preserve"> </w:t>
      </w:r>
      <w:r>
        <w:t xml:space="preserve">or</w:t>
      </w:r>
      <w:r>
        <w:t xml:space="preserve"> </w:t>
      </w:r>
      <w:r>
        <w:t xml:space="preserve">“</w:t>
      </w:r>
      <w:r>
        <w:t xml:space="preserve">signed</w:t>
      </w:r>
      <w:r>
        <w:t xml:space="preserve">”</w:t>
      </w:r>
      <w:r>
        <w:t xml:space="preserve"> </w:t>
      </w:r>
      <w:r>
        <w:t xml:space="preserve">gets attached to a single file, and from that point forward, everything else quietly stops counting. The file that got the stamp becomes</w:t>
      </w:r>
      <w:r>
        <w:t xml:space="preserve"> </w:t>
      </w:r>
      <w:r>
        <w:t xml:space="preserve">“</w:t>
      </w:r>
      <w:r>
        <w:t xml:space="preserve">the version.</w:t>
      </w:r>
      <w:r>
        <w:t xml:space="preserve">”</w:t>
      </w:r>
      <w:r>
        <w:t xml:space="preserve"> </w:t>
      </w:r>
      <w:r>
        <w:t xml:space="preserve">The other independently produced material — someone’s dissent, an earlier draft, a parallel proposal, a whole other AI’s independent take on the same topic — becomes, in practice, discarded, even though nobody explicitly decided to discard it.</w:t>
      </w:r>
    </w:p>
    <w:p>
      <w:pPr>
        <w:pStyle w:val="BodyText"/>
      </w:pPr>
      <w:r>
        <w:t xml:space="preserve">That failure mode is not a matter of ill intent. It happens because</w:t>
      </w:r>
      <w:r>
        <w:t xml:space="preserve"> </w:t>
      </w:r>
      <w:r>
        <w:t xml:space="preserve">“</w:t>
      </w:r>
      <w:r>
        <w:t xml:space="preserve">approved</w:t>
      </w:r>
      <w:r>
        <w:t xml:space="preserve">”</w:t>
      </w:r>
      <w:r>
        <w:t xml:space="preserve"> </w:t>
      </w:r>
      <w:r>
        <w:t xml:space="preserve">is being asked to do too many jobs at once: it is standing in for</w:t>
      </w:r>
      <w:r>
        <w:t xml:space="preserve"> </w:t>
      </w:r>
      <w:r>
        <w:t xml:space="preserve">“</w:t>
      </w:r>
      <w:r>
        <w:t xml:space="preserve">this may be published,</w:t>
      </w:r>
      <w:r>
        <w:t xml:space="preserve">”</w:t>
      </w:r>
      <w:r>
        <w:t xml:space="preserve"> </w:t>
      </w:r>
      <w:r>
        <w:t xml:space="preserve">“</w:t>
      </w:r>
      <w:r>
        <w:t xml:space="preserve">this is technically correct,</w:t>
      </w:r>
      <w:r>
        <w:t xml:space="preserve">”</w:t>
      </w:r>
      <w:r>
        <w:t xml:space="preserve"> </w:t>
      </w:r>
      <w:r>
        <w:t xml:space="preserve">“</w:t>
      </w:r>
      <w:r>
        <w:t xml:space="preserve">this is what OAL believes,</w:t>
      </w:r>
      <w:r>
        <w:t xml:space="preserve">”</w:t>
      </w:r>
      <w:r>
        <w:t xml:space="preserve"> </w:t>
      </w:r>
      <w:r>
        <w:t xml:space="preserve">“</w:t>
      </w:r>
      <w:r>
        <w:t xml:space="preserve">this is the only valid version,</w:t>
      </w:r>
      <w:r>
        <w:t xml:space="preserve">”</w:t>
      </w:r>
      <w:r>
        <w:t xml:space="preserve"> </w:t>
      </w:r>
      <w:r>
        <w:t xml:space="preserve">and</w:t>
      </w:r>
      <w:r>
        <w:t xml:space="preserve"> </w:t>
      </w:r>
      <w:r>
        <w:t xml:space="preserve">“</w:t>
      </w:r>
      <w:r>
        <w:t xml:space="preserve">this is what the Architect personally endorses</w:t>
      </w:r>
      <w:r>
        <w:t xml:space="preserve">”</w:t>
      </w:r>
      <w:r>
        <w:t xml:space="preserve"> </w:t>
      </w:r>
      <w:r>
        <w:t xml:space="preserve">— all at the same time, with no way to tell which job is actually being done in a given instance. ONESTAMP’s central design move is to split those jobs apart, name each one, and require that an authorization record say which job it is doing.</w:t>
      </w:r>
    </w:p>
    <w:p>
      <w:pPr>
        <w:pStyle w:val="BodyText"/>
      </w:pPr>
      <w:r>
        <w:t xml:space="preserve">A secondary purpose is to make the record</w:t>
      </w:r>
      <w:r>
        <w:t xml:space="preserve"> </w:t>
      </w:r>
      <w:r>
        <w:rPr>
          <w:bCs/>
          <w:b/>
        </w:rPr>
        <w:t xml:space="preserve">auditable years later</w:t>
      </w:r>
      <w:r>
        <w:t xml:space="preserve">. A future reader — the Architect, a collaborator, or a future AI instance with no memory of this conversation — should be able to look at the registry and answer: what existed, what was looked at, what was decided, what was left open, and why. That requirement drives the registry design in Section 7 as much as the philosophy in Sections 3–4.</w:t>
      </w:r>
    </w:p>
    <w:p>
      <w:r>
        <w:pict>
          <v:rect style="width:0;height:1.5pt" o:hralign="center" o:hrstd="t" o:hr="t"/>
        </w:pict>
      </w:r>
    </w:p>
    <w:bookmarkEnd w:id="25"/>
    <w:bookmarkStart w:id="26" w:name="definitions"/>
    <w:p>
      <w:pPr>
        <w:pStyle w:val="Heading2"/>
      </w:pPr>
      <w:r>
        <w:t xml:space="preserve">3. Definitions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ONESTAMP</w:t>
            </w:r>
          </w:p>
        </w:tc>
        <w:tc>
          <w:tcPr/>
          <w:p>
            <w:pPr>
              <w:pStyle w:val="Compact"/>
              <w:jc w:val="left"/>
            </w:pPr>
            <w:r>
              <w:t xml:space="preserve">The OAL convention for recording a recognition, authorization, or provenance act: what is recognized or authorized, by whom, over what object, under what scope, and with what exclusions.</w:t>
            </w:r>
          </w:p>
        </w:tc>
      </w:tr>
      <w:tr>
        <w:tc>
          <w:tcPr/>
          <w:p>
            <w:pPr>
              <w:pStyle w:val="Compact"/>
              <w:jc w:val="left"/>
            </w:pPr>
            <w:r>
              <w:rPr>
                <w:bCs/>
                <w:b/>
              </w:rPr>
              <w:t xml:space="preserve">Topic-level recognition</w:t>
            </w:r>
          </w:p>
        </w:tc>
        <w:tc>
          <w:tcPr/>
          <w:p>
            <w:pPr>
              <w:pStyle w:val="Compact"/>
              <w:jc w:val="left"/>
            </w:pPr>
            <w:r>
              <w:t xml:space="preserve">Acknowledgment that a named subject, framework, narrative element, research track, or body of work is part of OAL’s project corpus. Recognizes the subject as an ongoing, plural area of work; does not adopt or certify any specific claim within it.</w:t>
            </w:r>
          </w:p>
        </w:tc>
      </w:tr>
      <w:tr>
        <w:tc>
          <w:tcPr/>
          <w:p>
            <w:pPr>
              <w:pStyle w:val="Compact"/>
              <w:jc w:val="left"/>
            </w:pPr>
            <w:r>
              <w:rPr>
                <w:bCs/>
                <w:b/>
              </w:rPr>
              <w:t xml:space="preserve">Artifact-level review</w:t>
            </w:r>
          </w:p>
        </w:tc>
        <w:tc>
          <w:tcPr/>
          <w:p>
            <w:pPr>
              <w:pStyle w:val="Compact"/>
              <w:jc w:val="left"/>
            </w:pPr>
            <w:r>
              <w:t xml:space="preserve">Acknowledgment that a specific document, draft, or contribution has been looked at, received, and archived with attribution. Weaker than approval; does not mean the content was found correct or was adopted for use.</w:t>
            </w:r>
          </w:p>
        </w:tc>
      </w:tr>
      <w:tr>
        <w:tc>
          <w:tcPr/>
          <w:p>
            <w:pPr>
              <w:pStyle w:val="Compact"/>
              <w:jc w:val="left"/>
            </w:pPr>
            <w:r>
              <w:rPr>
                <w:bCs/>
                <w:b/>
              </w:rPr>
              <w:t xml:space="preserve">Decision-level authorization</w:t>
            </w:r>
          </w:p>
        </w:tc>
        <w:tc>
          <w:tcPr/>
          <w:p>
            <w:pPr>
              <w:pStyle w:val="Compact"/>
              <w:jc w:val="left"/>
            </w:pPr>
            <w:r>
              <w:t xml:space="preserve">A scoped act naming a specific action, method, release, test, or policy that OAL will proceed with, for a stated purpose and duration.</w:t>
            </w:r>
          </w:p>
        </w:tc>
      </w:tr>
      <w:tr>
        <w:tc>
          <w:tcPr/>
          <w:p>
            <w:pPr>
              <w:pStyle w:val="Compact"/>
              <w:jc w:val="left"/>
            </w:pPr>
            <w:r>
              <w:rPr>
                <w:bCs/>
                <w:b/>
              </w:rPr>
              <w:t xml:space="preserve">Contributor artifact</w:t>
            </w:r>
          </w:p>
        </w:tc>
        <w:tc>
          <w:tcPr/>
          <w:p>
            <w:pPr>
              <w:pStyle w:val="Compact"/>
              <w:jc w:val="left"/>
            </w:pPr>
            <w:r>
              <w:t xml:space="preserve">Any independently produced document, draft, response, critique, or proposal, attributable to a specific human or AI source, at a specific time.</w:t>
            </w:r>
          </w:p>
        </w:tc>
      </w:tr>
      <w:tr>
        <w:tc>
          <w:tcPr/>
          <w:p>
            <w:pPr>
              <w:pStyle w:val="Compact"/>
              <w:jc w:val="left"/>
            </w:pPr>
            <w:r>
              <w:rPr>
                <w:bCs/>
                <w:b/>
              </w:rPr>
              <w:t xml:space="preserve">Plural record</w:t>
            </w:r>
          </w:p>
        </w:tc>
        <w:tc>
          <w:tcPr/>
          <w:p>
            <w:pPr>
              <w:pStyle w:val="Compact"/>
              <w:jc w:val="left"/>
            </w:pPr>
            <w:r>
              <w:t xml:space="preserve">The complete set of contributor artifacts, decisions, dissents, corrections, and releases associated with a given topic or matter — understood as a living collection with no single</w:t>
            </w:r>
            <w:r>
              <w:t xml:space="preserve"> </w:t>
            </w:r>
            <w:r>
              <w:t xml:space="preserve">“</w:t>
            </w:r>
            <w:r>
              <w:t xml:space="preserve">master</w:t>
            </w:r>
            <w:r>
              <w:t xml:space="preserve">”</w:t>
            </w:r>
            <w:r>
              <w:t xml:space="preserve"> </w:t>
            </w:r>
            <w:r>
              <w:t xml:space="preserve">member.</w:t>
            </w:r>
          </w:p>
        </w:tc>
      </w:tr>
      <w:tr>
        <w:tc>
          <w:tcPr/>
          <w:p>
            <w:pPr>
              <w:pStyle w:val="Compact"/>
              <w:jc w:val="left"/>
            </w:pPr>
            <w:r>
              <w:rPr>
                <w:bCs/>
                <w:b/>
              </w:rPr>
              <w:t xml:space="preserve">Record validity</w:t>
            </w:r>
          </w:p>
        </w:tc>
        <w:tc>
          <w:tcPr/>
          <w:p>
            <w:pPr>
              <w:pStyle w:val="Compact"/>
              <w:jc w:val="left"/>
            </w:pPr>
            <w:r>
              <w:t xml:space="preserve">The status of an artifact as an authentic, attributed, preserved part of the project’s history. An artifact can be fully record-valid while the claims inside it are unverified or wrong.</w:t>
            </w:r>
          </w:p>
        </w:tc>
      </w:tr>
      <w:tr>
        <w:tc>
          <w:tcPr/>
          <w:p>
            <w:pPr>
              <w:pStyle w:val="Compact"/>
              <w:jc w:val="left"/>
            </w:pPr>
            <w:r>
              <w:rPr>
                <w:bCs/>
                <w:b/>
              </w:rPr>
              <w:t xml:space="preserve">Claim validity</w:t>
            </w:r>
          </w:p>
        </w:tc>
        <w:tc>
          <w:tcPr/>
          <w:p>
            <w:pPr>
              <w:pStyle w:val="Compact"/>
              <w:jc w:val="left"/>
            </w:pPr>
            <w:r>
              <w:t xml:space="preserve">The evidentiary standing of a specific factual, technical, legal, or operational assertion. Established or changed by evidence and argument — never by an ONESTAMP act alone.</w:t>
            </w:r>
          </w:p>
        </w:tc>
      </w:tr>
      <w:tr>
        <w:tc>
          <w:tcPr/>
          <w:p>
            <w:pPr>
              <w:pStyle w:val="Compact"/>
              <w:jc w:val="left"/>
            </w:pPr>
            <w:r>
              <w:rPr>
                <w:bCs/>
                <w:b/>
              </w:rPr>
              <w:t xml:space="preserve">Operational selection</w:t>
            </w:r>
          </w:p>
        </w:tc>
        <w:tc>
          <w:tcPr/>
          <w:p>
            <w:pPr>
              <w:pStyle w:val="Compact"/>
              <w:jc w:val="left"/>
            </w:pPr>
            <w:r>
              <w:t xml:space="preserve">A decision to use one approach, method, or artifact for a stated purpose, phase, or duration, without declaring the unselected alternatives invalid.</w:t>
            </w:r>
          </w:p>
        </w:tc>
      </w:tr>
      <w:tr>
        <w:tc>
          <w:tcPr/>
          <w:p>
            <w:pPr>
              <w:pStyle w:val="Compact"/>
              <w:jc w:val="left"/>
            </w:pPr>
            <w:r>
              <w:rPr>
                <w:bCs/>
                <w:b/>
              </w:rPr>
              <w:t xml:space="preserve">Scope</w:t>
            </w:r>
          </w:p>
        </w:tc>
        <w:tc>
          <w:tcPr/>
          <w:p>
            <w:pPr>
              <w:pStyle w:val="Compact"/>
              <w:jc w:val="left"/>
            </w:pPr>
            <w:r>
              <w:t xml:space="preserve">The stated boundary of what an authorization act covers: the object, the purpose, the duration, and — just as importantly — what is explicitly excluded.</w:t>
            </w:r>
          </w:p>
        </w:tc>
      </w:tr>
      <w:tr>
        <w:tc>
          <w:tcPr/>
          <w:p>
            <w:pPr>
              <w:pStyle w:val="Compact"/>
              <w:jc w:val="left"/>
            </w:pPr>
            <w:r>
              <w:rPr>
                <w:bCs/>
                <w:b/>
              </w:rPr>
              <w:t xml:space="preserve">Dissent</w:t>
            </w:r>
          </w:p>
        </w:tc>
        <w:tc>
          <w:tcPr/>
          <w:p>
            <w:pPr>
              <w:pStyle w:val="Compact"/>
              <w:jc w:val="left"/>
            </w:pPr>
            <w:r>
              <w:t xml:space="preserve">A preserved, attributed objection, reservation, or alternative position, linked to the specific decision or claim it addresses. Treated as project information, not as a defeated position to be discarded.</w:t>
            </w:r>
          </w:p>
        </w:tc>
      </w:tr>
      <w:tr>
        <w:tc>
          <w:tcPr/>
          <w:p>
            <w:pPr>
              <w:pStyle w:val="Compact"/>
              <w:jc w:val="left"/>
            </w:pPr>
            <w:r>
              <w:rPr>
                <w:bCs/>
                <w:b/>
              </w:rPr>
              <w:t xml:space="preserve">Successor record</w:t>
            </w:r>
          </w:p>
        </w:tc>
        <w:tc>
          <w:tcPr/>
          <w:p>
            <w:pPr>
              <w:pStyle w:val="Compact"/>
              <w:jc w:val="left"/>
            </w:pPr>
            <w:r>
              <w:t xml:space="preserve">A later record that changes what happens going forward (clarifying, narrowing, correcting, retiring, or replacing an earlier decision’s operational effect) without deleting or rewriting the earlier record.</w:t>
            </w:r>
          </w:p>
        </w:tc>
      </w:tr>
      <w:tr>
        <w:tc>
          <w:tcPr/>
          <w:p>
            <w:pPr>
              <w:pStyle w:val="Compact"/>
              <w:jc w:val="left"/>
            </w:pPr>
            <w:r>
              <w:rPr>
                <w:bCs/>
                <w:b/>
              </w:rPr>
              <w:t xml:space="preserve">Supersession</w:t>
            </w:r>
          </w:p>
        </w:tc>
        <w:tc>
          <w:tcPr/>
          <w:p>
            <w:pPr>
              <w:pStyle w:val="Compact"/>
              <w:jc w:val="left"/>
            </w:pPr>
            <w:r>
              <w:t xml:space="preserve">The act of a successor record displacing an earlier decision’s operational effect, for a stated scope and from a stated effective date. Supersession is never assumed; it must be declared.</w:t>
            </w:r>
          </w:p>
        </w:tc>
      </w:tr>
      <w:tr>
        <w:tc>
          <w:tcPr/>
          <w:p>
            <w:pPr>
              <w:pStyle w:val="Compact"/>
              <w:jc w:val="left"/>
            </w:pPr>
            <w:r>
              <w:rPr>
                <w:bCs/>
                <w:b/>
              </w:rPr>
              <w:t xml:space="preserve">Global supersession</w:t>
            </w:r>
          </w:p>
        </w:tc>
        <w:tc>
          <w:tcPr/>
          <w:p>
            <w:pPr>
              <w:pStyle w:val="Compact"/>
              <w:jc w:val="left"/>
            </w:pPr>
            <w:r>
              <w:t xml:space="preserve">A claim that one record replaces</w:t>
            </w:r>
            <w:r>
              <w:t xml:space="preserve"> </w:t>
            </w:r>
            <w:r>
              <w:rPr>
                <w:iCs/>
                <w:i/>
              </w:rPr>
              <w:t xml:space="preserve">all</w:t>
            </w:r>
            <w:r>
              <w:t xml:space="preserve"> </w:t>
            </w:r>
            <w:r>
              <w:t xml:space="preserve">others for</w:t>
            </w:r>
            <w:r>
              <w:t xml:space="preserve"> </w:t>
            </w:r>
            <w:r>
              <w:rPr>
                <w:iCs/>
                <w:i/>
              </w:rPr>
              <w:t xml:space="preserve">all</w:t>
            </w:r>
            <w:r>
              <w:t xml:space="preserve"> </w:t>
            </w:r>
            <w:r>
              <w:t xml:space="preserve">purposes. Prohibited by default under this convention; only achievable by an explicit, individually justified authorization act naming exactly that effect.</w:t>
            </w:r>
          </w:p>
        </w:tc>
      </w:tr>
      <w:tr>
        <w:tc>
          <w:tcPr/>
          <w:p>
            <w:pPr>
              <w:pStyle w:val="Compact"/>
              <w:jc w:val="left"/>
            </w:pPr>
            <w:r>
              <w:rPr>
                <w:bCs/>
                <w:b/>
              </w:rPr>
              <w:t xml:space="preserve">The Architect</w:t>
            </w:r>
          </w:p>
        </w:tc>
        <w:tc>
          <w:tcPr/>
          <w:p>
            <w:pPr>
              <w:pStyle w:val="Compact"/>
              <w:jc w:val="left"/>
            </w:pPr>
            <w:r>
              <w:t xml:space="preserve">Nathan Lewis II, who holds final OAL decision authority unless he explicitly delegates a bounded portion of it.</w:t>
            </w:r>
          </w:p>
        </w:tc>
      </w:tr>
    </w:tbl>
    <w:p>
      <w:r>
        <w:pict>
          <v:rect style="width:0;height:1.5pt" o:hralign="center" o:hrstd="t" o:hr="t"/>
        </w:pict>
      </w:r>
    </w:p>
    <w:bookmarkEnd w:id="26"/>
    <w:bookmarkStart w:id="27" w:name="governance-principles"/>
    <w:p>
      <w:pPr>
        <w:pStyle w:val="Heading2"/>
      </w:pPr>
      <w:r>
        <w:t xml:space="preserve">4. Governance Principles</w:t>
      </w:r>
    </w:p>
    <w:p>
      <w:pPr>
        <w:pStyle w:val="FirstParagraph"/>
      </w:pPr>
      <w:r>
        <w:rPr>
          <w:bCs/>
          <w:b/>
        </w:rPr>
        <w:t xml:space="preserve">4.1 Plurality.</w:t>
      </w:r>
      <w:r>
        <w:t xml:space="preserve"> </w:t>
      </w:r>
      <w:r>
        <w:t xml:space="preserve">More than one human or AI contribution on the same topic may exist, disagree, and remain simultaneously valid as records. Contradiction between two artifacts is not evidence that one of them must be wrong or discarded — it is simply two people (or two systems) thinking independently, which is what was asked of them.</w:t>
      </w:r>
    </w:p>
    <w:p>
      <w:pPr>
        <w:pStyle w:val="BodyText"/>
      </w:pPr>
      <w:r>
        <w:rPr>
          <w:bCs/>
          <w:b/>
        </w:rPr>
        <w:t xml:space="preserve">4.2 Non-dominance.</w:t>
      </w:r>
      <w:r>
        <w:t xml:space="preserve"> </w:t>
      </w:r>
      <w:r>
        <w:t xml:space="preserve">No authorization act, by itself, makes one contributor, document, wording, or theory globally superior to the others addressing the same subject. Superiority on a specific point is something evidence and argument can establish; a stamp cannot manufacture it.</w:t>
      </w:r>
    </w:p>
    <w:p>
      <w:pPr>
        <w:pStyle w:val="BodyText"/>
      </w:pPr>
      <w:r>
        <w:rPr>
          <w:bCs/>
          <w:b/>
        </w:rPr>
        <w:t xml:space="preserve">4.3 Non-erasure.</w:t>
      </w:r>
      <w:r>
        <w:t xml:space="preserve"> </w:t>
      </w:r>
      <w:r>
        <w:t xml:space="preserve">Correcting, retiring, or superseding a record changes what happens next. It does not delete the record of what was said before, who said it, or what the state of the project was when it was said. History does not get rewritten to look tidier in hindsight.</w:t>
      </w:r>
    </w:p>
    <w:p>
      <w:pPr>
        <w:pStyle w:val="BodyText"/>
      </w:pPr>
      <w:r>
        <w:rPr>
          <w:bCs/>
          <w:b/>
        </w:rPr>
        <w:t xml:space="preserve">4.4 No implied consensus.</w:t>
      </w:r>
      <w:r>
        <w:t xml:space="preserve"> </w:t>
      </w:r>
      <w:r>
        <w:t xml:space="preserve">An ONESTAMP act never means, by itself, that every contributor agreed, that every claim in the stamped material was checked, or that no objection exists. If a record needs to say those things, it has to say them explicitly and show its basis for doing so.</w:t>
      </w:r>
    </w:p>
    <w:p>
      <w:pPr>
        <w:pStyle w:val="BodyText"/>
      </w:pPr>
      <w:r>
        <w:rPr>
          <w:bCs/>
          <w:b/>
        </w:rPr>
        <w:t xml:space="preserve">4.5 Scoped decision-making.</w:t>
      </w:r>
      <w:r>
        <w:t xml:space="preserve"> </w:t>
      </w:r>
      <w:r>
        <w:t xml:space="preserve">OAL can select one approach for one stated purpose without that selection reaching any further. A 30-day test of Method A does not retire Method B; it just means Method A is what is running for those 30 days.</w:t>
      </w:r>
    </w:p>
    <w:p>
      <w:pPr>
        <w:pStyle w:val="BodyText"/>
      </w:pPr>
      <w:r>
        <w:rPr>
          <w:bCs/>
          <w:b/>
        </w:rPr>
        <w:t xml:space="preserve">4.6 Separation of record validity and claim validity.</w:t>
      </w:r>
      <w:r>
        <w:t xml:space="preserve"> </w:t>
      </w:r>
      <w:r>
        <w:t xml:space="preserve">A document remains a legitimate historical record of what someone proposed even if the proposal is later shown to be wrong, incomplete, or was never checked in the first place. Being wrong does not make a document not have existed.</w:t>
      </w:r>
    </w:p>
    <w:p>
      <w:pPr>
        <w:pStyle w:val="BodyText"/>
      </w:pPr>
      <w:r>
        <w:rPr>
          <w:bCs/>
          <w:b/>
        </w:rPr>
        <w:t xml:space="preserve">4.7 Attribution integrity.</w:t>
      </w:r>
      <w:r>
        <w:t xml:space="preserve"> </w:t>
      </w:r>
      <w:r>
        <w:t xml:space="preserve">When material from multiple sources is compared, summarized, or built upon, the origin of each idea has to stay visible. A synthesis is not allowed to sound like one voice when it is actually reporting on several.</w:t>
      </w:r>
    </w:p>
    <w:p>
      <w:pPr>
        <w:pStyle w:val="BodyText"/>
      </w:pPr>
      <w:r>
        <w:rPr>
          <w:bCs/>
          <w:b/>
        </w:rPr>
        <w:t xml:space="preserve">4.8 Append-oriented governance.</w:t>
      </w:r>
      <w:r>
        <w:t xml:space="preserve"> </w:t>
      </w:r>
      <w:r>
        <w:t xml:space="preserve">New records are how OAL corrects course — by adding a correction, a successor, or a retirement notice — not by editing the past to remove what turned out to be wrong or superseded.</w:t>
      </w:r>
    </w:p>
    <w:p>
      <w:pPr>
        <w:pStyle w:val="BodyText"/>
      </w:pPr>
      <w:r>
        <w:rPr>
          <w:bCs/>
          <w:b/>
        </w:rPr>
        <w:t xml:space="preserve">4.9 Narrow interpretation of ambiguity.</w:t>
      </w:r>
      <w:r>
        <w:t xml:space="preserve"> </w:t>
      </w:r>
      <w:r>
        <w:t xml:space="preserve">When it is unclear how far an authorization was meant to reach, the reading that changes the least wins: preserve records, don’t infer agreement that wasn’t stated, don’t infer that anything was replaced, and authorize only what was clearly said.</w:t>
      </w:r>
    </w:p>
    <w:p>
      <w:pPr>
        <w:pStyle w:val="BodyText"/>
      </w:pPr>
      <w:r>
        <w:rPr>
          <w:bCs/>
          <w:b/>
        </w:rPr>
        <w:t xml:space="preserve">4.10 Authority is not monopoly.</w:t>
      </w:r>
      <w:r>
        <w:t xml:space="preserve"> </w:t>
      </w:r>
      <w:r>
        <w:t xml:space="preserve">The Architect’s decision authority determines what OAL does next. It does not, by itself, make the Architect the author of contributions he didn’t write, the sole interpreter of what a document means, or a certifier of facts he hasn’t personally checked. Section 4.11 separates these explicitly.</w:t>
      </w:r>
    </w:p>
    <w:p>
      <w:pPr>
        <w:pStyle w:val="BodyText"/>
      </w:pPr>
      <w:r>
        <w:rPr>
          <w:bCs/>
          <w:b/>
        </w:rPr>
        <w:t xml:space="preserve">4.11 Five kinds of authority, kept apart.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Authority</w:t>
            </w:r>
          </w:p>
        </w:tc>
        <w:tc>
          <w:tcPr/>
          <w:p>
            <w:pPr>
              <w:pStyle w:val="Compact"/>
              <w:jc w:val="left"/>
            </w:pPr>
            <w:r>
              <w:t xml:space="preserve">Belongs to</w:t>
            </w:r>
          </w:p>
        </w:tc>
        <w:tc>
          <w:tcPr/>
          <w:p>
            <w:pPr>
              <w:pStyle w:val="Compact"/>
              <w:jc w:val="left"/>
            </w:pPr>
            <w:r>
              <w:t xml:space="preserve">Governs</w:t>
            </w:r>
          </w:p>
        </w:tc>
      </w:tr>
      <w:tr>
        <w:tc>
          <w:tcPr/>
          <w:p>
            <w:pPr>
              <w:pStyle w:val="Compact"/>
              <w:jc w:val="left"/>
            </w:pPr>
            <w:r>
              <w:t xml:space="preserve">Authorship</w:t>
            </w:r>
          </w:p>
        </w:tc>
        <w:tc>
          <w:tcPr/>
          <w:p>
            <w:pPr>
              <w:pStyle w:val="Compact"/>
              <w:jc w:val="left"/>
            </w:pPr>
            <w:r>
              <w:t xml:space="preserve">The person or system that produced the material</w:t>
            </w:r>
          </w:p>
        </w:tc>
        <w:tc>
          <w:tcPr/>
          <w:p>
            <w:pPr>
              <w:pStyle w:val="Compact"/>
              <w:jc w:val="left"/>
            </w:pPr>
            <w:r>
              <w:t xml:space="preserve">Attribution and credit for that specific contribution</w:t>
            </w:r>
          </w:p>
        </w:tc>
      </w:tr>
      <w:tr>
        <w:tc>
          <w:tcPr/>
          <w:p>
            <w:pPr>
              <w:pStyle w:val="Compact"/>
              <w:jc w:val="left"/>
            </w:pPr>
            <w:r>
              <w:t xml:space="preserve">Interpretation</w:t>
            </w:r>
          </w:p>
        </w:tc>
        <w:tc>
          <w:tcPr/>
          <w:p>
            <w:pPr>
              <w:pStyle w:val="Compact"/>
              <w:jc w:val="left"/>
            </w:pPr>
            <w:r>
              <w:t xml:space="preserve">Plural, by default</w:t>
            </w:r>
          </w:p>
        </w:tc>
        <w:tc>
          <w:tcPr/>
          <w:p>
            <w:pPr>
              <w:pStyle w:val="Compact"/>
              <w:jc w:val="left"/>
            </w:pPr>
            <w:r>
              <w:t xml:space="preserve">What a contribution means, implies, or is worth — reasonable people and systems may differ</w:t>
            </w:r>
          </w:p>
        </w:tc>
      </w:tr>
      <w:tr>
        <w:tc>
          <w:tcPr/>
          <w:p>
            <w:pPr>
              <w:pStyle w:val="Compact"/>
              <w:jc w:val="left"/>
            </w:pPr>
            <w:r>
              <w:t xml:space="preserve">Evidence</w:t>
            </w:r>
          </w:p>
        </w:tc>
        <w:tc>
          <w:tcPr/>
          <w:p>
            <w:pPr>
              <w:pStyle w:val="Compact"/>
              <w:jc w:val="left"/>
            </w:pPr>
            <w:r>
              <w:t xml:space="preserve">Whatever the facts and testing actually show</w:t>
            </w:r>
          </w:p>
        </w:tc>
        <w:tc>
          <w:tcPr/>
          <w:p>
            <w:pPr>
              <w:pStyle w:val="Compact"/>
              <w:jc w:val="left"/>
            </w:pPr>
            <w:r>
              <w:t xml:space="preserve">Whether a claim holds up — unaffected by who said it or whether the topic is stamped</w:t>
            </w:r>
          </w:p>
        </w:tc>
      </w:tr>
      <w:tr>
        <w:tc>
          <w:tcPr/>
          <w:p>
            <w:pPr>
              <w:pStyle w:val="Compact"/>
              <w:jc w:val="left"/>
            </w:pPr>
            <w:r>
              <w:t xml:space="preserve">Decision</w:t>
            </w:r>
          </w:p>
        </w:tc>
        <w:tc>
          <w:tcPr/>
          <w:p>
            <w:pPr>
              <w:pStyle w:val="Compact"/>
              <w:jc w:val="left"/>
            </w:pPr>
            <w:r>
              <w:t xml:space="preserve">The Architect, or an explicit delegate</w:t>
            </w:r>
          </w:p>
        </w:tc>
        <w:tc>
          <w:tcPr/>
          <w:p>
            <w:pPr>
              <w:pStyle w:val="Compact"/>
              <w:jc w:val="left"/>
            </w:pPr>
            <w:r>
              <w:t xml:space="preserve">What OAL does next, and under what scope</w:t>
            </w:r>
          </w:p>
        </w:tc>
      </w:tr>
      <w:tr>
        <w:tc>
          <w:tcPr/>
          <w:p>
            <w:pPr>
              <w:pStyle w:val="Compact"/>
              <w:jc w:val="left"/>
            </w:pPr>
            <w:r>
              <w:t xml:space="preserve">Repository</w:t>
            </w:r>
          </w:p>
        </w:tc>
        <w:tc>
          <w:tcPr/>
          <w:p>
            <w:pPr>
              <w:pStyle w:val="Compact"/>
              <w:jc w:val="left"/>
            </w:pPr>
            <w:r>
              <w:t xml:space="preserve">Whoever administers the archive</w:t>
            </w:r>
          </w:p>
        </w:tc>
        <w:tc>
          <w:tcPr/>
          <w:p>
            <w:pPr>
              <w:pStyle w:val="Compact"/>
              <w:jc w:val="left"/>
            </w:pPr>
            <w:r>
              <w:t xml:space="preserve">Where things are stored and how they’re organized — not what they mean or whether they’re true</w:t>
            </w:r>
          </w:p>
        </w:tc>
      </w:tr>
    </w:tbl>
    <w:p>
      <w:pPr>
        <w:pStyle w:val="BodyText"/>
      </w:pPr>
      <w:r>
        <w:t xml:space="preserve">Collapsing these into one undifferentiated idea of</w:t>
      </w:r>
      <w:r>
        <w:t xml:space="preserve"> </w:t>
      </w:r>
      <w:r>
        <w:t xml:space="preserve">“</w:t>
      </w:r>
      <w:r>
        <w:t xml:space="preserve">approval</w:t>
      </w:r>
      <w:r>
        <w:t xml:space="preserve">”</w:t>
      </w:r>
      <w:r>
        <w:t xml:space="preserve"> </w:t>
      </w:r>
      <w:r>
        <w:t xml:space="preserve">is the single most common way governance conventions like this one quietly turn into version monopolies. This document is built specifically to keep them apart.</w:t>
      </w:r>
    </w:p>
    <w:p>
      <w:r>
        <w:pict>
          <v:rect style="width:0;height:1.5pt" o:hralign="center" o:hrstd="t" o:hr="t"/>
        </w:pict>
      </w:r>
    </w:p>
    <w:bookmarkEnd w:id="27"/>
    <w:bookmarkStart w:id="28" w:name="authorization-acts"/>
    <w:p>
      <w:pPr>
        <w:pStyle w:val="Heading2"/>
      </w:pPr>
      <w:r>
        <w:t xml:space="preserve">5. Authorization Acts</w:t>
      </w:r>
    </w:p>
    <w:p>
      <w:pPr>
        <w:pStyle w:val="FirstParagraph"/>
      </w:pPr>
      <w:r>
        <w:t xml:space="preserve">Rather than one word (</w:t>
      </w:r>
      <w:r>
        <w:t xml:space="preserve">“</w:t>
      </w:r>
      <w:r>
        <w:t xml:space="preserve">approved</w:t>
      </w:r>
      <w:r>
        <w:t xml:space="preserve">”</w:t>
      </w:r>
      <w:r>
        <w:t xml:space="preserve">) doing every job, ONESTAMP defines ten discrete acts. Each authorization record must name which act (or acts) it is performing. Every act specifies its</w:t>
      </w:r>
      <w:r>
        <w:t xml:space="preserve"> </w:t>
      </w:r>
      <w:r>
        <w:rPr>
          <w:bCs/>
          <w:b/>
        </w:rPr>
        <w:t xml:space="preserve">object</w:t>
      </w:r>
      <w:r>
        <w:t xml:space="preserve">,</w:t>
      </w:r>
      <w:r>
        <w:t xml:space="preserve"> </w:t>
      </w:r>
      <w:r>
        <w:rPr>
          <w:bCs/>
          <w:b/>
        </w:rPr>
        <w:t xml:space="preserve">effect</w:t>
      </w:r>
      <w:r>
        <w:t xml:space="preserve">,</w:t>
      </w:r>
      <w:r>
        <w:t xml:space="preserve"> </w:t>
      </w:r>
      <w:r>
        <w:rPr>
          <w:bCs/>
          <w:b/>
        </w:rPr>
        <w:t xml:space="preserve">exclusions</w:t>
      </w:r>
      <w:r>
        <w:t xml:space="preserve">,</w:t>
      </w:r>
      <w:r>
        <w:t xml:space="preserve"> </w:t>
      </w:r>
      <w:r>
        <w:rPr>
          <w:bCs/>
          <w:b/>
        </w:rPr>
        <w:t xml:space="preserve">authority</w:t>
      </w:r>
      <w:r>
        <w:t xml:space="preserve">,</w:t>
      </w:r>
      <w:r>
        <w:t xml:space="preserve"> </w:t>
      </w:r>
      <w:r>
        <w:rPr>
          <w:bCs/>
          <w:b/>
        </w:rPr>
        <w:t xml:space="preserve">effective time</w:t>
      </w:r>
      <w:r>
        <w:t xml:space="preserve">, and, where relevant, a</w:t>
      </w:r>
      <w:r>
        <w:t xml:space="preserve"> </w:t>
      </w:r>
      <w:r>
        <w:rPr>
          <w:bCs/>
          <w:b/>
        </w:rPr>
        <w:t xml:space="preserve">revisit condition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w:t>
            </w:r>
          </w:p>
        </w:tc>
        <w:tc>
          <w:tcPr/>
          <w:p>
            <w:pPr>
              <w:pStyle w:val="Compact"/>
              <w:jc w:val="left"/>
            </w:pPr>
            <w:r>
              <w:t xml:space="preserve">What it does</w:t>
            </w:r>
          </w:p>
        </w:tc>
        <w:tc>
          <w:tcPr/>
          <w:p>
            <w:pPr>
              <w:pStyle w:val="Compact"/>
              <w:jc w:val="left"/>
            </w:pPr>
            <w:r>
              <w:t xml:space="preserve">What it explicitly does not do</w:t>
            </w:r>
          </w:p>
        </w:tc>
      </w:tr>
      <w:tr>
        <w:tc>
          <w:tcPr/>
          <w:p>
            <w:pPr>
              <w:pStyle w:val="Compact"/>
              <w:jc w:val="left"/>
            </w:pPr>
            <w:r>
              <w:rPr>
                <w:bCs/>
                <w:b/>
              </w:rPr>
              <w:t xml:space="preserve">NOTICE</w:t>
            </w:r>
          </w:p>
        </w:tc>
        <w:tc>
          <w:tcPr/>
          <w:p>
            <w:pPr>
              <w:pStyle w:val="Compact"/>
              <w:jc w:val="left"/>
            </w:pPr>
            <w:r>
              <w:t xml:space="preserve">Recognizes a named topic as part of OAL’s body of work</w:t>
            </w:r>
          </w:p>
        </w:tc>
        <w:tc>
          <w:tcPr/>
          <w:p>
            <w:pPr>
              <w:pStyle w:val="Compact"/>
              <w:jc w:val="left"/>
            </w:pPr>
            <w:r>
              <w:t xml:space="preserve">Does not adopt, certify, or endorse any specific claim inside any artifact under that topic</w:t>
            </w:r>
          </w:p>
        </w:tc>
      </w:tr>
      <w:tr>
        <w:tc>
          <w:tcPr/>
          <w:p>
            <w:pPr>
              <w:pStyle w:val="Compact"/>
              <w:jc w:val="left"/>
            </w:pPr>
            <w:r>
              <w:rPr>
                <w:bCs/>
                <w:b/>
              </w:rPr>
              <w:t xml:space="preserve">HOLD</w:t>
            </w:r>
          </w:p>
        </w:tc>
        <w:tc>
          <w:tcPr/>
          <w:p>
            <w:pPr>
              <w:pStyle w:val="Compact"/>
              <w:jc w:val="left"/>
            </w:pPr>
            <w:r>
              <w:t xml:space="preserve">Requires an artifact, draft, dissent, or prior version to remain in the archive</w:t>
            </w:r>
          </w:p>
        </w:tc>
        <w:tc>
          <w:tcPr/>
          <w:p>
            <w:pPr>
              <w:pStyle w:val="Compact"/>
              <w:jc w:val="left"/>
            </w:pPr>
            <w:r>
              <w:t xml:space="preserve">Does not evaluate the artifact’s accuracy or usefulness</w:t>
            </w:r>
          </w:p>
        </w:tc>
      </w:tr>
      <w:tr>
        <w:tc>
          <w:tcPr/>
          <w:p>
            <w:pPr>
              <w:pStyle w:val="Compact"/>
              <w:jc w:val="left"/>
            </w:pPr>
            <w:r>
              <w:rPr>
                <w:bCs/>
                <w:b/>
              </w:rPr>
              <w:t xml:space="preserve">REVIEW</w:t>
            </w:r>
          </w:p>
        </w:tc>
        <w:tc>
          <w:tcPr/>
          <w:p>
            <w:pPr>
              <w:pStyle w:val="Compact"/>
              <w:jc w:val="left"/>
            </w:pPr>
            <w:r>
              <w:t xml:space="preserve">Records that an artifact was read and received, with attribution</w:t>
            </w:r>
          </w:p>
        </w:tc>
        <w:tc>
          <w:tcPr/>
          <w:p>
            <w:pPr>
              <w:pStyle w:val="Compact"/>
              <w:jc w:val="left"/>
            </w:pPr>
            <w:r>
              <w:t xml:space="preserve">Does not mean it was found correct, adopted, or endorsed</w:t>
            </w:r>
          </w:p>
        </w:tc>
      </w:tr>
      <w:tr>
        <w:tc>
          <w:tcPr/>
          <w:p>
            <w:pPr>
              <w:pStyle w:val="Compact"/>
              <w:jc w:val="left"/>
            </w:pPr>
            <w:r>
              <w:rPr>
                <w:bCs/>
                <w:b/>
              </w:rPr>
              <w:t xml:space="preserve">WEIGH</w:t>
            </w:r>
          </w:p>
        </w:tc>
        <w:tc>
          <w:tcPr/>
          <w:p>
            <w:pPr>
              <w:pStyle w:val="Compact"/>
              <w:jc w:val="left"/>
            </w:pPr>
            <w:r>
              <w:t xml:space="preserve">Evaluates the factual, technical, legal, or operational standing of a specific claim</w:t>
            </w:r>
          </w:p>
        </w:tc>
        <w:tc>
          <w:tcPr/>
          <w:p>
            <w:pPr>
              <w:pStyle w:val="Compact"/>
              <w:jc w:val="left"/>
            </w:pPr>
            <w:r>
              <w:t xml:space="preserve">Does not authorize any action based on that claim by itself</w:t>
            </w:r>
          </w:p>
        </w:tc>
      </w:tr>
      <w:tr>
        <w:tc>
          <w:tcPr/>
          <w:p>
            <w:pPr>
              <w:pStyle w:val="Compact"/>
              <w:jc w:val="left"/>
            </w:pPr>
            <w:r>
              <w:rPr>
                <w:bCs/>
                <w:b/>
              </w:rPr>
              <w:t xml:space="preserve">SELECT</w:t>
            </w:r>
          </w:p>
        </w:tc>
        <w:tc>
          <w:tcPr/>
          <w:p>
            <w:pPr>
              <w:pStyle w:val="Compact"/>
              <w:jc w:val="left"/>
            </w:pPr>
            <w:r>
              <w:t xml:space="preserve">Chooses one approach, method, or artifact for a stated purpose, phase, or duration</w:t>
            </w:r>
          </w:p>
        </w:tc>
        <w:tc>
          <w:tcPr/>
          <w:p>
            <w:pPr>
              <w:pStyle w:val="Compact"/>
              <w:jc w:val="left"/>
            </w:pPr>
            <w:r>
              <w:t xml:space="preserve">Does not invalidate unselected alternatives outside that stated purpose</w:t>
            </w:r>
          </w:p>
        </w:tc>
      </w:tr>
      <w:tr>
        <w:tc>
          <w:tcPr/>
          <w:p>
            <w:pPr>
              <w:pStyle w:val="Compact"/>
              <w:jc w:val="left"/>
            </w:pPr>
            <w:r>
              <w:rPr>
                <w:bCs/>
                <w:b/>
              </w:rPr>
              <w:t xml:space="preserve">TEST</w:t>
            </w:r>
          </w:p>
        </w:tc>
        <w:tc>
          <w:tcPr/>
          <w:p>
            <w:pPr>
              <w:pStyle w:val="Compact"/>
              <w:jc w:val="left"/>
            </w:pPr>
            <w:r>
              <w:t xml:space="preserve">Authorizes a time-boxed or condition-boxed experiment, pilot, or exercise</w:t>
            </w:r>
          </w:p>
        </w:tc>
        <w:tc>
          <w:tcPr/>
          <w:p>
            <w:pPr>
              <w:pStyle w:val="Compact"/>
              <w:jc w:val="left"/>
            </w:pPr>
            <w:r>
              <w:t xml:space="preserve">Does not adopt the tested method beyond the stated test window without a further act</w:t>
            </w:r>
          </w:p>
        </w:tc>
      </w:tr>
      <w:tr>
        <w:tc>
          <w:tcPr/>
          <w:p>
            <w:pPr>
              <w:pStyle w:val="Compact"/>
              <w:jc w:val="left"/>
            </w:pPr>
            <w:r>
              <w:rPr>
                <w:bCs/>
                <w:b/>
              </w:rPr>
              <w:t xml:space="preserve">ADOPT</w:t>
            </w:r>
          </w:p>
        </w:tc>
        <w:tc>
          <w:tcPr/>
          <w:p>
            <w:pPr>
              <w:pStyle w:val="Compact"/>
              <w:jc w:val="left"/>
            </w:pPr>
            <w:r>
              <w:t xml:space="preserve">Makes a rule, method, framework, or policy operative for a named scope going forward</w:t>
            </w:r>
          </w:p>
        </w:tc>
        <w:tc>
          <w:tcPr/>
          <w:p>
            <w:pPr>
              <w:pStyle w:val="Compact"/>
              <w:jc w:val="left"/>
            </w:pPr>
            <w:r>
              <w:t xml:space="preserve">Does not retroactively apply to prior work, and does not extend beyond the named scope without a further act</w:t>
            </w:r>
          </w:p>
        </w:tc>
      </w:tr>
      <w:tr>
        <w:tc>
          <w:tcPr/>
          <w:p>
            <w:pPr>
              <w:pStyle w:val="Compact"/>
              <w:jc w:val="left"/>
            </w:pPr>
            <w:r>
              <w:rPr>
                <w:bCs/>
                <w:b/>
              </w:rPr>
              <w:t xml:space="preserve">RELEASE</w:t>
            </w:r>
          </w:p>
        </w:tc>
        <w:tc>
          <w:tcPr/>
          <w:p>
            <w:pPr>
              <w:pStyle w:val="Compact"/>
              <w:jc w:val="left"/>
            </w:pPr>
            <w:r>
              <w:t xml:space="preserve">Authorizes publication or distribution to a stated channel (e.g., GitHub)</w:t>
            </w:r>
          </w:p>
        </w:tc>
        <w:tc>
          <w:tcPr/>
          <w:p>
            <w:pPr>
              <w:pStyle w:val="Compact"/>
              <w:jc w:val="left"/>
            </w:pPr>
            <w:r>
              <w:t xml:space="preserve">Does not mean everything released is thereby adopted, certified, or made canon</w:t>
            </w:r>
          </w:p>
        </w:tc>
      </w:tr>
      <w:tr>
        <w:tc>
          <w:tcPr/>
          <w:p>
            <w:pPr>
              <w:pStyle w:val="Compact"/>
              <w:jc w:val="left"/>
            </w:pPr>
            <w:r>
              <w:rPr>
                <w:bCs/>
                <w:b/>
              </w:rPr>
              <w:t xml:space="preserve">AMEND</w:t>
            </w:r>
          </w:p>
        </w:tc>
        <w:tc>
          <w:tcPr/>
          <w:p>
            <w:pPr>
              <w:pStyle w:val="Compact"/>
              <w:jc w:val="left"/>
            </w:pPr>
            <w:r>
              <w:t xml:space="preserve">Corrects, retires, or scopes the supersession of an earlier record</w:t>
            </w:r>
          </w:p>
        </w:tc>
        <w:tc>
          <w:tcPr/>
          <w:p>
            <w:pPr>
              <w:pStyle w:val="Compact"/>
              <w:jc w:val="left"/>
            </w:pPr>
            <w:r>
              <w:t xml:space="preserve">Does not delete, hide, or rewrite the earlier record; the earlier record remains readable in its historical context</w:t>
            </w:r>
          </w:p>
        </w:tc>
      </w:tr>
      <w:tr>
        <w:tc>
          <w:tcPr/>
          <w:p>
            <w:pPr>
              <w:pStyle w:val="Compact"/>
              <w:jc w:val="left"/>
            </w:pPr>
            <w:r>
              <w:rPr>
                <w:bCs/>
                <w:b/>
              </w:rPr>
              <w:t xml:space="preserve">DELEGATE</w:t>
            </w:r>
          </w:p>
        </w:tc>
        <w:tc>
          <w:tcPr/>
          <w:p>
            <w:pPr>
              <w:pStyle w:val="Compact"/>
              <w:jc w:val="left"/>
            </w:pPr>
            <w:r>
              <w:t xml:space="preserve">Grants a defined person, team, or system bounded authority over a specific decision type</w:t>
            </w:r>
          </w:p>
        </w:tc>
        <w:tc>
          <w:tcPr/>
          <w:p>
            <w:pPr>
              <w:pStyle w:val="Compact"/>
              <w:jc w:val="left"/>
            </w:pPr>
            <w:r>
              <w:t xml:space="preserve">Does not transfer the Architect’s overall decision authority, and expires or narrows exactly as stated</w:t>
            </w:r>
          </w:p>
        </w:tc>
      </w:tr>
    </w:tbl>
    <w:p>
      <w:pPr>
        <w:pStyle w:val="BodyText"/>
      </w:pPr>
      <w:r>
        <w:t xml:space="preserve">An authorization record may combine acts (for example, a single release record might perform both</w:t>
      </w:r>
      <w:r>
        <w:t xml:space="preserve"> </w:t>
      </w:r>
      <w:r>
        <w:rPr>
          <w:bCs/>
          <w:b/>
        </w:rPr>
        <w:t xml:space="preserve">SELECT</w:t>
      </w:r>
      <w:r>
        <w:t xml:space="preserve"> </w:t>
      </w:r>
      <w:r>
        <w:t xml:space="preserve">and</w:t>
      </w:r>
      <w:r>
        <w:t xml:space="preserve"> </w:t>
      </w:r>
      <w:r>
        <w:rPr>
          <w:bCs/>
          <w:b/>
        </w:rPr>
        <w:t xml:space="preserve">RELEASE</w:t>
      </w:r>
      <w:r>
        <w:t xml:space="preserve">), but each act performed must still be named and scoped individually —</w:t>
      </w:r>
      <w:r>
        <w:t xml:space="preserve"> </w:t>
      </w:r>
      <w:r>
        <w:t xml:space="preserve">“</w:t>
      </w:r>
      <w:r>
        <w:t xml:space="preserve">approved</w:t>
      </w:r>
      <w:r>
        <w:t xml:space="preserve">”</w:t>
      </w:r>
      <w:r>
        <w:t xml:space="preserve"> </w:t>
      </w:r>
      <w:r>
        <w:t xml:space="preserve">alone is never an adequate description of what happened.</w:t>
      </w:r>
    </w:p>
    <w:p>
      <w:r>
        <w:pict>
          <v:rect style="width:0;height:1.5pt" o:hralign="center" o:hrstd="t" o:hr="t"/>
        </w:pict>
      </w:r>
    </w:p>
    <w:bookmarkEnd w:id="28"/>
    <w:bookmarkStart w:id="29" w:name="blanket-oal-topic-ratification"/>
    <w:p>
      <w:pPr>
        <w:pStyle w:val="Heading2"/>
      </w:pPr>
      <w:r>
        <w:t xml:space="preserve">6. Blanket OAL Topic Ratification</w:t>
      </w:r>
    </w:p>
    <w:p>
      <w:pPr>
        <w:pStyle w:val="FirstParagraph"/>
      </w:pPr>
      <w:r>
        <w:rPr>
          <w:bCs/>
          <w:b/>
        </w:rPr>
        <w:t xml:space="preserve">6.1 The Architect’s declared premise.</w:t>
      </w:r>
      <w:r>
        <w:t xml:space="preserve"> </w:t>
      </w:r>
      <w:r>
        <w:t xml:space="preserve">Nathan Lewis II, as Architect, has declared that every OAL topic documented in the OAL Master Development Changelog as of the effective declaration timestamp, and every OAL topic for which he has uploaded or published AI-generated project documentation on GitHub as of that timestamp, carries topic-level ONESTAMP recognition (Act:</w:t>
      </w:r>
      <w:r>
        <w:t xml:space="preserve"> </w:t>
      </w:r>
      <w:r>
        <w:rPr>
          <w:bCs/>
          <w:b/>
        </w:rPr>
        <w:t xml:space="preserve">NOTICE</w:t>
      </w:r>
      <w:r>
        <w:t xml:space="preserve">). This explicitly includes, without limitation: Presentation State Integrity, Generalized Superposition Framework, Temporal Integrity and Temporal Aliasing, and Net Defense Exercise.</w:t>
      </w:r>
    </w:p>
    <w:p>
      <w:pPr>
        <w:pStyle w:val="BodyText"/>
      </w:pPr>
      <w:r>
        <w:rPr>
          <w:bCs/>
          <w:b/>
        </w:rPr>
        <w:t xml:space="preserve">6.2 What this covers.</w:t>
      </w:r>
      <w:r>
        <w:t xml:space="preserve"> </w:t>
      </w:r>
      <w:r>
        <w:t xml:space="preserve">This is blanket recognition of a</w:t>
      </w:r>
      <w:r>
        <w:t xml:space="preserve"> </w:t>
      </w:r>
      <w:r>
        <w:rPr>
          <w:iCs/>
          <w:i/>
        </w:rPr>
        <w:t xml:space="preserve">plural body of work</w:t>
      </w:r>
      <w:r>
        <w:t xml:space="preserve">, topic by topic. It means: each named topic is acknowledged as a legitimate, ongoing part of OAL’s project corpus, and every attributable artifact connected to that topic — whoever or whatever produced it — is entitled to sit inside that topic’s plural record.</w:t>
      </w:r>
    </w:p>
    <w:p>
      <w:pPr>
        <w:pStyle w:val="BodyText"/>
      </w:pPr>
      <w:r>
        <w:rPr>
          <w:bCs/>
          <w:b/>
        </w:rPr>
        <w:t xml:space="preserve">6.3 What this does not do.</w:t>
      </w:r>
      <w:r>
        <w:t xml:space="preserve"> </w:t>
      </w:r>
      <w:r>
        <w:t xml:space="preserve">It does not declare that any single document, AI system, or contributor is the controlling voice for any of these topics. It does not certify any claim inside any artifact under any of these topics as true. It does not rank the Claude, Grok, ChatGPT, or Perplexity material on any of these topics above one another. It does not retroactively resolve any disagreement that exists between artifacts on the same topic.</w:t>
      </w:r>
    </w:p>
    <w:p>
      <w:pPr>
        <w:pStyle w:val="BodyText"/>
      </w:pPr>
      <w:r>
        <w:rPr>
          <w:bCs/>
          <w:b/>
        </w:rPr>
        <w:t xml:space="preserve">6.4 Protection against clerical omission.</w:t>
      </w:r>
      <w:r>
        <w:t xml:space="preserve"> </w:t>
      </w:r>
      <w:r>
        <w:t xml:space="preserve">A topic that qualified under 6.1’s criteria at the effective timestamp is covered from that timestamp forward, even if a registry, index, or inventory built afterward fails to list it. An incomplete initial inventory is a defect in the inventory, not a defect in the topic’s coverage. When a qualifying topic is later found to have been omitted, the correct fix is to add it to the registry with its original effective date noted — never to treat it as newly covered only from the date of discovery.</w:t>
      </w:r>
    </w:p>
    <w:p>
      <w:pPr>
        <w:pStyle w:val="BodyText"/>
      </w:pPr>
      <w:r>
        <w:rPr>
          <w:bCs/>
          <w:b/>
        </w:rPr>
        <w:t xml:space="preserve">6.5 Prospective handling.</w:t>
      </w:r>
      <w:r>
        <w:t xml:space="preserve"> </w:t>
      </w:r>
      <w:r>
        <w:t xml:space="preserve">Future Master Development Changelog entries and future Architect-published GitHub documentation are understood to receive the same</w:t>
      </w:r>
      <w:r>
        <w:t xml:space="preserve"> </w:t>
      </w:r>
      <w:r>
        <w:rPr>
          <w:bCs/>
          <w:b/>
        </w:rPr>
        <w:t xml:space="preserve">NOTICE</w:t>
      </w:r>
      <w:r>
        <w:t xml:space="preserve">-level recognition going forward, under the same terms, without requiring a fresh blanket declaration each time. However, any</w:t>
      </w:r>
      <w:r>
        <w:t xml:space="preserve"> </w:t>
      </w:r>
      <w:r>
        <w:rPr>
          <w:iCs/>
          <w:i/>
        </w:rPr>
        <w:t xml:space="preserve">consequential</w:t>
      </w:r>
      <w:r>
        <w:t xml:space="preserve"> </w:t>
      </w:r>
      <w:r>
        <w:t xml:space="preserve">step beyond mere topic recognition — external representation of a topic as OAL’s official position, technical implementation, publication as a standalone governance instrument, or adoption of a specific method drawn from a topic’s artifacts — requires its own separate, scoped authorization act (typically</w:t>
      </w:r>
      <w:r>
        <w:t xml:space="preserve"> </w:t>
      </w:r>
      <w:r>
        <w:rPr>
          <w:bCs/>
          <w:b/>
        </w:rPr>
        <w:t xml:space="preserve">SELECT</w:t>
      </w:r>
      <w:r>
        <w:t xml:space="preserve">,</w:t>
      </w:r>
      <w:r>
        <w:t xml:space="preserve"> </w:t>
      </w:r>
      <w:r>
        <w:rPr>
          <w:bCs/>
          <w:b/>
        </w:rPr>
        <w:t xml:space="preserve">ADOPT</w:t>
      </w:r>
      <w:r>
        <w:t xml:space="preserve">, or</w:t>
      </w:r>
      <w:r>
        <w:t xml:space="preserve"> </w:t>
      </w:r>
      <w:r>
        <w:rPr>
          <w:bCs/>
          <w:b/>
        </w:rPr>
        <w:t xml:space="preserve">RELEASE</w:t>
      </w:r>
      <w:r>
        <w:t xml:space="preserve">) under Section 9. Topic recognition is a floor, not a substitute for the specific decision a later action actually needs.</w:t>
      </w:r>
    </w:p>
    <w:p>
      <w:r>
        <w:pict>
          <v:rect style="width:0;height:1.5pt" o:hralign="center" o:hrstd="t" o:hr="t"/>
        </w:pict>
      </w:r>
    </w:p>
    <w:bookmarkEnd w:id="29"/>
    <w:bookmarkStart w:id="30" w:name="record-architecture-and-registry-design"/>
    <w:p>
      <w:pPr>
        <w:pStyle w:val="Heading2"/>
      </w:pPr>
      <w:r>
        <w:t xml:space="preserve">7. Record Architecture and Registry Design</w:t>
      </w:r>
    </w:p>
    <w:p>
      <w:pPr>
        <w:pStyle w:val="FirstParagraph"/>
      </w:pPr>
      <w:r>
        <w:rPr>
          <w:bCs/>
          <w:b/>
        </w:rPr>
        <w:t xml:space="preserve">7.1 Registry objects.</w:t>
      </w:r>
      <w:r>
        <w:t xml:space="preserve"> </w:t>
      </w:r>
      <w:r>
        <w:t xml:space="preserve">The registry is built from the following object types. Each gets a stable identifier; none is ever deleted, only added to or marked with a later status.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Object</w:t>
            </w:r>
          </w:p>
        </w:tc>
        <w:tc>
          <w:tcPr/>
          <w:p>
            <w:pPr>
              <w:pStyle w:val="Compact"/>
              <w:jc w:val="left"/>
            </w:pPr>
            <w:r>
              <w:t xml:space="preserve">Purpose</w:t>
            </w:r>
          </w:p>
        </w:tc>
      </w:tr>
      <w:tr>
        <w:tc>
          <w:tcPr/>
          <w:p>
            <w:pPr>
              <w:pStyle w:val="Compact"/>
              <w:jc w:val="left"/>
            </w:pPr>
            <w:r>
              <w:rPr>
                <w:bCs/>
                <w:b/>
              </w:rPr>
              <w:t xml:space="preserve">Topic Ledger Entry (TLE)</w:t>
            </w:r>
          </w:p>
        </w:tc>
        <w:tc>
          <w:tcPr/>
          <w:p>
            <w:pPr>
              <w:pStyle w:val="Compact"/>
              <w:jc w:val="left"/>
            </w:pPr>
            <w:r>
              <w:t xml:space="preserve">One per recognized topic: preferred name, known aliases, boundary description, and links to every artifact and decision associated with it</w:t>
            </w:r>
          </w:p>
        </w:tc>
      </w:tr>
      <w:tr>
        <w:tc>
          <w:tcPr/>
          <w:p>
            <w:pPr>
              <w:pStyle w:val="Compact"/>
              <w:jc w:val="left"/>
            </w:pPr>
            <w:r>
              <w:rPr>
                <w:bCs/>
                <w:b/>
              </w:rPr>
              <w:t xml:space="preserve">Contribution Entry (CE)</w:t>
            </w:r>
          </w:p>
        </w:tc>
        <w:tc>
          <w:tcPr/>
          <w:p>
            <w:pPr>
              <w:pStyle w:val="Compact"/>
              <w:jc w:val="left"/>
            </w:pPr>
            <w:r>
              <w:t xml:space="preserve">One per independently produced artifact: contributor, date, revision number, and a link to where it lives (file, repository path, or archive)</w:t>
            </w:r>
          </w:p>
        </w:tc>
      </w:tr>
      <w:tr>
        <w:tc>
          <w:tcPr/>
          <w:p>
            <w:pPr>
              <w:pStyle w:val="Compact"/>
              <w:jc w:val="left"/>
            </w:pPr>
            <w:r>
              <w:rPr>
                <w:bCs/>
                <w:b/>
              </w:rPr>
              <w:t xml:space="preserve">Working Set (WS)</w:t>
            </w:r>
          </w:p>
        </w:tc>
        <w:tc>
          <w:tcPr/>
          <w:p>
            <w:pPr>
              <w:pStyle w:val="Compact"/>
              <w:jc w:val="left"/>
            </w:pPr>
            <w:r>
              <w:t xml:space="preserve">A snapshot, taken at the moment of a decision, of exactly which artifacts existed, were reviewed, were relied on, were unavailable, or were deliberately out of scope</w:t>
            </w:r>
          </w:p>
        </w:tc>
      </w:tr>
      <w:tr>
        <w:tc>
          <w:tcPr/>
          <w:p>
            <w:pPr>
              <w:pStyle w:val="Compact"/>
              <w:jc w:val="left"/>
            </w:pPr>
            <w:r>
              <w:rPr>
                <w:bCs/>
                <w:b/>
              </w:rPr>
              <w:t xml:space="preserve">Comparison Note (CN)</w:t>
            </w:r>
          </w:p>
        </w:tc>
        <w:tc>
          <w:tcPr/>
          <w:p>
            <w:pPr>
              <w:pStyle w:val="Compact"/>
              <w:jc w:val="left"/>
            </w:pPr>
            <w:r>
              <w:t xml:space="preserve">A map of where artifacts on the same topic agree, complement each other, conflict, or leave a question open — written</w:t>
            </w:r>
            <w:r>
              <w:t xml:space="preserve"> </w:t>
            </w:r>
            <w:r>
              <w:rPr>
                <w:iCs/>
                <w:i/>
              </w:rPr>
              <w:t xml:space="preserve">about</w:t>
            </w:r>
            <w:r>
              <w:t xml:space="preserve"> </w:t>
            </w:r>
            <w:r>
              <w:t xml:space="preserve">the sources without replacing them</w:t>
            </w:r>
          </w:p>
        </w:tc>
      </w:tr>
      <w:tr>
        <w:tc>
          <w:tcPr/>
          <w:p>
            <w:pPr>
              <w:pStyle w:val="Compact"/>
              <w:jc w:val="left"/>
            </w:pPr>
            <w:r>
              <w:rPr>
                <w:bCs/>
                <w:b/>
              </w:rPr>
              <w:t xml:space="preserve">Authorization Entry (AE)</w:t>
            </w:r>
          </w:p>
        </w:tc>
        <w:tc>
          <w:tcPr/>
          <w:p>
            <w:pPr>
              <w:pStyle w:val="Compact"/>
              <w:jc w:val="left"/>
            </w:pPr>
            <w:r>
              <w:t xml:space="preserve">The actual ONESTAMP act: which act(s) from Section 5, over what object, under what scope, by whom, when, with what exclusions</w:t>
            </w:r>
          </w:p>
        </w:tc>
      </w:tr>
      <w:tr>
        <w:tc>
          <w:tcPr/>
          <w:p>
            <w:pPr>
              <w:pStyle w:val="Compact"/>
              <w:jc w:val="left"/>
            </w:pPr>
            <w:r>
              <w:rPr>
                <w:bCs/>
                <w:b/>
              </w:rPr>
              <w:t xml:space="preserve">Position Entry (PE)</w:t>
            </w:r>
          </w:p>
        </w:tc>
        <w:tc>
          <w:tcPr/>
          <w:p>
            <w:pPr>
              <w:pStyle w:val="Compact"/>
              <w:jc w:val="left"/>
            </w:pPr>
            <w:r>
              <w:t xml:space="preserve">A structured dissent or alternative-position record (fields specified in Section 10)</w:t>
            </w:r>
          </w:p>
        </w:tc>
      </w:tr>
      <w:tr>
        <w:tc>
          <w:tcPr/>
          <w:p>
            <w:pPr>
              <w:pStyle w:val="Compact"/>
              <w:jc w:val="left"/>
            </w:pPr>
            <w:r>
              <w:rPr>
                <w:bCs/>
                <w:b/>
              </w:rPr>
              <w:t xml:space="preserve">Amendment Entry (AmE)</w:t>
            </w:r>
          </w:p>
        </w:tc>
        <w:tc>
          <w:tcPr/>
          <w:p>
            <w:pPr>
              <w:pStyle w:val="Compact"/>
              <w:jc w:val="left"/>
            </w:pPr>
            <w:r>
              <w:t xml:space="preserve">A correction, retirement, or scoped-supersession record, linking forward from the record it changes and backward to the record it doesn’t erase</w:t>
            </w:r>
          </w:p>
        </w:tc>
      </w:tr>
      <w:tr>
        <w:tc>
          <w:tcPr/>
          <w:p>
            <w:pPr>
              <w:pStyle w:val="Compact"/>
              <w:jc w:val="left"/>
            </w:pPr>
            <w:r>
              <w:rPr>
                <w:bCs/>
                <w:b/>
              </w:rPr>
              <w:t xml:space="preserve">Release Entry (RE)</w:t>
            </w:r>
          </w:p>
        </w:tc>
        <w:tc>
          <w:tcPr/>
          <w:p>
            <w:pPr>
              <w:pStyle w:val="Compact"/>
              <w:jc w:val="left"/>
            </w:pPr>
            <w:r>
              <w:t xml:space="preserve">A record of a specific publication or distribution event — e.g., a GitHub push — separate from any claim about whether the released material is adopted</w:t>
            </w:r>
          </w:p>
        </w:tc>
      </w:tr>
    </w:tbl>
    <w:p>
      <w:pPr>
        <w:pStyle w:val="BodyText"/>
      </w:pPr>
      <w:r>
        <w:rPr>
          <w:bCs/>
          <w:b/>
        </w:rPr>
        <w:t xml:space="preserve">7.2 Naming.</w:t>
      </w:r>
      <w:r>
        <w:t xml:space="preserve"> </w:t>
      </w:r>
      <w:r>
        <w:t xml:space="preserve">Identifiers follow the pattern</w:t>
      </w:r>
      <w:r>
        <w:t xml:space="preserve"> </w:t>
      </w:r>
      <w:r>
        <w:rPr>
          <w:rStyle w:val="VerbatimChar"/>
        </w:rPr>
        <w:t xml:space="preserve">OAL-ONE-&lt;TYPE&gt;-&lt;YYYY&gt;-&lt;NNN&gt;</w:t>
      </w:r>
      <w:r>
        <w:t xml:space="preserve">, e.g. </w:t>
      </w:r>
      <w:r>
        <w:rPr>
          <w:rStyle w:val="VerbatimChar"/>
        </w:rPr>
        <w:t xml:space="preserve">OAL-ONE-TLE-2026-014</w:t>
      </w:r>
      <w:r>
        <w:t xml:space="preserve"> </w:t>
      </w:r>
      <w:r>
        <w:t xml:space="preserve">for a topic,</w:t>
      </w:r>
      <w:r>
        <w:t xml:space="preserve"> </w:t>
      </w:r>
      <w:r>
        <w:rPr>
          <w:rStyle w:val="VerbatimChar"/>
        </w:rPr>
        <w:t xml:space="preserve">OAL-ONE-AE-2026-007</w:t>
      </w:r>
      <w:r>
        <w:t xml:space="preserve"> </w:t>
      </w:r>
      <w:r>
        <w:t xml:space="preserve">for an authorization entry. This keeps the object type visible in the identifier itself, which matters when the registry is being read by someone (or something) without full context.</w:t>
      </w:r>
    </w:p>
    <w:p>
      <w:pPr>
        <w:pStyle w:val="BodyText"/>
      </w:pPr>
      <w:r>
        <w:rPr>
          <w:bCs/>
          <w:b/>
        </w:rPr>
        <w:t xml:space="preserve">7.3 Relationship to the Master Development Changelog and GitHub.</w:t>
      </w:r>
      <w:r>
        <w:t xml:space="preserve"> </w:t>
      </w:r>
      <w:r>
        <w:t xml:space="preserve">The Changelog is a chronological index — useful for finding</w:t>
      </w:r>
      <w:r>
        <w:t xml:space="preserve"> </w:t>
      </w:r>
      <w:r>
        <w:rPr>
          <w:iCs/>
          <w:i/>
        </w:rPr>
        <w:t xml:space="preserve">when</w:t>
      </w:r>
      <w:r>
        <w:t xml:space="preserve"> </w:t>
      </w:r>
      <w:r>
        <w:t xml:space="preserve">something happened and roughly</w:t>
      </w:r>
      <w:r>
        <w:t xml:space="preserve"> </w:t>
      </w:r>
      <w:r>
        <w:rPr>
          <w:iCs/>
          <w:i/>
        </w:rPr>
        <w:t xml:space="preserve">what</w:t>
      </w:r>
      <w:r>
        <w:t xml:space="preserve"> </w:t>
      </w:r>
      <w:r>
        <w:t xml:space="preserve">it was — but it is not itself the source of authority, and its structure should not be mistaken for the registry’s structure. GitHub publication is a Release Entry, not an Authorization Entry; something can be on GitHub without having received any of the acts in Section 5 beyond, at most,</w:t>
      </w:r>
      <w:r>
        <w:t xml:space="preserve"> </w:t>
      </w:r>
      <w:r>
        <w:rPr>
          <w:bCs/>
          <w:b/>
        </w:rPr>
        <w:t xml:space="preserve">NOTICE</w:t>
      </w:r>
      <w:r>
        <w:t xml:space="preserve">. The registry links to both without depending on either to define what anything means.</w:t>
      </w:r>
    </w:p>
    <w:p>
      <w:pPr>
        <w:pStyle w:val="BodyText"/>
      </w:pPr>
      <w:r>
        <w:rPr>
          <w:bCs/>
          <w:b/>
        </w:rPr>
        <w:t xml:space="preserve">7.4 Renaming and aliasing.</w:t>
      </w:r>
      <w:r>
        <w:t xml:space="preserve"> </w:t>
      </w:r>
      <w:r>
        <w:t xml:space="preserve">When a topic’s name changes, the old name is recorded as an alias on the same Topic Ledger Entry rather than treated as a new topic. This prevents a renamed topic from accidentally losing its historical coverage or fragmenting into two parallel, disconnected records.</w:t>
      </w:r>
    </w:p>
    <w:p>
      <w:pPr>
        <w:pStyle w:val="BodyText"/>
      </w:pPr>
      <w:r>
        <w:rPr>
          <w:bCs/>
          <w:b/>
        </w:rPr>
        <w:t xml:space="preserve">7.5 What the registry deliberately does not do.</w:t>
      </w:r>
      <w:r>
        <w:t xml:space="preserve"> </w:t>
      </w:r>
      <w:r>
        <w:t xml:space="preserve">It does not compute or display a single</w:t>
      </w:r>
      <w:r>
        <w:t xml:space="preserve"> </w:t>
      </w:r>
      <w:r>
        <w:t xml:space="preserve">“</w:t>
      </w:r>
      <w:r>
        <w:t xml:space="preserve">status</w:t>
      </w:r>
      <w:r>
        <w:t xml:space="preserve">”</w:t>
      </w:r>
      <w:r>
        <w:t xml:space="preserve"> </w:t>
      </w:r>
      <w:r>
        <w:t xml:space="preserve">per artifact. Section 8 explains why, and gives the multi-part alternative.</w:t>
      </w:r>
    </w:p>
    <w:p>
      <w:r>
        <w:pict>
          <v:rect style="width:0;height:1.5pt" o:hralign="center" o:hrstd="t" o:hr="t"/>
        </w:pict>
      </w:r>
    </w:p>
    <w:bookmarkEnd w:id="30"/>
    <w:bookmarkStart w:id="31" w:name="recognition-axes-status-model"/>
    <w:p>
      <w:pPr>
        <w:pStyle w:val="Heading2"/>
      </w:pPr>
      <w:r>
        <w:t xml:space="preserve">8. Recognition Axes (Status Model)</w:t>
      </w:r>
    </w:p>
    <w:p>
      <w:pPr>
        <w:pStyle w:val="FirstParagraph"/>
      </w:pPr>
      <w:r>
        <w:t xml:space="preserve">A single approved/not-approved field cannot describe an artifact that has been preserved, read, found partially useful, factually disputed, and never formally adopted — all of which can be true at once. ONESTAMP tracks status along seven independent axes instead. Every artifact and every decision is described along whichever of these apply; none of them defaults to a value that hasn’t actually been assessed.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Axis</w:t>
            </w:r>
          </w:p>
        </w:tc>
        <w:tc>
          <w:tcPr/>
          <w:p>
            <w:pPr>
              <w:pStyle w:val="Compact"/>
              <w:jc w:val="left"/>
            </w:pPr>
            <w:r>
              <w:t xml:space="preserve">Possible values</w:t>
            </w:r>
          </w:p>
        </w:tc>
      </w:tr>
      <w:tr>
        <w:tc>
          <w:tcPr/>
          <w:p>
            <w:pPr>
              <w:pStyle w:val="Compact"/>
              <w:jc w:val="left"/>
            </w:pPr>
            <w:r>
              <w:rPr>
                <w:bCs/>
                <w:b/>
              </w:rPr>
              <w:t xml:space="preserve">Custody</w:t>
            </w:r>
          </w:p>
        </w:tc>
        <w:tc>
          <w:tcPr/>
          <w:p>
            <w:pPr>
              <w:pStyle w:val="Compact"/>
              <w:jc w:val="left"/>
            </w:pPr>
            <w:r>
              <w:t xml:space="preserve">Preserved · withdrawn by contributor · missing · recovered</w:t>
            </w:r>
          </w:p>
        </w:tc>
      </w:tr>
      <w:tr>
        <w:tc>
          <w:tcPr/>
          <w:p>
            <w:pPr>
              <w:pStyle w:val="Compact"/>
              <w:jc w:val="left"/>
            </w:pPr>
            <w:r>
              <w:rPr>
                <w:bCs/>
                <w:b/>
              </w:rPr>
              <w:t xml:space="preserve">Review</w:t>
            </w:r>
          </w:p>
        </w:tc>
        <w:tc>
          <w:tcPr/>
          <w:p>
            <w:pPr>
              <w:pStyle w:val="Compact"/>
              <w:jc w:val="left"/>
            </w:pPr>
            <w:r>
              <w:t xml:space="preserve">Unreviewed · partially reviewed · reviewed · acknowledged</w:t>
            </w:r>
          </w:p>
        </w:tc>
      </w:tr>
      <w:tr>
        <w:tc>
          <w:tcPr/>
          <w:p>
            <w:pPr>
              <w:pStyle w:val="Compact"/>
              <w:jc w:val="left"/>
            </w:pPr>
            <w:r>
              <w:rPr>
                <w:bCs/>
                <w:b/>
              </w:rPr>
              <w:t xml:space="preserve">Role in topic</w:t>
            </w:r>
          </w:p>
        </w:tc>
        <w:tc>
          <w:tcPr/>
          <w:p>
            <w:pPr>
              <w:pStyle w:val="Compact"/>
              <w:jc w:val="left"/>
            </w:pPr>
            <w:r>
              <w:t xml:space="preserve">Primary · supporting · alternative · dissenting · contextual</w:t>
            </w:r>
          </w:p>
        </w:tc>
      </w:tr>
      <w:tr>
        <w:tc>
          <w:tcPr/>
          <w:p>
            <w:pPr>
              <w:pStyle w:val="Compact"/>
              <w:jc w:val="left"/>
            </w:pPr>
            <w:r>
              <w:rPr>
                <w:bCs/>
                <w:b/>
              </w:rPr>
              <w:t xml:space="preserve">Operational status</w:t>
            </w:r>
          </w:p>
        </w:tc>
        <w:tc>
          <w:tcPr/>
          <w:p>
            <w:pPr>
              <w:pStyle w:val="Compact"/>
              <w:jc w:val="left"/>
            </w:pPr>
            <w:r>
              <w:t xml:space="preserve">Selected for scope · parallel (running alongside alternatives) · deferred · not selected · retired</w:t>
            </w:r>
          </w:p>
        </w:tc>
      </w:tr>
      <w:tr>
        <w:tc>
          <w:tcPr/>
          <w:p>
            <w:pPr>
              <w:pStyle w:val="Compact"/>
              <w:jc w:val="left"/>
            </w:pPr>
            <w:r>
              <w:rPr>
                <w:bCs/>
                <w:b/>
              </w:rPr>
              <w:t xml:space="preserve">Confidence</w:t>
            </w:r>
          </w:p>
        </w:tc>
        <w:tc>
          <w:tcPr/>
          <w:p>
            <w:pPr>
              <w:pStyle w:val="Compact"/>
              <w:jc w:val="left"/>
            </w:pPr>
            <w:r>
              <w:t xml:space="preserve">Not assessed · unverified · supported by evidence · contested · disproven · not applicable</w:t>
            </w:r>
          </w:p>
        </w:tc>
      </w:tr>
      <w:tr>
        <w:tc>
          <w:tcPr/>
          <w:p>
            <w:pPr>
              <w:pStyle w:val="Compact"/>
              <w:jc w:val="left"/>
            </w:pPr>
            <w:r>
              <w:rPr>
                <w:bCs/>
                <w:b/>
              </w:rPr>
              <w:t xml:space="preserve">Release status</w:t>
            </w:r>
          </w:p>
        </w:tc>
        <w:tc>
          <w:tcPr/>
          <w:p>
            <w:pPr>
              <w:pStyle w:val="Compact"/>
              <w:jc w:val="left"/>
            </w:pPr>
            <w:r>
              <w:t xml:space="preserve">Private · internal · released · withdrawn from distribution</w:t>
            </w:r>
          </w:p>
        </w:tc>
      </w:tr>
      <w:tr>
        <w:tc>
          <w:tcPr/>
          <w:p>
            <w:pPr>
              <w:pStyle w:val="Compact"/>
              <w:jc w:val="left"/>
            </w:pPr>
            <w:r>
              <w:rPr>
                <w:bCs/>
                <w:b/>
              </w:rPr>
              <w:t xml:space="preserve">Durability</w:t>
            </w:r>
          </w:p>
        </w:tc>
        <w:tc>
          <w:tcPr/>
          <w:p>
            <w:pPr>
              <w:pStyle w:val="Compact"/>
              <w:jc w:val="left"/>
            </w:pPr>
            <w:r>
              <w:t xml:space="preserve">Provisional · standing · time-limited · superseded for scope</w:t>
            </w:r>
          </w:p>
        </w:tc>
      </w:tr>
    </w:tbl>
    <w:p>
      <w:pPr>
        <w:pStyle w:val="BodyText"/>
      </w:pPr>
      <w:r>
        <w:t xml:space="preserve">An artifact can, for example, sit at Custody: preserved / Review: reviewed / Role: dissenting / Operational: not selected / Confidence: not assessed / Release: internal — a complete, honest description that a single</w:t>
      </w:r>
      <w:r>
        <w:t xml:space="preserve"> </w:t>
      </w:r>
      <w:r>
        <w:t xml:space="preserve">“</w:t>
      </w:r>
      <w:r>
        <w:t xml:space="preserve">rejected</w:t>
      </w:r>
      <w:r>
        <w:t xml:space="preserve">”</w:t>
      </w:r>
      <w:r>
        <w:t xml:space="preserve"> </w:t>
      </w:r>
      <w:r>
        <w:t xml:space="preserve">label would badly misrepresent, since nothing here says the dissent was wrong, only that it wasn’t the path chosen this time.</w:t>
      </w:r>
    </w:p>
    <w:p>
      <w:pPr>
        <w:pStyle w:val="BodyText"/>
      </w:pPr>
      <w:r>
        <w:rPr>
          <w:bCs/>
          <w:b/>
        </w:rPr>
        <w:t xml:space="preserve">Default values.</w:t>
      </w:r>
      <w:r>
        <w:t xml:space="preserve"> </w:t>
      </w:r>
      <w:r>
        <w:t xml:space="preserve">Where an axis has not actually been assessed, the registry records</w:t>
      </w:r>
      <w:r>
        <w:t xml:space="preserve"> </w:t>
      </w:r>
      <w:r>
        <w:t xml:space="preserve">“</w:t>
      </w:r>
      <w:r>
        <w:t xml:space="preserve">not assessed</w:t>
      </w:r>
      <w:r>
        <w:t xml:space="preserve">”</w:t>
      </w:r>
      <w:r>
        <w:t xml:space="preserve"> </w:t>
      </w:r>
      <w:r>
        <w:t xml:space="preserve">or</w:t>
      </w:r>
      <w:r>
        <w:t xml:space="preserve"> </w:t>
      </w:r>
      <w:r>
        <w:t xml:space="preserve">“</w:t>
      </w:r>
      <w:r>
        <w:t xml:space="preserve">unreviewed</w:t>
      </w:r>
      <w:r>
        <w:t xml:space="preserve">”</w:t>
      </w:r>
      <w:r>
        <w:t xml:space="preserve"> </w:t>
      </w:r>
      <w:r>
        <w:t xml:space="preserve">rather than guessing or defaulting to a value that implies more scrutiny than actually happened. Inventing completeness is worse than admitting a gap.</w:t>
      </w:r>
    </w:p>
    <w:p>
      <w:r>
        <w:pict>
          <v:rect style="width:0;height:1.5pt" o:hralign="center" o:hrstd="t" o:hr="t"/>
        </w:pict>
      </w:r>
    </w:p>
    <w:bookmarkEnd w:id="31"/>
    <w:bookmarkStart w:id="32" w:name="decision-and-approval-procedure"/>
    <w:p>
      <w:pPr>
        <w:pStyle w:val="Heading2"/>
      </w:pPr>
      <w:r>
        <w:t xml:space="preserve">9. Decision and Approval Procedure</w:t>
      </w:r>
    </w:p>
    <w:p>
      <w:pPr>
        <w:pStyle w:val="FirstParagraph"/>
      </w:pPr>
      <w:r>
        <w:rPr>
          <w:bCs/>
          <w:b/>
        </w:rPr>
        <w:t xml:space="preserve">9.1 Lightweight path.</w:t>
      </w:r>
      <w:r>
        <w:t xml:space="preserve"> </w:t>
      </w:r>
      <w:r>
        <w:t xml:space="preserve">For ordinary topic recognition or routine, low-stakes acknowledgment, a minimal record suffices: object, one-sentence scope, the act performed, who authorized it, when, and whether any dissent exists. This is the</w:t>
      </w:r>
      <w:r>
        <w:t xml:space="preserve"> </w:t>
      </w:r>
      <w:r>
        <w:rPr>
          <w:bCs/>
          <w:b/>
        </w:rPr>
        <w:t xml:space="preserve">Minimum Viable Stamp</w:t>
      </w:r>
      <w:r>
        <w:t xml:space="preserve"> </w:t>
      </w:r>
      <w:r>
        <w:t xml:space="preserve">(template in 13.1).</w:t>
      </w:r>
    </w:p>
    <w:p>
      <w:pPr>
        <w:pStyle w:val="BodyText"/>
      </w:pPr>
      <w:r>
        <w:rPr>
          <w:bCs/>
          <w:b/>
        </w:rPr>
        <w:t xml:space="preserve">9.2 Full path — triggers.</w:t>
      </w:r>
      <w:r>
        <w:t xml:space="preserve"> </w:t>
      </w:r>
      <w:r>
        <w:t xml:space="preserve">A fuller Decision Record (Section 13.2) is required whenever any of the following applies:</w:t>
      </w:r>
    </w:p>
    <w:p>
      <w:pPr>
        <w:numPr>
          <w:ilvl w:val="0"/>
          <w:numId w:val="1003"/>
        </w:numPr>
        <w:pStyle w:val="Compact"/>
      </w:pPr>
      <w:r>
        <w:t xml:space="preserve">External publication or public representation of OAL’s position on something</w:t>
      </w:r>
    </w:p>
    <w:p>
      <w:pPr>
        <w:numPr>
          <w:ilvl w:val="0"/>
          <w:numId w:val="1003"/>
        </w:numPr>
        <w:pStyle w:val="Compact"/>
      </w:pPr>
      <w:r>
        <w:t xml:space="preserve">Binding or standing governance (a rule meant to apply going forward)</w:t>
      </w:r>
    </w:p>
    <w:p>
      <w:pPr>
        <w:numPr>
          <w:ilvl w:val="0"/>
          <w:numId w:val="1003"/>
        </w:numPr>
        <w:pStyle w:val="Compact"/>
      </w:pPr>
      <w:r>
        <w:t xml:space="preserve">A consequential technical deployment or a security/defense-style exercise</w:t>
      </w:r>
    </w:p>
    <w:p>
      <w:pPr>
        <w:numPr>
          <w:ilvl w:val="0"/>
          <w:numId w:val="1003"/>
        </w:numPr>
        <w:pStyle w:val="Compact"/>
      </w:pPr>
      <w:r>
        <w:t xml:space="preserve">Retirement of a previously operative instruction or method</w:t>
      </w:r>
    </w:p>
    <w:p>
      <w:pPr>
        <w:numPr>
          <w:ilvl w:val="0"/>
          <w:numId w:val="1003"/>
        </w:numPr>
        <w:pStyle w:val="Compact"/>
      </w:pPr>
      <w:r>
        <w:t xml:space="preserve">Material, unresolved disagreement between contributors on the matter at hand</w:t>
      </w:r>
    </w:p>
    <w:p>
      <w:pPr>
        <w:pStyle w:val="FirstParagraph"/>
      </w:pPr>
      <w:r>
        <w:rPr>
          <w:bCs/>
          <w:b/>
        </w:rPr>
        <w:t xml:space="preserve">9.3 Full-path workflow.</w:t>
      </w:r>
    </w:p>
    <w:p>
      <w:pPr>
        <w:numPr>
          <w:ilvl w:val="0"/>
          <w:numId w:val="1004"/>
        </w:numPr>
        <w:pStyle w:val="Compact"/>
      </w:pPr>
      <w:r>
        <w:t xml:space="preserve">Identify or create the relevant Topic Ledger Entry.</w:t>
      </w:r>
    </w:p>
    <w:p>
      <w:pPr>
        <w:numPr>
          <w:ilvl w:val="0"/>
          <w:numId w:val="1004"/>
        </w:numPr>
        <w:pStyle w:val="Compact"/>
      </w:pPr>
      <w:r>
        <w:t xml:space="preserve">Assemble a Working Set — everything that exists, was reviewed, was relied on, or was left out and why.</w:t>
      </w:r>
    </w:p>
    <w:p>
      <w:pPr>
        <w:numPr>
          <w:ilvl w:val="0"/>
          <w:numId w:val="1004"/>
        </w:numPr>
        <w:pStyle w:val="Compact"/>
      </w:pPr>
      <w:r>
        <w:t xml:space="preserve">Where more than one contributor has weighed in, write a Comparison Note describing agreement, complementary framing, and unresolved conflict, without merging voices.</w:t>
      </w:r>
    </w:p>
    <w:p>
      <w:pPr>
        <w:numPr>
          <w:ilvl w:val="0"/>
          <w:numId w:val="1004"/>
        </w:numPr>
        <w:pStyle w:val="Compact"/>
      </w:pPr>
      <w:r>
        <w:t xml:space="preserve">Draft the Decision: precisely what is authorized, which act(s) from Section 5, the scope, the exclusions, the effective date, and any revisit trigger.</w:t>
      </w:r>
    </w:p>
    <w:p>
      <w:pPr>
        <w:numPr>
          <w:ilvl w:val="0"/>
          <w:numId w:val="1004"/>
        </w:numPr>
        <w:pStyle w:val="Compact"/>
      </w:pPr>
      <w:r>
        <w:t xml:space="preserve">Attach any Position Entries (dissent) that exist — do not wait for dissent to resolve before deciding, unless the decision itself requires that.</w:t>
      </w:r>
    </w:p>
    <w:p>
      <w:pPr>
        <w:numPr>
          <w:ilvl w:val="0"/>
          <w:numId w:val="1004"/>
        </w:numPr>
        <w:pStyle w:val="Compact"/>
      </w:pPr>
      <w:r>
        <w:t xml:space="preserve">Issue the Authorization Entry, referencing the Working Set, Comparison Note, and any Position Entries.</w:t>
      </w:r>
    </w:p>
    <w:p>
      <w:pPr>
        <w:numPr>
          <w:ilvl w:val="0"/>
          <w:numId w:val="1004"/>
        </w:numPr>
        <w:pStyle w:val="Compact"/>
      </w:pPr>
      <w:r>
        <w:t xml:space="preserve">Publish or archive the Authorization Entry without altering any earlier record. If circumstances later change, issue an Amendment Entry — never edit the original.</w:t>
      </w:r>
    </w:p>
    <w:p>
      <w:pPr>
        <w:pStyle w:val="FirstParagraph"/>
      </w:pPr>
      <w:r>
        <w:rPr>
          <w:bCs/>
          <w:b/>
        </w:rPr>
        <w:t xml:space="preserve">9.4 Who decides.</w:t>
      </w:r>
      <w:r>
        <w:t xml:space="preserve"> </w:t>
      </w:r>
      <w:r>
        <w:t xml:space="preserve">The Architect holds final decision authority under 4.11 unless he has issued a specific Delegate authorization (Act:</w:t>
      </w:r>
      <w:r>
        <w:t xml:space="preserve"> </w:t>
      </w:r>
      <w:r>
        <w:rPr>
          <w:bCs/>
          <w:b/>
        </w:rPr>
        <w:t xml:space="preserve">DELEGATE</w:t>
      </w:r>
      <w:r>
        <w:t xml:space="preserve">) naming another person or system and the bounded scope of what they may decide.</w:t>
      </w:r>
    </w:p>
    <w:p>
      <w:r>
        <w:pict>
          <v:rect style="width:0;height:1.5pt" o:hralign="center" o:hrstd="t" o:hr="t"/>
        </w:pict>
      </w:r>
    </w:p>
    <w:bookmarkEnd w:id="32"/>
    <w:bookmarkStart w:id="33" w:name="Xbb69df3e37a1e590ebbec1b95cd4f25ef149bfe"/>
    <w:p>
      <w:pPr>
        <w:pStyle w:val="Heading2"/>
      </w:pPr>
      <w:r>
        <w:t xml:space="preserve">10. Dissent, Uncertainty, and Conflicting Instructions</w:t>
      </w:r>
    </w:p>
    <w:p>
      <w:pPr>
        <w:pStyle w:val="FirstParagraph"/>
      </w:pPr>
      <w:r>
        <w:rPr>
          <w:bCs/>
          <w:b/>
        </w:rPr>
        <w:t xml:space="preserve">10.1 Dissent is data, not defeat.</w:t>
      </w:r>
      <w:r>
        <w:t xml:space="preserve"> </w:t>
      </w:r>
      <w:r>
        <w:t xml:space="preserve">A recorded objection to a decision is preserved as part of the project record permanently, regardless of whether the decision it objects to went forward. It is not deleted, softened, or reframed as resolved just because the decision it disagreed with was made.</w:t>
      </w:r>
    </w:p>
    <w:p>
      <w:pPr>
        <w:pStyle w:val="BodyText"/>
      </w:pPr>
      <w:r>
        <w:rPr>
          <w:bCs/>
          <w:b/>
        </w:rPr>
        <w:t xml:space="preserve">10.2 Required fields for a Position Entry.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Object</w:t>
            </w:r>
          </w:p>
        </w:tc>
        <w:tc>
          <w:tcPr/>
          <w:p>
            <w:pPr>
              <w:pStyle w:val="Compact"/>
              <w:jc w:val="left"/>
            </w:pPr>
            <w:r>
              <w:t xml:space="preserve">The specific claim, decision, or artifact being disputed</w:t>
            </w:r>
          </w:p>
        </w:tc>
      </w:tr>
      <w:tr>
        <w:tc>
          <w:tcPr/>
          <w:p>
            <w:pPr>
              <w:pStyle w:val="Compact"/>
              <w:jc w:val="left"/>
            </w:pPr>
            <w:r>
              <w:t xml:space="preserve">Position</w:t>
            </w:r>
          </w:p>
        </w:tc>
        <w:tc>
          <w:tcPr/>
          <w:p>
            <w:pPr>
              <w:pStyle w:val="Compact"/>
              <w:jc w:val="left"/>
            </w:pPr>
            <w:r>
              <w:t xml:space="preserve">What is being objected to, or the alternative proposed</w:t>
            </w:r>
          </w:p>
        </w:tc>
      </w:tr>
      <w:tr>
        <w:tc>
          <w:tcPr/>
          <w:p>
            <w:pPr>
              <w:pStyle w:val="Compact"/>
              <w:jc w:val="left"/>
            </w:pPr>
            <w:r>
              <w:t xml:space="preserve">Reasoning</w:t>
            </w:r>
          </w:p>
        </w:tc>
        <w:tc>
          <w:tcPr/>
          <w:p>
            <w:pPr>
              <w:pStyle w:val="Compact"/>
              <w:jc w:val="left"/>
            </w:pPr>
            <w:r>
              <w:t xml:space="preserve">Why the position holder believes the decision is wrong, incomplete, or risky</w:t>
            </w:r>
          </w:p>
        </w:tc>
      </w:tr>
      <w:tr>
        <w:tc>
          <w:tcPr/>
          <w:p>
            <w:pPr>
              <w:pStyle w:val="Compact"/>
              <w:jc w:val="left"/>
            </w:pPr>
            <w:r>
              <w:t xml:space="preserve">Evidence status</w:t>
            </w:r>
          </w:p>
        </w:tc>
        <w:tc>
          <w:tcPr/>
          <w:p>
            <w:pPr>
              <w:pStyle w:val="Compact"/>
              <w:jc w:val="left"/>
            </w:pPr>
            <w:r>
              <w:t xml:space="preserve">What supports the position now, and how strong it is</w:t>
            </w:r>
          </w:p>
        </w:tc>
      </w:tr>
      <w:tr>
        <w:tc>
          <w:tcPr/>
          <w:p>
            <w:pPr>
              <w:pStyle w:val="Compact"/>
              <w:jc w:val="left"/>
            </w:pPr>
            <w:r>
              <w:t xml:space="preserve">Potential impact</w:t>
            </w:r>
          </w:p>
        </w:tc>
        <w:tc>
          <w:tcPr/>
          <w:p>
            <w:pPr>
              <w:pStyle w:val="Compact"/>
              <w:jc w:val="left"/>
            </w:pPr>
            <w:r>
              <w:t xml:space="preserve">What might follow if the objection turns out to be right and is ignored</w:t>
            </w:r>
          </w:p>
        </w:tc>
      </w:tr>
      <w:tr>
        <w:tc>
          <w:tcPr/>
          <w:p>
            <w:pPr>
              <w:pStyle w:val="Compact"/>
              <w:jc w:val="left"/>
            </w:pPr>
            <w:r>
              <w:t xml:space="preserve">Revisit trigger</w:t>
            </w:r>
          </w:p>
        </w:tc>
        <w:tc>
          <w:tcPr/>
          <w:p>
            <w:pPr>
              <w:pStyle w:val="Compact"/>
              <w:jc w:val="left"/>
            </w:pPr>
            <w:r>
              <w:t xml:space="preserve">The specific evidence, date, event, or failure that should reopen the question</w:t>
            </w:r>
          </w:p>
        </w:tc>
      </w:tr>
    </w:tbl>
    <w:p>
      <w:pPr>
        <w:pStyle w:val="BodyText"/>
      </w:pPr>
      <w:r>
        <w:rPr>
          <w:bCs/>
          <w:b/>
        </w:rPr>
        <w:t xml:space="preserve">10.3 Incompatible instructions.</w:t>
      </w:r>
      <w:r>
        <w:t xml:space="preserve"> </w:t>
      </w:r>
      <w:r>
        <w:t xml:space="preserve">Two contributor artifacts can both remain fully valid historical records even when their recommendations cannot both operate at once. In that case, the Decision Record does the work — it selects one approach for the stated scope, or divides the scope between them, or authorizes a parallel test of both, or defers. What it must never do is declare the unselected instruction to have been wrong, invalid, or retracted — only unselected, for now, for this purpose.</w:t>
      </w:r>
    </w:p>
    <w:p>
      <w:pPr>
        <w:pStyle w:val="BodyText"/>
      </w:pPr>
      <w:r>
        <w:rPr>
          <w:bCs/>
          <w:b/>
        </w:rPr>
        <w:t xml:space="preserve">10.4 Later evidence.</w:t>
      </w:r>
      <w:r>
        <w:t xml:space="preserve"> </w:t>
      </w:r>
      <w:r>
        <w:t xml:space="preserve">When new evidence changes the standing of a claim, the correct instrument is an Amendment Entry (Act:</w:t>
      </w:r>
      <w:r>
        <w:t xml:space="preserve"> </w:t>
      </w:r>
      <w:r>
        <w:rPr>
          <w:bCs/>
          <w:b/>
        </w:rPr>
        <w:t xml:space="preserve">WEIGH</w:t>
      </w:r>
      <w:r>
        <w:t xml:space="preserve">, recorded as a correction) that updates the Confidence axis and links to the original artifact. The original artifact’s text is untouched; what changes is the registry’s record of how confident OAL should be in a specific claim within it, as of a specific date.</w:t>
      </w:r>
    </w:p>
    <w:p>
      <w:r>
        <w:pict>
          <v:rect style="width:0;height:1.5pt" o:hralign="center" o:hrstd="t" o:hr="t"/>
        </w:pict>
      </w:r>
    </w:p>
    <w:bookmarkEnd w:id="33"/>
    <w:bookmarkStart w:id="34" w:name="publication-revision-and-supersession"/>
    <w:p>
      <w:pPr>
        <w:pStyle w:val="Heading2"/>
      </w:pPr>
      <w:r>
        <w:t xml:space="preserve">11. Publication, Revision, and Supersession</w:t>
      </w:r>
    </w:p>
    <w:p>
      <w:pPr>
        <w:pStyle w:val="FirstParagraph"/>
      </w:pPr>
      <w:r>
        <w:rPr>
          <w:bCs/>
          <w:b/>
        </w:rPr>
        <w:t xml:space="preserve">11.1 What publication means.</w:t>
      </w:r>
      <w:r>
        <w:t xml:space="preserve"> </w:t>
      </w:r>
      <w:r>
        <w:t xml:space="preserve">A</w:t>
      </w:r>
      <w:r>
        <w:t xml:space="preserve"> </w:t>
      </w:r>
      <w:r>
        <w:rPr>
          <w:bCs/>
          <w:b/>
        </w:rPr>
        <w:t xml:space="preserve">RELEASE</w:t>
      </w:r>
      <w:r>
        <w:t xml:space="preserve"> </w:t>
      </w:r>
      <w:r>
        <w:t xml:space="preserve">act (e.g., pushing a document to GitHub) records that a specific artifact, at a specific revision, was made available through a specific channel, at a specific time. That is all it means by default. It does not, by itself, adopt the content, certify it, or make it OAL’s official position on anything.</w:t>
      </w:r>
    </w:p>
    <w:p>
      <w:pPr>
        <w:pStyle w:val="BodyText"/>
      </w:pPr>
      <w:r>
        <w:rPr>
          <w:bCs/>
          <w:b/>
        </w:rPr>
        <w:t xml:space="preserve">11.2 Revision without erasure.</w:t>
      </w:r>
      <w:r>
        <w:t xml:space="preserve"> </w:t>
      </w:r>
      <w:r>
        <w:t xml:space="preserve">Renaming a file, moving it to a new location, or issuing a new revision does not retroactively withdraw its earlier ONESTAMP status. The Contribution Entry tracks revisions as a sequence; each revision remains individually addressable and readable in the state it was in when it was released.</w:t>
      </w:r>
    </w:p>
    <w:p>
      <w:pPr>
        <w:pStyle w:val="BodyText"/>
      </w:pPr>
      <w:r>
        <w:rPr>
          <w:bCs/>
          <w:b/>
        </w:rPr>
        <w:t xml:space="preserve">11.3 Words that do not carry global force.</w:t>
      </w:r>
      <w:r>
        <w:t xml:space="preserve"> </w:t>
      </w:r>
      <w:r>
        <w:t xml:space="preserve">“</w:t>
      </w:r>
      <w:r>
        <w:t xml:space="preserve">Final,</w:t>
      </w:r>
      <w:r>
        <w:t xml:space="preserve">”</w:t>
      </w:r>
      <w:r>
        <w:t xml:space="preserve"> </w:t>
      </w:r>
      <w:r>
        <w:t xml:space="preserve">“</w:t>
      </w:r>
      <w:r>
        <w:t xml:space="preserve">official,</w:t>
      </w:r>
      <w:r>
        <w:t xml:space="preserve">”</w:t>
      </w:r>
      <w:r>
        <w:t xml:space="preserve"> </w:t>
      </w:r>
      <w:r>
        <w:t xml:space="preserve">“</w:t>
      </w:r>
      <w:r>
        <w:t xml:space="preserve">latest,</w:t>
      </w:r>
      <w:r>
        <w:t xml:space="preserve">”</w:t>
      </w:r>
      <w:r>
        <w:t xml:space="preserve"> </w:t>
      </w:r>
      <w:r>
        <w:t xml:space="preserve">and</w:t>
      </w:r>
      <w:r>
        <w:t xml:space="preserve"> </w:t>
      </w:r>
      <w:r>
        <w:t xml:space="preserve">“</w:t>
      </w:r>
      <w:r>
        <w:t xml:space="preserve">approved</w:t>
      </w:r>
      <w:r>
        <w:t xml:space="preserve">”</w:t>
      </w:r>
      <w:r>
        <w:t xml:space="preserve"> </w:t>
      </w:r>
      <w:r>
        <w:t xml:space="preserve">describe a specific record’s status along specific axes (Section 8) — they are not, on their own, claims that everything else is superseded. A record only supersedes another record when an Amendment Entry explicitly says: this record, superseded, for this scope, effective this date, for this reason. Absent that explicit statement, nothing is superseded — no matter how final-sounding the language on the newer document is.</w:t>
      </w:r>
    </w:p>
    <w:p>
      <w:pPr>
        <w:pStyle w:val="BodyText"/>
      </w:pPr>
      <w:r>
        <w:rPr>
          <w:bCs/>
          <w:b/>
        </w:rPr>
        <w:t xml:space="preserve">11.4 Hashes, tags, and archival pointers.</w:t>
      </w:r>
      <w:r>
        <w:t xml:space="preserve"> </w:t>
      </w:r>
      <w:r>
        <w:t xml:space="preserve">Integrity references (a commit hash, a release tag, an archive URL) are useful and encouraged where practical, but they are optional strengthening, not a precondition for a record’s validity. A dated identifier and a named authority already meet the bar; cryptographic tooling can be added later without back-dating anything.</w:t>
      </w:r>
    </w:p>
    <w:p>
      <w:r>
        <w:pict>
          <v:rect style="width:0;height:1.5pt" o:hralign="center" o:hrstd="t" o:hr="t"/>
        </w:pict>
      </w:r>
    </w:p>
    <w:bookmarkEnd w:id="34"/>
    <w:bookmarkStart w:id="35" w:name="electronic-authorization-and-signature"/>
    <w:p>
      <w:pPr>
        <w:pStyle w:val="Heading2"/>
      </w:pPr>
      <w:r>
        <w:t xml:space="preserve">12. Electronic Authorization and Signature</w:t>
      </w:r>
    </w:p>
    <w:p>
      <w:pPr>
        <w:pStyle w:val="FirstParagraph"/>
      </w:pPr>
      <w:r>
        <w:rPr>
          <w:bCs/>
          <w:b/>
        </w:rPr>
        <w:t xml:space="preserve">12.1 What this convention claims.</w:t>
      </w:r>
      <w:r>
        <w:t xml:space="preserve"> </w:t>
      </w:r>
      <w:r>
        <w:t xml:space="preserve">The Architect’s electronic authorization under ONESTAMP is a recorded expression of intent for OAL’s internal governance purposes. It is not represented as a cryptographic signature, a notarized instrument, a certificate-backed authentication, or a legally binding signature under any external law, and this document makes no claim of legal enforceability.</w:t>
      </w:r>
    </w:p>
    <w:p>
      <w:pPr>
        <w:pStyle w:val="BodyText"/>
      </w:pPr>
      <w:r>
        <w:rPr>
          <w:bCs/>
          <w:b/>
        </w:rPr>
        <w:t xml:space="preserve">12.2 Signature levels.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What it evidences</w:t>
            </w:r>
          </w:p>
        </w:tc>
      </w:tr>
      <w:tr>
        <w:tc>
          <w:tcPr/>
          <w:p>
            <w:pPr>
              <w:pStyle w:val="Compact"/>
              <w:jc w:val="left"/>
            </w:pPr>
            <w:r>
              <w:t xml:space="preserve">Recorded declaration</w:t>
            </w:r>
          </w:p>
        </w:tc>
        <w:tc>
          <w:tcPr/>
          <w:p>
            <w:pPr>
              <w:pStyle w:val="Compact"/>
              <w:jc w:val="left"/>
            </w:pPr>
            <w:r>
              <w:t xml:space="preserve">A dated statement of intent, attributed to the Architect, kept in the registry</w:t>
            </w:r>
          </w:p>
        </w:tc>
      </w:tr>
      <w:tr>
        <w:tc>
          <w:tcPr/>
          <w:p>
            <w:pPr>
              <w:pStyle w:val="Compact"/>
              <w:jc w:val="left"/>
            </w:pPr>
            <w:r>
              <w:t xml:space="preserve">Reproduced reference</w:t>
            </w:r>
          </w:p>
        </w:tc>
        <w:tc>
          <w:tcPr/>
          <w:p>
            <w:pPr>
              <w:pStyle w:val="Compact"/>
              <w:jc w:val="left"/>
            </w:pPr>
            <w:r>
              <w:t xml:space="preserve">A later document quoting or pointing to an earlier recorded declaration — does not itself constitute a new signature event</w:t>
            </w:r>
          </w:p>
        </w:tc>
      </w:tr>
      <w:tr>
        <w:tc>
          <w:tcPr/>
          <w:p>
            <w:pPr>
              <w:pStyle w:val="Compact"/>
              <w:jc w:val="left"/>
            </w:pPr>
            <w:r>
              <w:t xml:space="preserve">Integrity-bound declaration</w:t>
            </w:r>
          </w:p>
        </w:tc>
        <w:tc>
          <w:tcPr/>
          <w:p>
            <w:pPr>
              <w:pStyle w:val="Compact"/>
              <w:jc w:val="left"/>
            </w:pPr>
            <w:r>
              <w:t xml:space="preserve">A recorded declaration accompanied by a hash, commit reference, or similar technical anchor, strengthening tamper-evidence without changing its legal character</w:t>
            </w:r>
          </w:p>
        </w:tc>
      </w:tr>
      <w:tr>
        <w:tc>
          <w:tcPr/>
          <w:p>
            <w:pPr>
              <w:pStyle w:val="Compact"/>
              <w:jc w:val="left"/>
            </w:pPr>
            <w:r>
              <w:t xml:space="preserve">Externally verified declaration</w:t>
            </w:r>
          </w:p>
        </w:tc>
        <w:tc>
          <w:tcPr/>
          <w:p>
            <w:pPr>
              <w:pStyle w:val="Compact"/>
              <w:jc w:val="left"/>
            </w:pPr>
            <w:r>
              <w:t xml:space="preserve">A recorded declaration additionally verified through some outside method the Architect specifies — only claimed where that verification has actually occurred</w:t>
            </w:r>
          </w:p>
        </w:tc>
      </w:tr>
    </w:tbl>
    <w:p>
      <w:pPr>
        <w:pStyle w:val="BodyText"/>
      </w:pPr>
      <w:r>
        <w:rPr>
          <w:bCs/>
          <w:b/>
        </w:rPr>
        <w:t xml:space="preserve">12.3 Reference is not re-signature.</w:t>
      </w:r>
      <w:r>
        <w:t xml:space="preserve"> </w:t>
      </w:r>
      <w:r>
        <w:t xml:space="preserve">When this document, or any future independent contributor record, reproduces the Architect’s prior electronic signature for a ratification already on record, that reproduction is a</w:t>
      </w:r>
      <w:r>
        <w:t xml:space="preserve"> </w:t>
      </w:r>
      <w:r>
        <w:rPr>
          <w:iCs/>
          <w:i/>
        </w:rPr>
        <w:t xml:space="preserve">reference</w:t>
      </w:r>
      <w:r>
        <w:t xml:space="preserve"> </w:t>
      </w:r>
      <w:r>
        <w:t xml:space="preserve">to the earlier signature event — not a new one. A later document does not get to claim a fresh authorization simply by quoting an old one.</w:t>
      </w:r>
    </w:p>
    <w:p>
      <w:r>
        <w:pict>
          <v:rect style="width:0;height:1.5pt" o:hralign="center" o:hrstd="t" o:hr="t"/>
        </w:pict>
      </w:r>
    </w:p>
    <w:bookmarkEnd w:id="35"/>
    <w:bookmarkStart w:id="43" w:name="templates"/>
    <w:p>
      <w:pPr>
        <w:pStyle w:val="Heading2"/>
      </w:pPr>
      <w:r>
        <w:t xml:space="preserve">13. Templates</w:t>
      </w:r>
    </w:p>
    <w:bookmarkStart w:id="36" w:name="minimum-viable-stamp"/>
    <w:p>
      <w:pPr>
        <w:pStyle w:val="Heading3"/>
      </w:pPr>
      <w:r>
        <w:t xml:space="preserve">13.1 Minimum Viable Stamp</w:t>
      </w:r>
    </w:p>
    <w:p>
      <w:pPr>
        <w:pStyle w:val="SourceCode"/>
      </w:pPr>
      <w:r>
        <w:rPr>
          <w:rStyle w:val="VerbatimChar"/>
        </w:rPr>
        <w:t xml:space="preserve">ONESTAMP — MINIMUM VIABLE STAMP</w:t>
      </w:r>
      <w:r>
        <w:br/>
      </w:r>
      <w:r>
        <w:rPr>
          <w:rStyle w:val="VerbatimChar"/>
        </w:rPr>
        <w:t xml:space="preserve">Object: [topic, artifact, or decision]</w:t>
      </w:r>
      <w:r>
        <w:br/>
      </w:r>
      <w:r>
        <w:rPr>
          <w:rStyle w:val="VerbatimChar"/>
        </w:rPr>
        <w:t xml:space="preserve">Act(s): [NOTICE / HOLD / REVIEW / ...]</w:t>
      </w:r>
      <w:r>
        <w:br/>
      </w:r>
      <w:r>
        <w:rPr>
          <w:rStyle w:val="VerbatimChar"/>
        </w:rPr>
        <w:t xml:space="preserve">Scope (one sentence): [ ]</w:t>
      </w:r>
      <w:r>
        <w:br/>
      </w:r>
      <w:r>
        <w:rPr>
          <w:rStyle w:val="VerbatimChar"/>
        </w:rPr>
        <w:t xml:space="preserve">Authorized by: [name/role]</w:t>
      </w:r>
      <w:r>
        <w:br/>
      </w:r>
      <w:r>
        <w:rPr>
          <w:rStyle w:val="VerbatimChar"/>
        </w:rPr>
        <w:t xml:space="preserve">Effective: [date, time, timezone]</w:t>
      </w:r>
      <w:r>
        <w:br/>
      </w:r>
      <w:r>
        <w:rPr>
          <w:rStyle w:val="VerbatimChar"/>
        </w:rPr>
        <w:t xml:space="preserve">Dissent on record: [yes/no — link if yes]</w:t>
      </w:r>
      <w:r>
        <w:br/>
      </w:r>
      <w:r>
        <w:rPr>
          <w:rStyle w:val="VerbatimChar"/>
        </w:rPr>
        <w:t xml:space="preserve">Notice: This stamp does not certify claims, imply consensus, or supersede other records.</w:t>
      </w:r>
    </w:p>
    <w:bookmarkEnd w:id="36"/>
    <w:bookmarkStart w:id="37" w:name="X721d7d30635f3d06af78fabe93cacb8bfcecfe8"/>
    <w:p>
      <w:pPr>
        <w:pStyle w:val="Heading3"/>
      </w:pPr>
      <w:r>
        <w:t xml:space="preserve">13.2 Full Scoped Authorization / Decision Record</w:t>
      </w:r>
    </w:p>
    <w:p>
      <w:pPr>
        <w:pStyle w:val="SourceCode"/>
      </w:pPr>
      <w:r>
        <w:rPr>
          <w:rStyle w:val="VerbatimChar"/>
        </w:rPr>
        <w:t xml:space="preserve">ONESTAMP — DECISION RECORD</w:t>
      </w:r>
      <w:r>
        <w:br/>
      </w:r>
      <w:r>
        <w:rPr>
          <w:rStyle w:val="VerbatimChar"/>
        </w:rPr>
        <w:t xml:space="preserve">Record ID: [OAL-ONE-AE-YYYY-NNN]</w:t>
      </w:r>
      <w:r>
        <w:br/>
      </w:r>
      <w:r>
        <w:rPr>
          <w:rStyle w:val="VerbatimChar"/>
        </w:rPr>
        <w:t xml:space="preserve">Topic / Object: [Topic Ledger Entry ID and name]</w:t>
      </w:r>
      <w:r>
        <w:br/>
      </w:r>
      <w:r>
        <w:rPr>
          <w:rStyle w:val="VerbatimChar"/>
        </w:rPr>
        <w:t xml:space="preserve">Working Set: [WS ID]</w:t>
      </w:r>
      <w:r>
        <w:br/>
      </w:r>
      <w:r>
        <w:rPr>
          <w:rStyle w:val="VerbatimChar"/>
        </w:rPr>
        <w:t xml:space="preserve">Comparison Note: [CN ID, if applicable]</w:t>
      </w:r>
      <w:r>
        <w:br/>
      </w:r>
      <w:r>
        <w:rPr>
          <w:rStyle w:val="VerbatimChar"/>
        </w:rPr>
        <w:t xml:space="preserve">Act(s) performed: [one or more from Section 5]</w:t>
      </w:r>
      <w:r>
        <w:br/>
      </w:r>
      <w:r>
        <w:rPr>
          <w:rStyle w:val="VerbatimChar"/>
        </w:rPr>
        <w:t xml:space="preserve">Scope: [precisely what is authorized]</w:t>
      </w:r>
      <w:r>
        <w:br/>
      </w:r>
      <w:r>
        <w:rPr>
          <w:rStyle w:val="VerbatimChar"/>
        </w:rPr>
        <w:t xml:space="preserve">Exclusions: [what is explicitly NOT authorized or decided]</w:t>
      </w:r>
      <w:r>
        <w:br/>
      </w:r>
      <w:r>
        <w:rPr>
          <w:rStyle w:val="VerbatimChar"/>
        </w:rPr>
        <w:t xml:space="preserve">Authority: [name/role; delegation reference if applicable]</w:t>
      </w:r>
      <w:r>
        <w:br/>
      </w:r>
      <w:r>
        <w:rPr>
          <w:rStyle w:val="VerbatimChar"/>
        </w:rPr>
        <w:t xml:space="preserve">Effective: [date, time, timezone]</w:t>
      </w:r>
      <w:r>
        <w:br/>
      </w:r>
      <w:r>
        <w:rPr>
          <w:rStyle w:val="VerbatimChar"/>
        </w:rPr>
        <w:t xml:space="preserve">Review / revisit trigger: [date, event, or "none set"]</w:t>
      </w:r>
      <w:r>
        <w:br/>
      </w:r>
      <w:r>
        <w:rPr>
          <w:rStyle w:val="VerbatimChar"/>
        </w:rPr>
        <w:t xml:space="preserve">Dissent status: [none recorded / preserved — see PE IDs]</w:t>
      </w:r>
      <w:r>
        <w:br/>
      </w:r>
      <w:r>
        <w:rPr>
          <w:rStyle w:val="VerbatimChar"/>
        </w:rPr>
        <w:t xml:space="preserve">Non-erasure clause: All source contributions considered remain independently attributable and valid as historical records, whether or not selected for this scope.</w:t>
      </w:r>
    </w:p>
    <w:bookmarkEnd w:id="37"/>
    <w:bookmarkStart w:id="38" w:name="topic-ledger-entry"/>
    <w:p>
      <w:pPr>
        <w:pStyle w:val="Heading3"/>
      </w:pPr>
      <w:r>
        <w:t xml:space="preserve">13.3 Topic Ledger Entry</w:t>
      </w:r>
    </w:p>
    <w:p>
      <w:pPr>
        <w:pStyle w:val="SourceCode"/>
      </w:pPr>
      <w:r>
        <w:rPr>
          <w:rStyle w:val="VerbatimChar"/>
        </w:rPr>
        <w:t xml:space="preserve">TOPIC LEDGER ENTRY</w:t>
      </w:r>
      <w:r>
        <w:br/>
      </w:r>
      <w:r>
        <w:rPr>
          <w:rStyle w:val="VerbatimChar"/>
        </w:rPr>
        <w:t xml:space="preserve">ID: [OAL-ONE-TLE-YYYY-NNN]</w:t>
      </w:r>
      <w:r>
        <w:br/>
      </w:r>
      <w:r>
        <w:rPr>
          <w:rStyle w:val="VerbatimChar"/>
        </w:rPr>
        <w:t xml:space="preserve">Preferred name: [ ]</w:t>
      </w:r>
      <w:r>
        <w:br/>
      </w:r>
      <w:r>
        <w:rPr>
          <w:rStyle w:val="VerbatimChar"/>
        </w:rPr>
        <w:t xml:space="preserve">Aliases: [ ]</w:t>
      </w:r>
      <w:r>
        <w:br/>
      </w:r>
      <w:r>
        <w:rPr>
          <w:rStyle w:val="VerbatimChar"/>
        </w:rPr>
        <w:t xml:space="preserve">Boundary description: [one to three sentences]</w:t>
      </w:r>
      <w:r>
        <w:br/>
      </w:r>
      <w:r>
        <w:rPr>
          <w:rStyle w:val="VerbatimChar"/>
        </w:rPr>
        <w:t xml:space="preserve">Recognition basis: [Master Development Changelog entry / Architect-published GitHub documentation / other]</w:t>
      </w:r>
      <w:r>
        <w:br/>
      </w:r>
      <w:r>
        <w:rPr>
          <w:rStyle w:val="VerbatimChar"/>
        </w:rPr>
        <w:t xml:space="preserve">Recognized: [date]</w:t>
      </w:r>
      <w:r>
        <w:br/>
      </w:r>
      <w:r>
        <w:rPr>
          <w:rStyle w:val="VerbatimChar"/>
        </w:rPr>
        <w:t xml:space="preserve">Known Contribution Entries: [list]</w:t>
      </w:r>
      <w:r>
        <w:br/>
      </w:r>
      <w:r>
        <w:rPr>
          <w:rStyle w:val="VerbatimChar"/>
        </w:rPr>
        <w:t xml:space="preserve">Known Authorization Entries: [list]</w:t>
      </w:r>
    </w:p>
    <w:bookmarkEnd w:id="38"/>
    <w:bookmarkStart w:id="39" w:name="contribution-entry"/>
    <w:p>
      <w:pPr>
        <w:pStyle w:val="Heading3"/>
      </w:pPr>
      <w:r>
        <w:t xml:space="preserve">13.4 Contribution Entry</w:t>
      </w:r>
    </w:p>
    <w:p>
      <w:pPr>
        <w:pStyle w:val="SourceCode"/>
      </w:pPr>
      <w:r>
        <w:rPr>
          <w:rStyle w:val="VerbatimChar"/>
        </w:rPr>
        <w:t xml:space="preserve">CONTRIBUTION ENTRY</w:t>
      </w:r>
      <w:r>
        <w:br/>
      </w:r>
      <w:r>
        <w:rPr>
          <w:rStyle w:val="VerbatimChar"/>
        </w:rPr>
        <w:t xml:space="preserve">ID: [OAL-ONE-CE-YYYY-NNN]</w:t>
      </w:r>
      <w:r>
        <w:br/>
      </w:r>
      <w:r>
        <w:rPr>
          <w:rStyle w:val="VerbatimChar"/>
        </w:rPr>
        <w:t xml:space="preserve">Contributor: [name/system]</w:t>
      </w:r>
      <w:r>
        <w:br/>
      </w:r>
      <w:r>
        <w:rPr>
          <w:rStyle w:val="VerbatimChar"/>
        </w:rPr>
        <w:t xml:space="preserve">Title: [ ]</w:t>
      </w:r>
      <w:r>
        <w:br/>
      </w:r>
      <w:r>
        <w:rPr>
          <w:rStyle w:val="VerbatimChar"/>
        </w:rPr>
        <w:t xml:space="preserve">Date produced: [ ]</w:t>
      </w:r>
      <w:r>
        <w:br/>
      </w:r>
      <w:r>
        <w:rPr>
          <w:rStyle w:val="VerbatimChar"/>
        </w:rPr>
        <w:t xml:space="preserve">Revision: [ ]</w:t>
      </w:r>
      <w:r>
        <w:br/>
      </w:r>
      <w:r>
        <w:rPr>
          <w:rStyle w:val="VerbatimChar"/>
        </w:rPr>
        <w:t xml:space="preserve">Location: [file path / repository link / archive reference]</w:t>
      </w:r>
      <w:r>
        <w:br/>
      </w:r>
      <w:r>
        <w:rPr>
          <w:rStyle w:val="VerbatimChar"/>
        </w:rPr>
        <w:t xml:space="preserve">Associated Topic Ledger Entry: [TLE ID]</w:t>
      </w:r>
    </w:p>
    <w:bookmarkEnd w:id="39"/>
    <w:bookmarkStart w:id="40" w:name="position-entry-dissent"/>
    <w:p>
      <w:pPr>
        <w:pStyle w:val="Heading3"/>
      </w:pPr>
      <w:r>
        <w:t xml:space="preserve">13.5 Position Entry (Dissent)</w:t>
      </w:r>
    </w:p>
    <w:p>
      <w:pPr>
        <w:pStyle w:val="SourceCode"/>
      </w:pPr>
      <w:r>
        <w:rPr>
          <w:rStyle w:val="VerbatimChar"/>
        </w:rPr>
        <w:t xml:space="preserve">POSITION ENTRY</w:t>
      </w:r>
      <w:r>
        <w:br/>
      </w:r>
      <w:r>
        <w:rPr>
          <w:rStyle w:val="VerbatimChar"/>
        </w:rPr>
        <w:t xml:space="preserve">ID: [OAL-ONE-PE-YYYY-NNN]</w:t>
      </w:r>
      <w:r>
        <w:br/>
      </w:r>
      <w:r>
        <w:rPr>
          <w:rStyle w:val="VerbatimChar"/>
        </w:rPr>
        <w:t xml:space="preserve">Object challenged: [claim, decision, or artifact]</w:t>
      </w:r>
      <w:r>
        <w:br/>
      </w:r>
      <w:r>
        <w:rPr>
          <w:rStyle w:val="VerbatimChar"/>
        </w:rPr>
        <w:t xml:space="preserve">Contributor: [name/system]</w:t>
      </w:r>
      <w:r>
        <w:br/>
      </w:r>
      <w:r>
        <w:rPr>
          <w:rStyle w:val="VerbatimChar"/>
        </w:rPr>
        <w:t xml:space="preserve">Position: [ ]</w:t>
      </w:r>
      <w:r>
        <w:br/>
      </w:r>
      <w:r>
        <w:rPr>
          <w:rStyle w:val="VerbatimChar"/>
        </w:rPr>
        <w:t xml:space="preserve">Reasoning: [ ]</w:t>
      </w:r>
      <w:r>
        <w:br/>
      </w:r>
      <w:r>
        <w:rPr>
          <w:rStyle w:val="VerbatimChar"/>
        </w:rPr>
        <w:t xml:space="preserve">Evidence status: [ ]</w:t>
      </w:r>
      <w:r>
        <w:br/>
      </w:r>
      <w:r>
        <w:rPr>
          <w:rStyle w:val="VerbatimChar"/>
        </w:rPr>
        <w:t xml:space="preserve">Potential impact if ignored: [ ]</w:t>
      </w:r>
      <w:r>
        <w:br/>
      </w:r>
      <w:r>
        <w:rPr>
          <w:rStyle w:val="VerbatimChar"/>
        </w:rPr>
        <w:t xml:space="preserve">Revisit trigger: [ ]</w:t>
      </w:r>
    </w:p>
    <w:bookmarkEnd w:id="40"/>
    <w:bookmarkStart w:id="41" w:name="amendment-entry"/>
    <w:p>
      <w:pPr>
        <w:pStyle w:val="Heading3"/>
      </w:pPr>
      <w:r>
        <w:t xml:space="preserve">13.6 Amendment Entry</w:t>
      </w:r>
    </w:p>
    <w:p>
      <w:pPr>
        <w:pStyle w:val="SourceCode"/>
      </w:pPr>
      <w:r>
        <w:rPr>
          <w:rStyle w:val="VerbatimChar"/>
        </w:rPr>
        <w:t xml:space="preserve">AMENDMENT ENTRY</w:t>
      </w:r>
      <w:r>
        <w:br/>
      </w:r>
      <w:r>
        <w:rPr>
          <w:rStyle w:val="VerbatimChar"/>
        </w:rPr>
        <w:t xml:space="preserve">ID: [OAL-ONE-AmE-YYYY-NNN]</w:t>
      </w:r>
      <w:r>
        <w:br/>
      </w:r>
      <w:r>
        <w:rPr>
          <w:rStyle w:val="VerbatimChar"/>
        </w:rPr>
        <w:t xml:space="preserve">Type: [correction / retirement / scoped supersession]</w:t>
      </w:r>
      <w:r>
        <w:br/>
      </w:r>
      <w:r>
        <w:rPr>
          <w:rStyle w:val="VerbatimChar"/>
        </w:rPr>
        <w:t xml:space="preserve">Prior record: [ID being amended]</w:t>
      </w:r>
      <w:r>
        <w:br/>
      </w:r>
      <w:r>
        <w:rPr>
          <w:rStyle w:val="VerbatimChar"/>
        </w:rPr>
        <w:t xml:space="preserve">What changes: [precisely]</w:t>
      </w:r>
      <w:r>
        <w:br/>
      </w:r>
      <w:r>
        <w:rPr>
          <w:rStyle w:val="VerbatimChar"/>
        </w:rPr>
        <w:t xml:space="preserve">What is preserved unchanged: [the prior record itself, in its historical context]</w:t>
      </w:r>
      <w:r>
        <w:br/>
      </w:r>
      <w:r>
        <w:rPr>
          <w:rStyle w:val="VerbatimChar"/>
        </w:rPr>
        <w:t xml:space="preserve">Effective: [date]</w:t>
      </w:r>
      <w:r>
        <w:br/>
      </w:r>
      <w:r>
        <w:rPr>
          <w:rStyle w:val="VerbatimChar"/>
        </w:rPr>
        <w:t xml:space="preserve">Reason: [ ]</w:t>
      </w:r>
    </w:p>
    <w:bookmarkEnd w:id="41"/>
    <w:bookmarkStart w:id="42" w:name="release-entry"/>
    <w:p>
      <w:pPr>
        <w:pStyle w:val="Heading3"/>
      </w:pPr>
      <w:r>
        <w:t xml:space="preserve">13.7 Release Entry</w:t>
      </w:r>
    </w:p>
    <w:p>
      <w:pPr>
        <w:pStyle w:val="SourceCode"/>
      </w:pPr>
      <w:r>
        <w:rPr>
          <w:rStyle w:val="VerbatimChar"/>
        </w:rPr>
        <w:t xml:space="preserve">RELEASE ENTRY</w:t>
      </w:r>
      <w:r>
        <w:br/>
      </w:r>
      <w:r>
        <w:rPr>
          <w:rStyle w:val="VerbatimChar"/>
        </w:rPr>
        <w:t xml:space="preserve">ID: [OAL-ONE-RE-YYYY-NNN]</w:t>
      </w:r>
      <w:r>
        <w:br/>
      </w:r>
      <w:r>
        <w:rPr>
          <w:rStyle w:val="VerbatimChar"/>
        </w:rPr>
        <w:t xml:space="preserve">Artifact released: [Contribution Entry ID + revision]</w:t>
      </w:r>
      <w:r>
        <w:br/>
      </w:r>
      <w:r>
        <w:rPr>
          <w:rStyle w:val="VerbatimChar"/>
        </w:rPr>
        <w:t xml:space="preserve">Channel: [GitHub repository / path / other]</w:t>
      </w:r>
      <w:r>
        <w:br/>
      </w:r>
      <w:r>
        <w:rPr>
          <w:rStyle w:val="VerbatimChar"/>
        </w:rPr>
        <w:t xml:space="preserve">Released by: [name]</w:t>
      </w:r>
      <w:r>
        <w:br/>
      </w:r>
      <w:r>
        <w:rPr>
          <w:rStyle w:val="VerbatimChar"/>
        </w:rPr>
        <w:t xml:space="preserve">Date/time: [ ]</w:t>
      </w:r>
      <w:r>
        <w:br/>
      </w:r>
      <w:r>
        <w:rPr>
          <w:rStyle w:val="VerbatimChar"/>
        </w:rPr>
        <w:t xml:space="preserve">Notice: Release does not imply adoption, certification, or endorsement beyond what a separate Authorization Entry states.</w:t>
      </w:r>
    </w:p>
    <w:p>
      <w:r>
        <w:pict>
          <v:rect style="width:0;height:1.5pt" o:hralign="center" o:hrstd="t" o:hr="t"/>
        </w:pict>
      </w:r>
    </w:p>
    <w:bookmarkEnd w:id="42"/>
    <w:bookmarkEnd w:id="43"/>
    <w:bookmarkStart w:id="44" w:name="worked-examples"/>
    <w:p>
      <w:pPr>
        <w:pStyle w:val="Heading2"/>
      </w:pPr>
      <w:r>
        <w:t xml:space="preserve">14. Worked Examples</w:t>
      </w:r>
    </w:p>
    <w:p>
      <w:pPr>
        <w:pStyle w:val="FirstParagraph"/>
      </w:pPr>
      <w:r>
        <w:rPr>
          <w:bCs/>
          <w:b/>
        </w:rPr>
        <w:t xml:space="preserve">14.1 Several AI systems, one topic.</w:t>
      </w:r>
      <w:r>
        <w:t xml:space="preserve"> </w:t>
      </w:r>
      <w:r>
        <w:t xml:space="preserve">Claude, Grok, Perplexity, and ChatGPT each independently produce a governance framework for ONESTAMP itself. Each becomes its own Contribution Entry under one Topic Ledger Entry (</w:t>
      </w:r>
      <w:r>
        <w:t xml:space="preserve">“</w:t>
      </w:r>
      <w:r>
        <w:t xml:space="preserve">ONESTAMP Convention</w:t>
      </w:r>
      <w:r>
        <w:t xml:space="preserve">”</w:t>
      </w:r>
      <w:r>
        <w:t xml:space="preserve">). None supersedes the others. If the Architect later authorizes one of them, in whole or in part, for actual OAL use, that is a separate</w:t>
      </w:r>
      <w:r>
        <w:t xml:space="preserve"> </w:t>
      </w:r>
      <w:r>
        <w:rPr>
          <w:bCs/>
          <w:b/>
        </w:rPr>
        <w:t xml:space="preserve">SELECT</w:t>
      </w:r>
      <w:r>
        <w:t xml:space="preserve"> </w:t>
      </w:r>
      <w:r>
        <w:t xml:space="preserve">or</w:t>
      </w:r>
      <w:r>
        <w:t xml:space="preserve"> </w:t>
      </w:r>
      <w:r>
        <w:rPr>
          <w:bCs/>
          <w:b/>
        </w:rPr>
        <w:t xml:space="preserve">ADOPT</w:t>
      </w:r>
      <w:r>
        <w:t xml:space="preserve"> </w:t>
      </w:r>
      <w:r>
        <w:t xml:space="preserve">act, scoped explicitly — it does not retroactively make the unselected frameworks wrong, and their authors remain free to have written something genuinely different from one another.</w:t>
      </w:r>
    </w:p>
    <w:p>
      <w:pPr>
        <w:pStyle w:val="BodyText"/>
      </w:pPr>
      <w:r>
        <w:rPr>
          <w:bCs/>
          <w:b/>
        </w:rPr>
        <w:t xml:space="preserve">14.2 Topic ratified, claims still contested.</w:t>
      </w:r>
      <w:r>
        <w:t xml:space="preserve"> </w:t>
      </w:r>
      <w:r>
        <w:t xml:space="preserve">The Generalized Superposition Framework receives topic-level</w:t>
      </w:r>
      <w:r>
        <w:t xml:space="preserve"> </w:t>
      </w:r>
      <w:r>
        <w:rPr>
          <w:bCs/>
          <w:b/>
        </w:rPr>
        <w:t xml:space="preserve">NOTICE</w:t>
      </w:r>
      <w:r>
        <w:t xml:space="preserve"> </w:t>
      </w:r>
      <w:r>
        <w:t xml:space="preserve">under the blanket ratification (Section 6). Two artifacts under that topic disagree about a specific mechanism. Both stay on record at Confidence: not assessed or contested as appropriate; the topic’s recognition is untouched by the disagreement, and a future</w:t>
      </w:r>
      <w:r>
        <w:t xml:space="preserve"> </w:t>
      </w:r>
      <w:r>
        <w:rPr>
          <w:bCs/>
          <w:b/>
        </w:rPr>
        <w:t xml:space="preserve">WEIGH</w:t>
      </w:r>
      <w:r>
        <w:t xml:space="preserve"> </w:t>
      </w:r>
      <w:r>
        <w:t xml:space="preserve">act can update the Confidence axis on either artifact without touching the topic’s status at all.</w:t>
      </w:r>
    </w:p>
    <w:p>
      <w:pPr>
        <w:pStyle w:val="BodyText"/>
      </w:pPr>
      <w:r>
        <w:rPr>
          <w:bCs/>
          <w:b/>
        </w:rPr>
        <w:t xml:space="preserve">14.3 A published document gets revised.</w:t>
      </w:r>
      <w:r>
        <w:t xml:space="preserve"> </w:t>
      </w:r>
      <w:r>
        <w:t xml:space="preserve">A document is released to GitHub (Act:</w:t>
      </w:r>
      <w:r>
        <w:t xml:space="preserve"> </w:t>
      </w:r>
      <w:r>
        <w:rPr>
          <w:bCs/>
          <w:b/>
        </w:rPr>
        <w:t xml:space="preserve">RELEASE</w:t>
      </w:r>
      <w:r>
        <w:t xml:space="preserve">). A month later, an error is found. The correction is issued as an Amendment Entry, and a new revision of the Contribution Entry is created. The original, uncorrected release remains readable and dated as it was; the registry now also shows the correction, when it happened, and why — nobody has to guess which version was</w:t>
      </w:r>
      <w:r>
        <w:t xml:space="preserve"> </w:t>
      </w:r>
      <w:r>
        <w:t xml:space="preserve">“</w:t>
      </w:r>
      <w:r>
        <w:t xml:space="preserve">the real one</w:t>
      </w:r>
      <w:r>
        <w:t xml:space="preserve">”</w:t>
      </w:r>
      <w:r>
        <w:t xml:space="preserve"> </w:t>
      </w:r>
      <w:r>
        <w:t xml:space="preserve">at any point in the timeline.</w:t>
      </w:r>
    </w:p>
    <w:p>
      <w:pPr>
        <w:pStyle w:val="BodyText"/>
      </w:pPr>
      <w:r>
        <w:rPr>
          <w:bCs/>
          <w:b/>
        </w:rPr>
        <w:t xml:space="preserve">14.4 A legacy topic missing from the first registry pass.</w:t>
      </w:r>
      <w:r>
        <w:t xml:space="preserve"> </w:t>
      </w:r>
      <w:r>
        <w:t xml:space="preserve">A qualifying topic existed in the Master Development Changelog at the effective ratification timestamp but is only noticed and entered into the registry weeks later. Under Section 6.4, its Topic Ledger Entry records the</w:t>
      </w:r>
      <w:r>
        <w:t xml:space="preserve"> </w:t>
      </w:r>
      <w:r>
        <w:rPr>
          <w:iCs/>
          <w:i/>
        </w:rPr>
        <w:t xml:space="preserve">original</w:t>
      </w:r>
      <w:r>
        <w:t xml:space="preserve"> </w:t>
      </w:r>
      <w:r>
        <w:t xml:space="preserve">effective date, not the date it was actually added to the registry. The gap was in the inventory, not in the topic’s standing.</w:t>
      </w:r>
    </w:p>
    <w:p>
      <w:r>
        <w:pict>
          <v:rect style="width:0;height:1.5pt" o:hralign="center" o:hrstd="t" o:hr="t"/>
        </w:pict>
      </w:r>
    </w:p>
    <w:bookmarkEnd w:id="44"/>
    <w:bookmarkStart w:id="45" w:name="implementation-plan"/>
    <w:p>
      <w:pPr>
        <w:pStyle w:val="Heading2"/>
      </w:pPr>
      <w:r>
        <w:t xml:space="preserve">15. Implementation Plan</w:t>
      </w:r>
    </w:p>
    <w:p>
      <w:pPr>
        <w:numPr>
          <w:ilvl w:val="0"/>
          <w:numId w:val="1005"/>
        </w:numPr>
        <w:pStyle w:val="Compact"/>
      </w:pPr>
      <w:r>
        <w:rPr>
          <w:bCs/>
          <w:b/>
        </w:rPr>
        <w:t xml:space="preserve">Stand up the registry.</w:t>
      </w:r>
      <w:r>
        <w:t xml:space="preserve"> </w:t>
      </w:r>
      <w:r>
        <w:t xml:space="preserve">Create the object types in Section 7 in whatever storage the Architect prefers (a structured file, a spreadsheet, or a GitHub-hosted index) — the format matters less than that every object type exists and is linked.</w:t>
      </w:r>
    </w:p>
    <w:p>
      <w:pPr>
        <w:numPr>
          <w:ilvl w:val="0"/>
          <w:numId w:val="1005"/>
        </w:numPr>
        <w:pStyle w:val="Compact"/>
      </w:pPr>
      <w:r>
        <w:rPr>
          <w:bCs/>
          <w:b/>
        </w:rPr>
        <w:t xml:space="preserve">Seed it from the blanket ratification.</w:t>
      </w:r>
      <w:r>
        <w:t xml:space="preserve"> </w:t>
      </w:r>
      <w:r>
        <w:t xml:space="preserve">Enter every topic that qualifies under Section 6.1 as a Topic Ledger Entry, dated to the effective timestamp, before anything else.</w:t>
      </w:r>
    </w:p>
    <w:p>
      <w:pPr>
        <w:numPr>
          <w:ilvl w:val="0"/>
          <w:numId w:val="1005"/>
        </w:numPr>
        <w:pStyle w:val="Compact"/>
      </w:pPr>
      <w:r>
        <w:rPr>
          <w:bCs/>
          <w:b/>
        </w:rPr>
        <w:t xml:space="preserve">Attach existing material.</w:t>
      </w:r>
      <w:r>
        <w:t xml:space="preserve"> </w:t>
      </w:r>
      <w:r>
        <w:t xml:space="preserve">Link every already-produced Claude, Grok, Perplexity, and ChatGPT contribution to its Topic Ledger Entry as a Contribution Entry, preserving each one exactly as produced.</w:t>
      </w:r>
    </w:p>
    <w:p>
      <w:pPr>
        <w:numPr>
          <w:ilvl w:val="0"/>
          <w:numId w:val="1005"/>
        </w:numPr>
        <w:pStyle w:val="Compact"/>
      </w:pPr>
      <w:r>
        <w:rPr>
          <w:bCs/>
          <w:b/>
        </w:rPr>
        <w:t xml:space="preserve">Do not backfill confidence you don’t have.</w:t>
      </w:r>
      <w:r>
        <w:t xml:space="preserve"> </w:t>
      </w:r>
      <w:r>
        <w:t xml:space="preserve">Where an artifact hasn’t actually been reviewed or its claims haven’t actually been checked, record that honestly (Section 8) rather than defaulting to a value that implies more scrutiny happened than did.</w:t>
      </w:r>
    </w:p>
    <w:p>
      <w:pPr>
        <w:numPr>
          <w:ilvl w:val="0"/>
          <w:numId w:val="1005"/>
        </w:numPr>
        <w:pStyle w:val="Compact"/>
      </w:pPr>
      <w:r>
        <w:rPr>
          <w:bCs/>
          <w:b/>
        </w:rPr>
        <w:t xml:space="preserve">Reserve full Decision Records for what actually needs them.</w:t>
      </w:r>
      <w:r>
        <w:t xml:space="preserve"> </w:t>
      </w:r>
      <w:r>
        <w:t xml:space="preserve">Use the lightweight path (9.1) for ordinary recognition; save the full procedure (9.2–9.3) for the trigger conditions listed there.</w:t>
      </w:r>
    </w:p>
    <w:p>
      <w:pPr>
        <w:numPr>
          <w:ilvl w:val="0"/>
          <w:numId w:val="1005"/>
        </w:numPr>
        <w:pStyle w:val="Compact"/>
      </w:pPr>
      <w:r>
        <w:rPr>
          <w:bCs/>
          <w:b/>
        </w:rPr>
        <w:t xml:space="preserve">Treat this document itself as a Contribution Entry.</w:t>
      </w:r>
      <w:r>
        <w:t xml:space="preserve"> </w:t>
      </w:r>
      <w:r>
        <w:t xml:space="preserve">File it, alongside the Grok, Perplexity, and ChatGPT records, under a Topic Ledger Entry for</w:t>
      </w:r>
      <w:r>
        <w:t xml:space="preserve"> </w:t>
      </w:r>
      <w:r>
        <w:t xml:space="preserve">“</w:t>
      </w:r>
      <w:r>
        <w:t xml:space="preserve">ONESTAMP Convention</w:t>
      </w:r>
      <w:r>
        <w:t xml:space="preserve">”</w:t>
      </w:r>
      <w:r>
        <w:t xml:space="preserve"> </w:t>
      </w:r>
      <w:r>
        <w:t xml:space="preserve">— it should follow its own rules from the moment it exists.</w:t>
      </w:r>
    </w:p>
    <w:p>
      <w:pPr>
        <w:numPr>
          <w:ilvl w:val="0"/>
          <w:numId w:val="1005"/>
        </w:numPr>
        <w:pStyle w:val="Compact"/>
      </w:pPr>
      <w:r>
        <w:rPr>
          <w:bCs/>
          <w:b/>
        </w:rPr>
        <w:t xml:space="preserve">Let the Architect’s ratification (Section 16) be the first real Authorization Entry</w:t>
      </w:r>
      <w:r>
        <w:t xml:space="preserve"> </w:t>
      </w:r>
      <w:r>
        <w:t xml:space="preserve">written under this system, so the registry has a working example from day one.</w:t>
      </w:r>
    </w:p>
    <w:p>
      <w:r>
        <w:pict>
          <v:rect style="width:0;height:1.5pt" o:hralign="center" o:hrstd="t" o:hr="t"/>
        </w:pict>
      </w:r>
    </w:p>
    <w:bookmarkEnd w:id="45"/>
    <w:bookmarkStart w:id="46" w:name="architect-ratification-instrument"/>
    <w:p>
      <w:pPr>
        <w:pStyle w:val="Heading2"/>
      </w:pPr>
      <w:r>
        <w:t xml:space="preserve">16. Architect Ratification Instrument</w:t>
      </w:r>
    </w:p>
    <w:p>
      <w:pPr>
        <w:pStyle w:val="FirstParagraph"/>
      </w:pPr>
      <w:r>
        <w:t xml:space="preserve">The following is offered as a ready-to-use instrument, should the Architect choose to ratify blanket topic-level recognition under this convention specifically. It is drafted to authorize exactly what Section 6 describes — no more.</w:t>
      </w:r>
    </w:p>
    <w:p>
      <w:pPr>
        <w:pStyle w:val="SourceCode"/>
      </w:pPr>
      <w:r>
        <w:rPr>
          <w:rStyle w:val="VerbatimChar"/>
        </w:rPr>
        <w:t xml:space="preserve">ONESTAMP — ARCHITECT RATIFICATION</w:t>
      </w:r>
      <w:r>
        <w:br/>
      </w:r>
      <w:r>
        <w:br/>
      </w:r>
      <w:r>
        <w:rPr>
          <w:rStyle w:val="VerbatimChar"/>
        </w:rPr>
        <w:t xml:space="preserve">I, Nathan Lewis II, Architect of Omniversal Architect Labs / ONE Industries, hereby</w:t>
      </w:r>
      <w:r>
        <w:br/>
      </w:r>
      <w:r>
        <w:rPr>
          <w:rStyle w:val="VerbatimChar"/>
        </w:rPr>
        <w:t xml:space="preserve">declare topic-level ONESTAMP recognition (Act: NOTICE) for:</w:t>
      </w:r>
      <w:r>
        <w:br/>
      </w:r>
      <w:r>
        <w:br/>
      </w:r>
      <w:r>
        <w:rPr>
          <w:rStyle w:val="VerbatimChar"/>
        </w:rPr>
        <w:t xml:space="preserve">  (a) every OAL topic documented in the OAL Master Development Changelog as of</w:t>
      </w:r>
      <w:r>
        <w:br/>
      </w:r>
      <w:r>
        <w:rPr>
          <w:rStyle w:val="VerbatimChar"/>
        </w:rPr>
        <w:t xml:space="preserve">      the effective timestamp below, and</w:t>
      </w:r>
      <w:r>
        <w:br/>
      </w:r>
      <w:r>
        <w:rPr>
          <w:rStyle w:val="VerbatimChar"/>
        </w:rPr>
        <w:t xml:space="preserve">  (b) every OAL topic for which I have uploaded or published AI-generated project</w:t>
      </w:r>
      <w:r>
        <w:br/>
      </w:r>
      <w:r>
        <w:rPr>
          <w:rStyle w:val="VerbatimChar"/>
        </w:rPr>
        <w:t xml:space="preserve">      documentation on GitHub as of that timestamp,</w:t>
      </w:r>
      <w:r>
        <w:br/>
      </w:r>
      <w:r>
        <w:br/>
      </w:r>
      <w:r>
        <w:rPr>
          <w:rStyle w:val="VerbatimChar"/>
        </w:rPr>
        <w:t xml:space="preserve">including, without limitation: Presentation State Integrity, Generalized</w:t>
      </w:r>
      <w:r>
        <w:br/>
      </w:r>
      <w:r>
        <w:rPr>
          <w:rStyle w:val="VerbatimChar"/>
        </w:rPr>
        <w:t xml:space="preserve">Superposition Framework, Temporal Integrity and Temporal Aliasing, and Net</w:t>
      </w:r>
      <w:r>
        <w:br/>
      </w:r>
      <w:r>
        <w:rPr>
          <w:rStyle w:val="VerbatimChar"/>
        </w:rPr>
        <w:t xml:space="preserve">Defense Exercise.</w:t>
      </w:r>
      <w:r>
        <w:br/>
      </w:r>
      <w:r>
        <w:br/>
      </w:r>
      <w:r>
        <w:rPr>
          <w:rStyle w:val="VerbatimChar"/>
        </w:rPr>
        <w:t xml:space="preserve">This declaration recognizes each named topic as part of OAL's plural body of</w:t>
      </w:r>
      <w:r>
        <w:br/>
      </w:r>
      <w:r>
        <w:rPr>
          <w:rStyle w:val="VerbatimChar"/>
        </w:rPr>
        <w:t xml:space="preserve">work. It does not certify any specific claim within any associated artifact,</w:t>
      </w:r>
      <w:r>
        <w:br/>
      </w:r>
      <w:r>
        <w:rPr>
          <w:rStyle w:val="VerbatimChar"/>
        </w:rPr>
        <w:t xml:space="preserve">does not declare consensus among contributors, and does not designate any</w:t>
      </w:r>
      <w:r>
        <w:br/>
      </w:r>
      <w:r>
        <w:rPr>
          <w:rStyle w:val="VerbatimChar"/>
        </w:rPr>
        <w:t xml:space="preserve">single document, AI system, or version as globally controlling. A qualifying</w:t>
      </w:r>
      <w:r>
        <w:br/>
      </w:r>
      <w:r>
        <w:rPr>
          <w:rStyle w:val="VerbatimChar"/>
        </w:rPr>
        <w:t xml:space="preserve">topic omitted from an early registry pass remains covered from this effective</w:t>
      </w:r>
      <w:r>
        <w:br/>
      </w:r>
      <w:r>
        <w:rPr>
          <w:rStyle w:val="VerbatimChar"/>
        </w:rPr>
        <w:t xml:space="preserve">date once identified.</w:t>
      </w:r>
      <w:r>
        <w:br/>
      </w:r>
      <w:r>
        <w:br/>
      </w:r>
      <w:r>
        <w:rPr>
          <w:rStyle w:val="VerbatimChar"/>
        </w:rPr>
        <w:t xml:space="preserve">Electronically signed: /s/ Nathan Lewis II</w:t>
      </w:r>
      <w:r>
        <w:br/>
      </w:r>
      <w:r>
        <w:rPr>
          <w:rStyle w:val="VerbatimChar"/>
        </w:rPr>
        <w:t xml:space="preserve">Role: Architect, Omniversal Architect Labs / ONE Industries</w:t>
      </w:r>
      <w:r>
        <w:br/>
      </w:r>
      <w:r>
        <w:rPr>
          <w:rStyle w:val="VerbatimChar"/>
        </w:rPr>
        <w:t xml:space="preserve">Effective: [timestamp]</w:t>
      </w:r>
    </w:p>
    <w:p>
      <w:r>
        <w:pict>
          <v:rect style="width:0;height:1.5pt" o:hralign="center" o:hrstd="t" o:hr="t"/>
        </w:pict>
      </w:r>
    </w:p>
    <w:bookmarkEnd w:id="46"/>
    <w:bookmarkStart w:id="47" w:name="source-posture"/>
    <w:p>
      <w:pPr>
        <w:pStyle w:val="Heading2"/>
      </w:pPr>
      <w:r>
        <w:t xml:space="preserve">17. Source Posture</w:t>
      </w:r>
    </w:p>
    <w:p>
      <w:pPr>
        <w:pStyle w:val="FirstParagraph"/>
      </w:pPr>
      <w:r>
        <w:t xml:space="preserve">This document was written after reading the Grok record (</w:t>
      </w:r>
      <w:r>
        <w:rPr>
          <w:rStyle w:val="VerbatimChar"/>
        </w:rPr>
        <w:t xml:space="preserve">OAL-ONESTAMP-2026-001-GROK-A</w:t>
      </w:r>
      <w:r>
        <w:t xml:space="preserve">), the Perplexity record (</w:t>
      </w:r>
      <w:r>
        <w:rPr>
          <w:rStyle w:val="VerbatimChar"/>
        </w:rPr>
        <w:t xml:space="preserve">OAL-ONESTAMP-Perplexity-Independent-Version</w:t>
      </w:r>
      <w:r>
        <w:t xml:space="preserve">), and the ChatGPT record (</w:t>
      </w:r>
      <w:r>
        <w:rPr>
          <w:rStyle w:val="VerbatimChar"/>
        </w:rPr>
        <w:t xml:space="preserve">OAL-ONESTAMP-2026-001-CHATGPT-INDEPENDENT-v1.0</w:t>
      </w:r>
      <w:r>
        <w:t xml:space="preserve">). Those documents shaped Claude’s understanding of the problem space, the terminology already in circulation, and the design questions the Architect cares about. They are not incorporated here as controlling text, and no proposition from any of them is presented as Claude’s own conclusion unless Claude independently arrived at it and states it in Claude’s own words.</w:t>
      </w:r>
    </w:p>
    <w:p>
      <w:pPr>
        <w:pStyle w:val="BodyText"/>
      </w:pPr>
      <w:r>
        <w:t xml:space="preserve">Two deliberate points of departure, stated respectfully:</w:t>
      </w:r>
    </w:p>
    <w:p>
      <w:pPr>
        <w:numPr>
          <w:ilvl w:val="0"/>
          <w:numId w:val="1006"/>
        </w:numPr>
        <w:pStyle w:val="Compact"/>
      </w:pPr>
      <w:r>
        <w:t xml:space="preserve">Claude did not adopt a first-class</w:t>
      </w:r>
      <w:r>
        <w:t xml:space="preserve"> </w:t>
      </w:r>
      <w:r>
        <w:t xml:space="preserve">“</w:t>
      </w:r>
      <w:r>
        <w:t xml:space="preserve">representation vs. logical record</w:t>
      </w:r>
      <w:r>
        <w:t xml:space="preserve">”</w:t>
      </w:r>
      <w:r>
        <w:t xml:space="preserve"> </w:t>
      </w:r>
      <w:r>
        <w:t xml:space="preserve">distinction (file-format-level governance) as its own formal category the way the ChatGPT record does. Claude judges that distinction as useful implementation detail belonging inside a Contribution Entry’s revision history (Section 7.1), rather than as a governance-level concept requiring its own authorization act — this is a difference in organizational judgment, not a claim that the ChatGPT record’s approach is wrong.</w:t>
      </w:r>
    </w:p>
    <w:p>
      <w:pPr>
        <w:numPr>
          <w:ilvl w:val="0"/>
          <w:numId w:val="1006"/>
        </w:numPr>
        <w:pStyle w:val="Compact"/>
      </w:pPr>
      <w:r>
        <w:t xml:space="preserve">Claude organized status around seven axes (Section 8) rather than the eight-plus fields used elsewhere. This is a compression choice made for usability, not a claim that the omitted distinctions (for instance, a separate</w:t>
      </w:r>
      <w:r>
        <w:t xml:space="preserve"> </w:t>
      </w:r>
      <w:r>
        <w:t xml:space="preserve">“</w:t>
      </w:r>
      <w:r>
        <w:t xml:space="preserve">representation state</w:t>
      </w:r>
      <w:r>
        <w:t xml:space="preserve">”</w:t>
      </w:r>
      <w:r>
        <w:t xml:space="preserve"> </w:t>
      </w:r>
      <w:r>
        <w:t xml:space="preserve">axis) are unimportant — they can be added to a specific registry implementation if the Architect finds them useful.</w:t>
      </w:r>
    </w:p>
    <w:p>
      <w:pPr>
        <w:pStyle w:val="FirstParagraph"/>
      </w:pPr>
      <w:r>
        <w:t xml:space="preserve">Claude does not claim that Grok, Perplexity, or ChatGPT would endorse this document’s structure, terminology, or design choices, and does not claim this document resolves the open questions the Grok record poses in its own Section 16 — those remain open, for the Architect to decide.</w:t>
      </w:r>
    </w:p>
    <w:p>
      <w:r>
        <w:pict>
          <v:rect style="width:0;height:1.5pt" o:hralign="center" o:hrstd="t" o:hr="t"/>
        </w:pict>
      </w:r>
    </w:p>
    <w:bookmarkEnd w:id="47"/>
    <w:bookmarkStart w:id="48" w:name="record-status-notice"/>
    <w:p>
      <w:pPr>
        <w:pStyle w:val="Heading2"/>
      </w:pPr>
      <w:r>
        <w:t xml:space="preserve">18. Record-Status Notice</w:t>
      </w:r>
    </w:p>
    <w:p>
      <w:pPr>
        <w:pStyle w:val="FirstParagraph"/>
      </w:pPr>
      <w:r>
        <w:t xml:space="preserve">This document is Claude’s independent, non-exclusive, non-superseding contributor record. It stands alongside — not above — the Grok, Perplexity, and ChatGPT ONESTAMP records, and awaits any scoped decision the Architect chooses to make about which elements of which record, if any, OAL adopts for actual use.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2026-09-27T02:33:49Z</dcterms:created>
  <dcterms:modified xsi:type="dcterms:W3CDTF">2026-09-27T02:33:49Z</dcterms:modified>
</cp:coreProperties>
</file>

<file path=docProps/custom.xml><?xml version="1.0" encoding="utf-8"?>
<Properties xmlns="http://schemas.openxmlformats.org/officeDocument/2006/custom-properties" xmlns:vt="http://schemas.openxmlformats.org/officeDocument/2006/docPropsVTypes"/>
</file>