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ONESTAMP</w:t>
      </w:r>
      <w:r>
        <w:t xml:space="preserve"> </w:t>
      </w:r>
      <w:r>
        <w:t xml:space="preserve">Authorization</w:t>
      </w:r>
      <w:r>
        <w:t xml:space="preserve"> </w:t>
      </w:r>
      <w:r>
        <w:t xml:space="preserve">Convention</w:t>
      </w:r>
    </w:p>
    <w:p>
      <w:pPr>
        <w:pStyle w:val="Subtitle"/>
      </w:pPr>
      <w:r>
        <w:t xml:space="preserve">Policy</w:t>
      </w:r>
      <w:r>
        <w:t xml:space="preserve"> </w:t>
      </w:r>
      <w:r>
        <w:t xml:space="preserve">Framework</w:t>
      </w:r>
      <w:r>
        <w:t xml:space="preserve"> </w:t>
      </w:r>
      <w:r>
        <w:t xml:space="preserve">for</w:t>
      </w:r>
      <w:r>
        <w:t xml:space="preserve"> </w:t>
      </w:r>
      <w:r>
        <w:t xml:space="preserve">Plural</w:t>
      </w:r>
      <w:r>
        <w:t xml:space="preserve"> </w:t>
      </w:r>
      <w:r>
        <w:t xml:space="preserve">Approvals</w:t>
      </w:r>
      <w:r>
        <w:t xml:space="preserve"> </w:t>
      </w:r>
      <w:r>
        <w:t xml:space="preserve">Without</w:t>
      </w:r>
      <w:r>
        <w:t xml:space="preserve"> </w:t>
      </w:r>
      <w:r>
        <w:t xml:space="preserve">Version</w:t>
      </w:r>
      <w:r>
        <w:t xml:space="preserve"> </w:t>
      </w:r>
      <w:r>
        <w:t xml:space="preserve">Monopoly</w:t>
      </w:r>
    </w:p>
    <w:p>
      <w:pPr>
        <w:pStyle w:val="FirstParagraph"/>
      </w:pPr>
      <w:r>
        <w:rPr>
          <w:bCs/>
          <w:b/>
        </w:rPr>
        <w:t xml:space="preserve">Document class:</w:t>
      </w:r>
      <w:r>
        <w:t xml:space="preserve"> </w:t>
      </w:r>
      <w:r>
        <w:t xml:space="preserve">Independent contributor record (Grok AI)</w:t>
      </w:r>
      <w:r>
        <w:br/>
      </w:r>
      <w:r>
        <w:rPr>
          <w:bCs/>
          <w:b/>
        </w:rPr>
        <w:t xml:space="preserve">Record ID:</w:t>
      </w:r>
      <w:r>
        <w:t xml:space="preserve"> </w:t>
      </w:r>
      <w:r>
        <w:t xml:space="preserve">OAL-ONESTAMP-2026-001-GROK-A</w:t>
      </w:r>
      <w:r>
        <w:br/>
      </w:r>
      <w:r>
        <w:rPr>
          <w:bCs/>
          <w:b/>
        </w:rPr>
        <w:t xml:space="preserve">Date:</w:t>
      </w:r>
      <w:r>
        <w:t xml:space="preserve"> </w:t>
      </w:r>
      <w:r>
        <w:t xml:space="preserve">13 September 2026</w:t>
      </w:r>
      <w:r>
        <w:br/>
      </w:r>
      <w:r>
        <w:rPr>
          <w:bCs/>
          <w:b/>
        </w:rPr>
        <w:t xml:space="preserve">Prepared for:</w:t>
      </w:r>
      <w:r>
        <w:t xml:space="preserve"> </w:t>
      </w:r>
      <w:r>
        <w:t xml:space="preserve">Nathan Lewis II, Architect, Omniversal Architect Labs / ONE Industries</w:t>
      </w:r>
      <w:r>
        <w:br/>
      </w:r>
      <w:r>
        <w:rPr>
          <w:bCs/>
          <w:b/>
        </w:rPr>
        <w:t xml:space="preserve">Status:</w:t>
      </w:r>
      <w:r>
        <w:t xml:space="preserve"> </w:t>
      </w:r>
      <w:r>
        <w:t xml:space="preserve">Recorded / Acknowledged candidate — not stamped as controlling policy</w:t>
      </w:r>
      <w:r>
        <w:br/>
      </w:r>
      <w:r>
        <w:rPr>
          <w:bCs/>
          <w:b/>
        </w:rPr>
        <w:t xml:space="preserve">Companion records considered:</w:t>
      </w:r>
      <w:r>
        <w:t xml:space="preserve"> </w:t>
      </w:r>
      <w:r>
        <w:t xml:space="preserve">Architect original prompt; Perplexity synthesis (OAL-ONESTAMP-2026-001-PERPLEXITY-A)</w:t>
      </w:r>
    </w:p>
    <w:p>
      <w:pPr>
        <w:pStyle w:val="BodyText"/>
      </w:pPr>
      <w:r>
        <w:rPr>
          <w:iCs/>
          <w:i/>
        </w:rPr>
        <w:t xml:space="preserve">This document is a Grok contribution to the ONESTAMP documentation project. It does not supersede the Architect’s prompt, Perplexity’s framework, or any other system’s record. It is offered as one valid approach among others.</w:t>
      </w:r>
    </w:p>
    <w:bookmarkStart w:id="20" w:name="purpose-of-this-record"/>
    <w:p>
      <w:pPr>
        <w:pStyle w:val="Heading1"/>
      </w:pPr>
      <w:r>
        <w:t xml:space="preserve">1. Purpose of This Record</w:t>
      </w:r>
    </w:p>
    <w:p>
      <w:pPr>
        <w:pStyle w:val="FirstParagraph"/>
      </w:pPr>
      <w:r>
        <w:t xml:space="preserve">The Architect asked for official documentation of ONESTAMP: a convention that already appears on some documents (</w:t>
      </w:r>
      <w:r>
        <w:t xml:space="preserve">“</w:t>
      </w:r>
      <w:r>
        <w:t xml:space="preserve">this version is approved / electronically signed / one-stamped</w:t>
      </w:r>
      <w:r>
        <w:t xml:space="preserve">”</w:t>
      </w:r>
      <w:r>
        <w:t xml:space="preserve">) but has no governing framework. The risk of the old practice is that a stamp on one file is read as:</w:t>
      </w:r>
      <w:r>
        <w:t xml:space="preserve"> </w:t>
      </w:r>
      <w:r>
        <w:rPr>
          <w:iCs/>
          <w:i/>
        </w:rPr>
        <w:t xml:space="preserve">that file is the version; other files lost.</w:t>
      </w:r>
    </w:p>
    <w:p>
      <w:pPr>
        <w:pStyle w:val="BodyText"/>
      </w:pPr>
      <w:r>
        <w:t xml:space="preserve">The design goal is the opposite of version monopoly: every contributor keeps a living, attributable record; disagreement is project data; the Architect can still authorize a next action so work can move.</w:t>
      </w:r>
    </w:p>
    <w:bookmarkEnd w:id="20"/>
    <w:bookmarkStart w:id="26" w:name="founding-principles"/>
    <w:p>
      <w:pPr>
        <w:pStyle w:val="Heading1"/>
      </w:pPr>
      <w:r>
        <w:t xml:space="preserve">2. Founding Principles</w:t>
      </w:r>
    </w:p>
    <w:bookmarkStart w:id="21" w:name="approval-is-a-decision-state-not-a-crown"/>
    <w:p>
      <w:pPr>
        <w:pStyle w:val="Heading2"/>
      </w:pPr>
      <w:r>
        <w:t xml:space="preserve">2.1 Approval is a decision state, not a crown</w:t>
      </w:r>
    </w:p>
    <w:p>
      <w:pPr>
        <w:pStyle w:val="FirstParagraph"/>
      </w:pPr>
      <w:r>
        <w:t xml:space="preserve">ONESTAMP certifies that a defined project state may proceed. It does not transfer ownership of the narrative to one draft. Other records remain valid unless the Architect separately and explicitly withdraws, retires, or scopes them.</w:t>
      </w:r>
    </w:p>
    <w:bookmarkEnd w:id="21"/>
    <w:bookmarkStart w:id="22" w:name="non-erasure"/>
    <w:p>
      <w:pPr>
        <w:pStyle w:val="Heading2"/>
      </w:pPr>
      <w:r>
        <w:t xml:space="preserve">2.2 Non-Erasure</w:t>
      </w:r>
    </w:p>
    <w:p>
      <w:pPr>
        <w:pStyle w:val="FirstParagraph"/>
      </w:pPr>
      <w:r>
        <w:t xml:space="preserve">Authorization of an action does not erase alternatives, minority positions, unresolved questions, or parallel methods. History is additive. Successor records supersede operational effect for a named scope; they do not rewrite prior records to look unanimous.</w:t>
      </w:r>
    </w:p>
    <w:bookmarkEnd w:id="22"/>
    <w:bookmarkStart w:id="23" w:name="Xb6dea6ce85b9d02477c62ff10a82d3fa769400e"/>
    <w:p>
      <w:pPr>
        <w:pStyle w:val="Heading2"/>
      </w:pPr>
      <w:r>
        <w:t xml:space="preserve">2.3 Decision authority is not exclusive interpretive authority</w:t>
      </w:r>
    </w:p>
    <w:p>
      <w:pPr>
        <w:pStyle w:val="FirstParagraph"/>
      </w:pPr>
      <w:r>
        <w:t xml:space="preserve">The Architect holds final authority over release, test path, publication, ethics, timing, and resources. That authority does not require claiming that unchosen paths are invalid as records of thought.</w:t>
      </w:r>
    </w:p>
    <w:bookmarkEnd w:id="23"/>
    <w:bookmarkStart w:id="24" w:name="disagreement-is-valid-by-default"/>
    <w:p>
      <w:pPr>
        <w:pStyle w:val="Heading2"/>
      </w:pPr>
      <w:r>
        <w:t xml:space="preserve">2.4 Disagreement is valid by default</w:t>
      </w:r>
    </w:p>
    <w:p>
      <w:pPr>
        <w:pStyle w:val="FirstParagraph"/>
      </w:pPr>
      <w:r>
        <w:t xml:space="preserve">Contributors will not unify on voice, structure, or recommendation. The system treats that as expected, not as process failure. Consensus is optional. Documented dissent is required when dissent exists.</w:t>
      </w:r>
    </w:p>
    <w:bookmarkEnd w:id="24"/>
    <w:bookmarkStart w:id="25" w:name="stamp-the-packet-not-the-winner"/>
    <w:p>
      <w:pPr>
        <w:pStyle w:val="Heading2"/>
      </w:pPr>
      <w:r>
        <w:t xml:space="preserve">2.5 Stamp the packet, not the winner</w:t>
      </w:r>
    </w:p>
    <w:p>
      <w:pPr>
        <w:pStyle w:val="FirstParagraph"/>
      </w:pPr>
      <w:r>
        <w:t xml:space="preserve">The stamp attaches to an identified Decision Record and its Source Register. Stamping a single contributor file as</w:t>
      </w:r>
      <w:r>
        <w:t xml:space="preserve"> </w:t>
      </w:r>
      <w:r>
        <w:t xml:space="preserve">“</w:t>
      </w:r>
      <w:r>
        <w:t xml:space="preserve">the official version</w:t>
      </w:r>
      <w:r>
        <w:t xml:space="preserve">”</w:t>
      </w:r>
      <w:r>
        <w:t xml:space="preserve"> </w:t>
      </w:r>
      <w:r>
        <w:t xml:space="preserve">is reserved for rare, explicit, scoped grants — and even then the archive of other records remains.</w:t>
      </w:r>
    </w:p>
    <w:bookmarkEnd w:id="25"/>
    <w:bookmarkEnd w:id="26"/>
    <w:bookmarkStart w:id="27" w:name="four-layer-model"/>
    <w:p>
      <w:pPr>
        <w:pStyle w:val="Heading1"/>
      </w:pPr>
      <w:r>
        <w:t xml:space="preserve">3. Four-Layer Model</w:t>
      </w:r>
    </w:p>
    <w:p>
      <w:pPr>
        <w:pStyle w:val="FirstParagraph"/>
      </w:pPr>
      <w:r>
        <w:t xml:space="preserve">Keep these layers separate so a well-written draft cannot accidentally become policy.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What it is</w:t>
            </w:r>
          </w:p>
        </w:tc>
        <w:tc>
          <w:tcPr/>
          <w:p>
            <w:pPr>
              <w:pStyle w:val="Compact"/>
              <w:jc w:val="left"/>
            </w:pPr>
            <w:r>
              <w:t xml:space="preserve">What it is not</w:t>
            </w:r>
          </w:p>
        </w:tc>
      </w:tr>
      <w:tr>
        <w:tc>
          <w:tcPr/>
          <w:p>
            <w:pPr>
              <w:pStyle w:val="Compact"/>
              <w:jc w:val="left"/>
            </w:pPr>
            <w:r>
              <w:t xml:space="preserve">Contributor record</w:t>
            </w:r>
          </w:p>
        </w:tc>
        <w:tc>
          <w:tcPr/>
          <w:p>
            <w:pPr>
              <w:pStyle w:val="Compact"/>
              <w:jc w:val="left"/>
            </w:pPr>
            <w:r>
              <w:t xml:space="preserve">Independent draft, critique, map, or proposal with attribution</w:t>
            </w:r>
          </w:p>
        </w:tc>
        <w:tc>
          <w:tcPr/>
          <w:p>
            <w:pPr>
              <w:pStyle w:val="Compact"/>
              <w:jc w:val="left"/>
            </w:pPr>
            <w:r>
              <w:t xml:space="preserve">Project law or a controlling narrative</w:t>
            </w:r>
          </w:p>
        </w:tc>
      </w:tr>
      <w:tr>
        <w:tc>
          <w:tcPr/>
          <w:p>
            <w:pPr>
              <w:pStyle w:val="Compact"/>
              <w:jc w:val="left"/>
            </w:pPr>
            <w:r>
              <w:t xml:space="preserve">Synthesis / map</w:t>
            </w:r>
          </w:p>
        </w:tc>
        <w:tc>
          <w:tcPr/>
          <w:p>
            <w:pPr>
              <w:pStyle w:val="Compact"/>
              <w:jc w:val="left"/>
            </w:pPr>
            <w:r>
              <w:t xml:space="preserve">A view of overlap, conflict, options, and implications</w:t>
            </w:r>
          </w:p>
        </w:tc>
        <w:tc>
          <w:tcPr/>
          <w:p>
            <w:pPr>
              <w:pStyle w:val="Compact"/>
              <w:jc w:val="left"/>
            </w:pPr>
            <w:r>
              <w:t xml:space="preserve">A merger that replaces source voices</w:t>
            </w:r>
          </w:p>
        </w:tc>
      </w:tr>
      <w:tr>
        <w:tc>
          <w:tcPr/>
          <w:p>
            <w:pPr>
              <w:pStyle w:val="Compact"/>
              <w:jc w:val="left"/>
            </w:pPr>
            <w:r>
              <w:t xml:space="preserve">Decision record</w:t>
            </w:r>
          </w:p>
        </w:tc>
        <w:tc>
          <w:tcPr/>
          <w:p>
            <w:pPr>
              <w:pStyle w:val="Compact"/>
              <w:jc w:val="left"/>
            </w:pPr>
            <w:r>
              <w:t xml:space="preserve">Architect statement of what may proceed, what is deferred, and why</w:t>
            </w:r>
          </w:p>
        </w:tc>
        <w:tc>
          <w:tcPr/>
          <w:p>
            <w:pPr>
              <w:pStyle w:val="Compact"/>
              <w:jc w:val="left"/>
            </w:pPr>
            <w:r>
              <w:t xml:space="preserve">Proof of unanimous agreement</w:t>
            </w:r>
          </w:p>
        </w:tc>
      </w:tr>
      <w:tr>
        <w:tc>
          <w:tcPr/>
          <w:p>
            <w:pPr>
              <w:pStyle w:val="Compact"/>
              <w:jc w:val="left"/>
            </w:pPr>
            <w:r>
              <w:t xml:space="preserve">ONESTAMP verification</w:t>
            </w:r>
          </w:p>
        </w:tc>
        <w:tc>
          <w:tcPr/>
          <w:p>
            <w:pPr>
              <w:pStyle w:val="Compact"/>
              <w:jc w:val="left"/>
            </w:pPr>
            <w:r>
              <w:t xml:space="preserve">Electronic authorization of that named state</w:t>
            </w:r>
          </w:p>
        </w:tc>
        <w:tc>
          <w:tcPr/>
          <w:p>
            <w:pPr>
              <w:pStyle w:val="Compact"/>
              <w:jc w:val="left"/>
            </w:pPr>
            <w:r>
              <w:t xml:space="preserve">Ownership transfer or invalidation of other versions</w:t>
            </w:r>
          </w:p>
        </w:tc>
      </w:tr>
    </w:tbl>
    <w:p>
      <w:pPr>
        <w:pStyle w:val="BodyText"/>
      </w:pPr>
      <w:r>
        <w:rPr>
          <w:bCs/>
          <w:b/>
        </w:rPr>
        <w:t xml:space="preserve">Grok addition:</w:t>
      </w:r>
      <w:r>
        <w:t xml:space="preserve"> </w:t>
      </w:r>
      <w:r>
        <w:t xml:space="preserve">treat the Source Register as first-class. If a contribution is not listed, it was not considered. If it is listed, later readers can recover it without asking which system</w:t>
      </w:r>
      <w:r>
        <w:t xml:space="preserve"> </w:t>
      </w:r>
      <w:r>
        <w:t xml:space="preserve">“</w:t>
      </w:r>
      <w:r>
        <w:t xml:space="preserve">won.</w:t>
      </w:r>
      <w:r>
        <w:t xml:space="preserve">”</w:t>
      </w:r>
    </w:p>
    <w:bookmarkEnd w:id="27"/>
    <w:bookmarkStart w:id="28" w:name="status-vocabulary"/>
    <w:p>
      <w:pPr>
        <w:pStyle w:val="Heading1"/>
      </w:pPr>
      <w:r>
        <w:t xml:space="preserve">4. Status Vocabulary</w:t>
      </w:r>
    </w:p>
    <w:p>
      <w:pPr>
        <w:pStyle w:val="FirstParagraph"/>
      </w:pPr>
      <w:r>
        <w:t xml:space="preserve">Do not use a binary approved / not approved as the only language. Statuses below may be applied to a contribution, a method, or a decision state — always with a stated object.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Effect on other work</w:t>
            </w:r>
          </w:p>
        </w:tc>
      </w:tr>
      <w:tr>
        <w:tc>
          <w:tcPr/>
          <w:p>
            <w:pPr>
              <w:pStyle w:val="Compact"/>
              <w:jc w:val="left"/>
            </w:pPr>
            <w:r>
              <w:t xml:space="preserve">Recorded</w:t>
            </w:r>
          </w:p>
        </w:tc>
        <w:tc>
          <w:tcPr/>
          <w:p>
            <w:pPr>
              <w:pStyle w:val="Compact"/>
              <w:jc w:val="left"/>
            </w:pPr>
            <w:r>
              <w:t xml:space="preserve">Received and archived with attribution</w:t>
            </w:r>
          </w:p>
        </w:tc>
        <w:tc>
          <w:tcPr/>
          <w:p>
            <w:pPr>
              <w:pStyle w:val="Compact"/>
              <w:jc w:val="left"/>
            </w:pPr>
            <w:r>
              <w:t xml:space="preserve">Independent and valid as a record</w:t>
            </w:r>
          </w:p>
        </w:tc>
      </w:tr>
      <w:tr>
        <w:tc>
          <w:tcPr/>
          <w:p>
            <w:pPr>
              <w:pStyle w:val="Compact"/>
              <w:jc w:val="left"/>
            </w:pPr>
            <w:r>
              <w:t xml:space="preserve">Acknowledged</w:t>
            </w:r>
          </w:p>
        </w:tc>
        <w:tc>
          <w:tcPr/>
          <w:p>
            <w:pPr>
              <w:pStyle w:val="Compact"/>
              <w:jc w:val="left"/>
            </w:pPr>
            <w:r>
              <w:t xml:space="preserve">Reviewed as relevant</w:t>
            </w:r>
          </w:p>
        </w:tc>
        <w:tc>
          <w:tcPr/>
          <w:p>
            <w:pPr>
              <w:pStyle w:val="Compact"/>
              <w:jc w:val="left"/>
            </w:pPr>
            <w:r>
              <w:t xml:space="preserve">Not adopted</w:t>
            </w:r>
          </w:p>
        </w:tc>
      </w:tr>
      <w:tr>
        <w:tc>
          <w:tcPr/>
          <w:p>
            <w:pPr>
              <w:pStyle w:val="Compact"/>
              <w:jc w:val="left"/>
            </w:pPr>
            <w:r>
              <w:t xml:space="preserve">Supported</w:t>
            </w:r>
          </w:p>
        </w:tc>
        <w:tc>
          <w:tcPr/>
          <w:p>
            <w:pPr>
              <w:pStyle w:val="Compact"/>
              <w:jc w:val="left"/>
            </w:pPr>
            <w:r>
              <w:t xml:space="preserve">Strengths identified for carry-forward</w:t>
            </w:r>
          </w:p>
        </w:tc>
        <w:tc>
          <w:tcPr/>
          <w:p>
            <w:pPr>
              <w:pStyle w:val="Compact"/>
              <w:jc w:val="left"/>
            </w:pPr>
            <w:r>
              <w:t xml:space="preserve">Not controlling</w:t>
            </w:r>
          </w:p>
        </w:tc>
      </w:tr>
      <w:tr>
        <w:tc>
          <w:tcPr/>
          <w:p>
            <w:pPr>
              <w:pStyle w:val="Compact"/>
              <w:jc w:val="left"/>
            </w:pPr>
            <w:r>
              <w:t xml:space="preserve">Adopted for use</w:t>
            </w:r>
          </w:p>
        </w:tc>
        <w:tc>
          <w:tcPr/>
          <w:p>
            <w:pPr>
              <w:pStyle w:val="Compact"/>
              <w:jc w:val="left"/>
            </w:pPr>
            <w:r>
              <w:t xml:space="preserve">Selected for a named purpose or phase</w:t>
            </w:r>
          </w:p>
        </w:tc>
        <w:tc>
          <w:tcPr/>
          <w:p>
            <w:pPr>
              <w:pStyle w:val="Compact"/>
              <w:jc w:val="left"/>
            </w:pPr>
            <w:r>
              <w:t xml:space="preserve">Limited to stated scope</w:t>
            </w:r>
          </w:p>
        </w:tc>
      </w:tr>
      <w:tr>
        <w:tc>
          <w:tcPr/>
          <w:p>
            <w:pPr>
              <w:pStyle w:val="Compact"/>
              <w:jc w:val="left"/>
            </w:pPr>
            <w:r>
              <w:t xml:space="preserve">Approved to proceed</w:t>
            </w:r>
          </w:p>
        </w:tc>
        <w:tc>
          <w:tcPr/>
          <w:p>
            <w:pPr>
              <w:pStyle w:val="Compact"/>
              <w:jc w:val="left"/>
            </w:pPr>
            <w:r>
              <w:t xml:space="preserve">Architect authorizes a named action or state</w:t>
            </w:r>
          </w:p>
        </w:tc>
        <w:tc>
          <w:tcPr/>
          <w:p>
            <w:pPr>
              <w:pStyle w:val="Compact"/>
              <w:jc w:val="left"/>
            </w:pPr>
            <w:r>
              <w:t xml:space="preserve">Others preserved unless stated</w:t>
            </w:r>
          </w:p>
        </w:tc>
      </w:tr>
      <w:tr>
        <w:tc>
          <w:tcPr/>
          <w:p>
            <w:pPr>
              <w:pStyle w:val="Compact"/>
              <w:jc w:val="left"/>
            </w:pPr>
            <w:r>
              <w:t xml:space="preserve">Provisional</w:t>
            </w:r>
          </w:p>
        </w:tc>
        <w:tc>
          <w:tcPr/>
          <w:p>
            <w:pPr>
              <w:pStyle w:val="Compact"/>
              <w:jc w:val="left"/>
            </w:pPr>
            <w:r>
              <w:t xml:space="preserve">Usable now; review after trigger or date</w:t>
            </w:r>
          </w:p>
        </w:tc>
        <w:tc>
          <w:tcPr/>
          <w:p>
            <w:pPr>
              <w:pStyle w:val="Compact"/>
              <w:jc w:val="left"/>
            </w:pPr>
            <w:r>
              <w:t xml:space="preserve">Does not close alternatives</w:t>
            </w:r>
          </w:p>
        </w:tc>
      </w:tr>
      <w:tr>
        <w:tc>
          <w:tcPr/>
          <w:p>
            <w:pPr>
              <w:pStyle w:val="Compact"/>
              <w:jc w:val="left"/>
            </w:pPr>
            <w:r>
              <w:t xml:space="preserve">Parallel-valid</w:t>
            </w:r>
          </w:p>
        </w:tc>
        <w:tc>
          <w:tcPr/>
          <w:p>
            <w:pPr>
              <w:pStyle w:val="Compact"/>
              <w:jc w:val="left"/>
            </w:pPr>
            <w:r>
              <w:t xml:space="preserve">Multiple paths allowed to coexist</w:t>
            </w:r>
          </w:p>
        </w:tc>
        <w:tc>
          <w:tcPr/>
          <w:p>
            <w:pPr>
              <w:pStyle w:val="Compact"/>
              <w:jc w:val="left"/>
            </w:pPr>
            <w:r>
              <w:t xml:space="preserve">No declared dominant path</w:t>
            </w:r>
          </w:p>
        </w:tc>
      </w:tr>
      <w:tr>
        <w:tc>
          <w:tcPr/>
          <w:p>
            <w:pPr>
              <w:pStyle w:val="Compact"/>
              <w:jc w:val="left"/>
            </w:pPr>
            <w:r>
              <w:t xml:space="preserve">Dissent preserved</w:t>
            </w:r>
          </w:p>
        </w:tc>
        <w:tc>
          <w:tcPr/>
          <w:p>
            <w:pPr>
              <w:pStyle w:val="Compact"/>
              <w:jc w:val="left"/>
            </w:pPr>
            <w:r>
              <w:t xml:space="preserve">Disagreement or risk is official record</w:t>
            </w:r>
          </w:p>
        </w:tc>
        <w:tc>
          <w:tcPr/>
          <w:p>
            <w:pPr>
              <w:pStyle w:val="Compact"/>
              <w:jc w:val="left"/>
            </w:pPr>
            <w:r>
              <w:t xml:space="preserve">Dissent remains live data</w:t>
            </w:r>
          </w:p>
        </w:tc>
      </w:tr>
      <w:tr>
        <w:tc>
          <w:tcPr/>
          <w:p>
            <w:pPr>
              <w:pStyle w:val="Compact"/>
              <w:jc w:val="left"/>
            </w:pPr>
            <w:r>
              <w:t xml:space="preserve">Deferred</w:t>
            </w:r>
          </w:p>
        </w:tc>
        <w:tc>
          <w:tcPr/>
          <w:p>
            <w:pPr>
              <w:pStyle w:val="Compact"/>
              <w:jc w:val="left"/>
            </w:pPr>
            <w:r>
              <w:t xml:space="preserve">No decision yet, or more work needed</w:t>
            </w:r>
          </w:p>
        </w:tc>
        <w:tc>
          <w:tcPr/>
          <w:p>
            <w:pPr>
              <w:pStyle w:val="Compact"/>
              <w:jc w:val="left"/>
            </w:pPr>
            <w:r>
              <w:t xml:space="preserve">Delay is not rejection</w:t>
            </w:r>
          </w:p>
        </w:tc>
      </w:tr>
      <w:tr>
        <w:tc>
          <w:tcPr/>
          <w:p>
            <w:pPr>
              <w:pStyle w:val="Compact"/>
              <w:jc w:val="left"/>
            </w:pPr>
            <w:r>
              <w:t xml:space="preserve">Retired</w:t>
            </w:r>
          </w:p>
        </w:tc>
        <w:tc>
          <w:tcPr/>
          <w:p>
            <w:pPr>
              <w:pStyle w:val="Compact"/>
              <w:jc w:val="left"/>
            </w:pPr>
            <w:r>
              <w:t xml:space="preserve">Operational path no longer active</w:t>
            </w:r>
          </w:p>
        </w:tc>
        <w:tc>
          <w:tcPr/>
          <w:p>
            <w:pPr>
              <w:pStyle w:val="Compact"/>
              <w:jc w:val="left"/>
            </w:pPr>
            <w:r>
              <w:t xml:space="preserve">Historic record stays attributable</w:t>
            </w:r>
          </w:p>
        </w:tc>
      </w:tr>
      <w:tr>
        <w:tc>
          <w:tcPr/>
          <w:p>
            <w:pPr>
              <w:pStyle w:val="Compact"/>
              <w:jc w:val="left"/>
            </w:pPr>
            <w:r>
              <w:t xml:space="preserve">Superseded for scope</w:t>
            </w:r>
          </w:p>
        </w:tc>
        <w:tc>
          <w:tcPr/>
          <w:p>
            <w:pPr>
              <w:pStyle w:val="Compact"/>
              <w:jc w:val="left"/>
            </w:pPr>
            <w:r>
              <w:t xml:space="preserve">Prior decision replaced only for a named purpose</w:t>
            </w:r>
          </w:p>
        </w:tc>
        <w:tc>
          <w:tcPr/>
          <w:p>
            <w:pPr>
              <w:pStyle w:val="Compact"/>
              <w:jc w:val="left"/>
            </w:pPr>
            <w:r>
              <w:t xml:space="preserve">Old reasoning not erased</w:t>
            </w:r>
          </w:p>
        </w:tc>
      </w:tr>
    </w:tbl>
    <w:p>
      <w:pPr>
        <w:pStyle w:val="BodyText"/>
      </w:pPr>
      <w:r>
        <w:t xml:space="preserve">Preferred everyday phrase:</w:t>
      </w:r>
      <w:r>
        <w:t xml:space="preserve"> </w:t>
      </w:r>
      <w:r>
        <w:rPr>
          <w:bCs/>
          <w:b/>
        </w:rPr>
        <w:t xml:space="preserve">Approved to proceed.</w:t>
      </w:r>
      <w:r>
        <w:t xml:space="preserve"> </w:t>
      </w:r>
      <w:r>
        <w:t xml:space="preserve">Avoid</w:t>
      </w:r>
      <w:r>
        <w:t xml:space="preserve"> </w:t>
      </w:r>
      <w:r>
        <w:t xml:space="preserve">“</w:t>
      </w:r>
      <w:r>
        <w:t xml:space="preserve">the official version</w:t>
      </w:r>
      <w:r>
        <w:t xml:space="preserve">”</w:t>
      </w:r>
      <w:r>
        <w:t xml:space="preserve"> </w:t>
      </w:r>
      <w:r>
        <w:t xml:space="preserve">unless the Decision Record defines</w:t>
      </w:r>
      <w:r>
        <w:t xml:space="preserve"> </w:t>
      </w:r>
      <w:r>
        <w:t xml:space="preserve">“</w:t>
      </w:r>
      <w:r>
        <w:t xml:space="preserve">official</w:t>
      </w:r>
      <w:r>
        <w:t xml:space="preserve">”</w:t>
      </w:r>
      <w:r>
        <w:t xml:space="preserve"> </w:t>
      </w:r>
      <w:r>
        <w:t xml:space="preserve">as authorized-for-purpose, not exclusive-or-final.</w:t>
      </w:r>
    </w:p>
    <w:bookmarkEnd w:id="28"/>
    <w:bookmarkStart w:id="32" w:name="formal-definitions"/>
    <w:p>
      <w:pPr>
        <w:pStyle w:val="Heading1"/>
      </w:pPr>
      <w:r>
        <w:t xml:space="preserve">5. Formal Definitions</w:t>
      </w:r>
    </w:p>
    <w:bookmarkStart w:id="29" w:name="onestamp"/>
    <w:p>
      <w:pPr>
        <w:pStyle w:val="Heading2"/>
      </w:pPr>
      <w:r>
        <w:t xml:space="preserve">5.1 ONESTAMP</w:t>
      </w:r>
    </w:p>
    <w:p>
      <w:pPr>
        <w:pStyle w:val="FirstParagraph"/>
      </w:pPr>
      <w:r>
        <w:t xml:space="preserve">ONESTAMP is the Omniversal Architect Labs authorization and verification convention for recording an approved project state, decision, release, or action.</w:t>
      </w:r>
    </w:p>
    <w:p>
      <w:pPr>
        <w:pStyle w:val="BodyText"/>
      </w:pPr>
      <w:r>
        <w:t xml:space="preserve">An ONESTAMP does not establish a single contributor document as the sole controlling truth of a project unless the approval record explicitly grants that limited function for a named scope.</w:t>
      </w:r>
    </w:p>
    <w:p>
      <w:pPr>
        <w:pStyle w:val="BodyText"/>
      </w:pPr>
      <w:r>
        <w:t xml:space="preserve">By default, ONESTAMP verifies that the Architect has reviewed the identified project packet and has authorized the stated action, subject to stated scope, conditions, and preserved dissent.</w:t>
      </w:r>
    </w:p>
    <w:p>
      <w:pPr>
        <w:pStyle w:val="BodyText"/>
      </w:pPr>
      <w:r>
        <w:t xml:space="preserve">All independently attributed contributor records remain part of the project archive and retain status as valid records of their perspectives, proposals, analyses, and creative work.</w:t>
      </w:r>
    </w:p>
    <w:bookmarkEnd w:id="29"/>
    <w:bookmarkStart w:id="30" w:name="non-erasure-principle"/>
    <w:p>
      <w:pPr>
        <w:pStyle w:val="Heading2"/>
      </w:pPr>
      <w:r>
        <w:t xml:space="preserve">5.2 Non-Erasure Principle</w:t>
      </w:r>
    </w:p>
    <w:p>
      <w:pPr>
        <w:pStyle w:val="FirstParagraph"/>
      </w:pPr>
      <w:r>
        <w:t xml:space="preserve">Approval of a decision does not erase disagreement. A decision may be operationally authorized while alternatives, objections, minority positions, and unresolved questions remain preserved as valid elements of the project record.</w:t>
      </w:r>
    </w:p>
    <w:bookmarkEnd w:id="30"/>
    <w:bookmarkStart w:id="31" w:name="onestamp-approval-rule-short-form"/>
    <w:p>
      <w:pPr>
        <w:pStyle w:val="Heading2"/>
      </w:pPr>
      <w:r>
        <w:t xml:space="preserve">5.3 ONESTAMP Approval Rule (short form)</w:t>
      </w:r>
    </w:p>
    <w:p>
      <w:pPr>
        <w:pStyle w:val="FirstParagraph"/>
      </w:pPr>
      <w:r>
        <w:t xml:space="preserve">A ONESTAMP confirms that the Architect has authorized a defined project action or decision state. It does not automatically designate any one contributor document as the sole controlling version, erase independent work, require unanimity, or invalidate dissent. Decisions may be provisional, scoped, conditional, parallel-valid, or subject to scheduled review.</w:t>
      </w:r>
    </w:p>
    <w:bookmarkEnd w:id="31"/>
    <w:bookmarkEnd w:id="32"/>
    <w:bookmarkStart w:id="33" w:name="required-contents-of-a-decision-record"/>
    <w:p>
      <w:pPr>
        <w:pStyle w:val="Heading1"/>
      </w:pPr>
      <w:r>
        <w:t xml:space="preserve">6. Required Contents of a Decision Record</w:t>
      </w:r>
    </w:p>
    <w:p>
      <w:pPr>
        <w:pStyle w:val="FirstParagraph"/>
      </w:pPr>
      <w:r>
        <w:t xml:space="preserve">Stamp this object — not a lone essay — unless a scoped exception is written in the record itself.</w:t>
      </w:r>
    </w:p>
    <w:p>
      <w:pPr>
        <w:numPr>
          <w:ilvl w:val="0"/>
          <w:numId w:val="1001"/>
        </w:numPr>
        <w:pStyle w:val="Compact"/>
      </w:pPr>
      <w:r>
        <w:rPr>
          <w:bCs/>
          <w:b/>
        </w:rPr>
        <w:t xml:space="preserve">Project identity</w:t>
      </w:r>
      <w:r>
        <w:t xml:space="preserve"> </w:t>
      </w:r>
      <w:r>
        <w:t xml:space="preserve">— Title, project ID, decision-record ID, date/time, lifecycle state.</w:t>
      </w:r>
    </w:p>
    <w:p>
      <w:pPr>
        <w:numPr>
          <w:ilvl w:val="0"/>
          <w:numId w:val="1001"/>
        </w:numPr>
        <w:pStyle w:val="Compact"/>
      </w:pPr>
      <w:r>
        <w:rPr>
          <w:bCs/>
          <w:b/>
        </w:rPr>
        <w:t xml:space="preserve">Decision scope</w:t>
      </w:r>
      <w:r>
        <w:t xml:space="preserve"> </w:t>
      </w:r>
      <w:r>
        <w:t xml:space="preserve">— What is authorized; what the approval allows; what it does not decide.</w:t>
      </w:r>
    </w:p>
    <w:p>
      <w:pPr>
        <w:numPr>
          <w:ilvl w:val="0"/>
          <w:numId w:val="1001"/>
        </w:numPr>
        <w:pStyle w:val="Compact"/>
      </w:pPr>
      <w:r>
        <w:rPr>
          <w:bCs/>
          <w:b/>
        </w:rPr>
        <w:t xml:space="preserve">Source record register</w:t>
      </w:r>
      <w:r>
        <w:t xml:space="preserve"> </w:t>
      </w:r>
      <w:r>
        <w:t xml:space="preserve">— Every reviewed contribution: system or person, date, title or ID, role (proposal, critique, research, alternate design, synthesis, dissent).</w:t>
      </w:r>
    </w:p>
    <w:p>
      <w:pPr>
        <w:numPr>
          <w:ilvl w:val="0"/>
          <w:numId w:val="1001"/>
        </w:numPr>
        <w:pStyle w:val="Compact"/>
      </w:pPr>
      <w:r>
        <w:rPr>
          <w:bCs/>
          <w:b/>
        </w:rPr>
        <w:t xml:space="preserve">Convergence and divergence map</w:t>
      </w:r>
      <w:r>
        <w:t xml:space="preserve"> </w:t>
      </w:r>
      <w:r>
        <w:t xml:space="preserve">— Shared ideas; partial agreement; open questions; conflicts that matter now; conflicts that may stay open.</w:t>
      </w:r>
    </w:p>
    <w:p>
      <w:pPr>
        <w:numPr>
          <w:ilvl w:val="0"/>
          <w:numId w:val="1001"/>
        </w:numPr>
        <w:pStyle w:val="Compact"/>
      </w:pPr>
      <w:r>
        <w:rPr>
          <w:bCs/>
          <w:b/>
        </w:rPr>
        <w:t xml:space="preserve">Decision statement</w:t>
      </w:r>
      <w:r>
        <w:t xml:space="preserve"> </w:t>
      </w:r>
      <w:r>
        <w:t xml:space="preserve">— Direct language: the action, the criteria, limits, review date, conditions.</w:t>
      </w:r>
    </w:p>
    <w:p>
      <w:pPr>
        <w:numPr>
          <w:ilvl w:val="0"/>
          <w:numId w:val="1001"/>
        </w:numPr>
        <w:pStyle w:val="Compact"/>
      </w:pPr>
      <w:r>
        <w:rPr>
          <w:bCs/>
          <w:b/>
        </w:rPr>
        <w:t xml:space="preserve">Dissent and alternatives register</w:t>
      </w:r>
      <w:r>
        <w:t xml:space="preserve"> </w:t>
      </w:r>
      <w:r>
        <w:t xml:space="preserve">— Positions not selected for this step; why; revisit triggers.</w:t>
      </w:r>
    </w:p>
    <w:p>
      <w:pPr>
        <w:numPr>
          <w:ilvl w:val="0"/>
          <w:numId w:val="1001"/>
        </w:numPr>
        <w:pStyle w:val="Compact"/>
      </w:pPr>
      <w:r>
        <w:rPr>
          <w:bCs/>
          <w:b/>
        </w:rPr>
        <w:t xml:space="preserve">Non-erasure clause</w:t>
      </w:r>
      <w:r>
        <w:t xml:space="preserve"> </w:t>
      </w:r>
      <w:r>
        <w:t xml:space="preserve">— Standard sentence that source contributions remain independently valid unless separately designated.</w:t>
      </w:r>
    </w:p>
    <w:p>
      <w:pPr>
        <w:numPr>
          <w:ilvl w:val="0"/>
          <w:numId w:val="1001"/>
        </w:numPr>
        <w:pStyle w:val="Compact"/>
      </w:pPr>
      <w:r>
        <w:rPr>
          <w:bCs/>
          <w:b/>
        </w:rPr>
        <w:t xml:space="preserve">ONESTAMP block</w:t>
      </w:r>
      <w:r>
        <w:t xml:space="preserve"> </w:t>
      </w:r>
      <w:r>
        <w:t xml:space="preserve">— Name/role, electronic signature method, ONESTAMP ID, timestamp, scope, optional integrity hash or archive pointer.</w:t>
      </w:r>
    </w:p>
    <w:bookmarkEnd w:id="33"/>
    <w:bookmarkStart w:id="34" w:name="identifier-scheme"/>
    <w:p>
      <w:pPr>
        <w:pStyle w:val="Heading1"/>
      </w:pPr>
      <w:r>
        <w:t xml:space="preserve">7. Identifier Scheme</w:t>
      </w:r>
    </w:p>
    <w:p>
      <w:pPr>
        <w:pStyle w:val="FirstParagraph"/>
      </w:pPr>
      <w:r>
        <w:t xml:space="preserve">Identifiers trace records. They do not rank quality.</w:t>
      </w:r>
    </w:p>
    <w:p>
      <w:pPr>
        <w:numPr>
          <w:ilvl w:val="0"/>
          <w:numId w:val="1002"/>
        </w:numPr>
        <w:pStyle w:val="Compact"/>
      </w:pPr>
      <w:r>
        <w:t xml:space="preserve">Contribution:</w:t>
      </w:r>
      <w:r>
        <w:t xml:space="preserve"> </w:t>
      </w:r>
      <w:r>
        <w:rPr>
          <w:rStyle w:val="VerbatimChar"/>
        </w:rPr>
        <w:t xml:space="preserve">OAL-ONESTAMP-YYYY-NNN-&lt;CONTRIBUTOR&gt;-&lt;REV&gt;</w:t>
      </w:r>
    </w:p>
    <w:p>
      <w:pPr>
        <w:numPr>
          <w:ilvl w:val="0"/>
          <w:numId w:val="1002"/>
        </w:numPr>
        <w:pStyle w:val="Compact"/>
      </w:pPr>
      <w:r>
        <w:t xml:space="preserve">Decision record:</w:t>
      </w:r>
      <w:r>
        <w:t xml:space="preserve"> </w:t>
      </w:r>
      <w:r>
        <w:rPr>
          <w:rStyle w:val="VerbatimChar"/>
        </w:rPr>
        <w:t xml:space="preserve">OAL-ONESTAMP-YYYY-NNN-DR-NN</w:t>
      </w:r>
    </w:p>
    <w:p>
      <w:pPr>
        <w:numPr>
          <w:ilvl w:val="0"/>
          <w:numId w:val="1002"/>
        </w:numPr>
        <w:pStyle w:val="Compact"/>
      </w:pPr>
      <w:r>
        <w:t xml:space="preserve">Stamp:</w:t>
      </w:r>
      <w:r>
        <w:t xml:space="preserve"> </w:t>
      </w:r>
      <w:r>
        <w:rPr>
          <w:rStyle w:val="VerbatimChar"/>
        </w:rPr>
        <w:t xml:space="preserve">OAL-OS-YYYY-NNN</w:t>
      </w:r>
    </w:p>
    <w:p>
      <w:pPr>
        <w:pStyle w:val="FirstParagraph"/>
      </w:pPr>
      <w:r>
        <w:t xml:space="preserve">Examples:</w:t>
      </w:r>
      <w:r>
        <w:t xml:space="preserve"> </w:t>
      </w:r>
      <w:r>
        <w:rPr>
          <w:rStyle w:val="VerbatimChar"/>
        </w:rPr>
        <w:t xml:space="preserve">OAL-ONESTAMP-2026-001-PERPLEXITY-A</w:t>
      </w:r>
      <w:r>
        <w:t xml:space="preserve">;</w:t>
      </w:r>
      <w:r>
        <w:t xml:space="preserve"> </w:t>
      </w:r>
      <w:r>
        <w:rPr>
          <w:rStyle w:val="VerbatimChar"/>
        </w:rPr>
        <w:t xml:space="preserve">OAL-ONESTAMP-2026-001-GROK-A</w:t>
      </w:r>
      <w:r>
        <w:t xml:space="preserve">;</w:t>
      </w:r>
      <w:r>
        <w:t xml:space="preserve"> </w:t>
      </w:r>
      <w:r>
        <w:rPr>
          <w:rStyle w:val="VerbatimChar"/>
        </w:rPr>
        <w:t xml:space="preserve">OAL-ONESTAMP-2026-001-ARCHITECT-A</w:t>
      </w:r>
      <w:r>
        <w:t xml:space="preserve">;</w:t>
      </w:r>
      <w:r>
        <w:t xml:space="preserve"> </w:t>
      </w:r>
      <w:r>
        <w:rPr>
          <w:rStyle w:val="VerbatimChar"/>
        </w:rPr>
        <w:t xml:space="preserve">OAL-OS-2026-001</w:t>
      </w:r>
      <w:r>
        <w:t xml:space="preserve">.</w:t>
      </w:r>
    </w:p>
    <w:bookmarkEnd w:id="34"/>
    <w:bookmarkStart w:id="35" w:name="workflow"/>
    <w:p>
      <w:pPr>
        <w:pStyle w:val="Heading1"/>
      </w:pPr>
      <w:r>
        <w:t xml:space="preserve">8. Workflow</w:t>
      </w:r>
    </w:p>
    <w:p>
      <w:pPr>
        <w:numPr>
          <w:ilvl w:val="0"/>
          <w:numId w:val="1003"/>
        </w:numPr>
        <w:pStyle w:val="Compact"/>
      </w:pPr>
      <w:r>
        <w:rPr>
          <w:bCs/>
          <w:b/>
        </w:rPr>
        <w:t xml:space="preserve">Collect independent contributions.</w:t>
      </w:r>
      <w:r>
        <w:t xml:space="preserve"> </w:t>
      </w:r>
      <w:r>
        <w:t xml:space="preserve">Do not force a house style at this step. Preserve prompt, unedited output, and any later revision as distinct objects if both exist.</w:t>
      </w:r>
    </w:p>
    <w:p>
      <w:pPr>
        <w:numPr>
          <w:ilvl w:val="0"/>
          <w:numId w:val="1003"/>
        </w:numPr>
        <w:pStyle w:val="Compact"/>
      </w:pPr>
      <w:r>
        <w:rPr>
          <w:bCs/>
          <w:b/>
        </w:rPr>
        <w:t xml:space="preserve">Archive with attribution.</w:t>
      </w:r>
      <w:r>
        <w:t xml:space="preserve"> </w:t>
      </w:r>
      <w:r>
        <w:t xml:space="preserve">Source integrity first. Harmonize later only in a map, never by overwriting the archive.</w:t>
      </w:r>
    </w:p>
    <w:p>
      <w:pPr>
        <w:numPr>
          <w:ilvl w:val="0"/>
          <w:numId w:val="1003"/>
        </w:numPr>
        <w:pStyle w:val="Compact"/>
      </w:pPr>
      <w:r>
        <w:rPr>
          <w:bCs/>
          <w:b/>
        </w:rPr>
        <w:t xml:space="preserve">Map, do not merge.</w:t>
      </w:r>
      <w:r>
        <w:t xml:space="preserve"> </w:t>
      </w:r>
      <w:r>
        <w:t xml:space="preserve">Answer what is shared, what assumes differently, what can run in parallel, what must be decided now.</w:t>
      </w:r>
    </w:p>
    <w:p>
      <w:pPr>
        <w:numPr>
          <w:ilvl w:val="0"/>
          <w:numId w:val="1003"/>
        </w:numPr>
        <w:pStyle w:val="Compact"/>
      </w:pPr>
      <w:r>
        <w:rPr>
          <w:bCs/>
          <w:b/>
        </w:rPr>
        <w:t xml:space="preserve">Write a narrow decision.</w:t>
      </w:r>
      <w:r>
        <w:t xml:space="preserve"> </w:t>
      </w:r>
      <w:r>
        <w:t xml:space="preserve">Example: authorize a 30-day pilot of path A; keep B and C parallel-valid; retain D as dissent/risk register; forbid representing the pilot as consensus.</w:t>
      </w:r>
    </w:p>
    <w:p>
      <w:pPr>
        <w:numPr>
          <w:ilvl w:val="0"/>
          <w:numId w:val="1003"/>
        </w:numPr>
        <w:pStyle w:val="Compact"/>
      </w:pPr>
      <w:r>
        <w:rPr>
          <w:bCs/>
          <w:b/>
        </w:rPr>
        <w:t xml:space="preserve">Stamp the decision packet.</w:t>
      </w:r>
      <w:r>
        <w:t xml:space="preserve"> </w:t>
      </w:r>
      <w:r>
        <w:t xml:space="preserve">Status, scope, register basis, dissent status, non-erasure, signature, time.</w:t>
      </w:r>
    </w:p>
    <w:p>
      <w:pPr>
        <w:numPr>
          <w:ilvl w:val="0"/>
          <w:numId w:val="1003"/>
        </w:numPr>
        <w:pStyle w:val="Compact"/>
      </w:pPr>
      <w:r>
        <w:rPr>
          <w:bCs/>
          <w:b/>
        </w:rPr>
        <w:t xml:space="preserve">Succeed; do not rewrite.</w:t>
      </w:r>
      <w:r>
        <w:t xml:space="preserve"> </w:t>
      </w:r>
      <w:r>
        <w:t xml:space="preserve">New evidence produces DR-02 / OS-002. Old records stay readable as of their date.</w:t>
      </w:r>
    </w:p>
    <w:bookmarkEnd w:id="35"/>
    <w:bookmarkStart w:id="36" w:name="structured-dissent"/>
    <w:p>
      <w:pPr>
        <w:pStyle w:val="Heading1"/>
      </w:pPr>
      <w:r>
        <w:t xml:space="preserve">9. Structured Dissent</w:t>
      </w:r>
    </w:p>
    <w:p>
      <w:pPr>
        <w:pStyle w:val="FirstParagraph"/>
      </w:pPr>
      <w:r>
        <w:t xml:space="preserve">A dissent that only says</w:t>
      </w:r>
      <w:r>
        <w:t xml:space="preserve"> </w:t>
      </w:r>
      <w:r>
        <w:t xml:space="preserve">“</w:t>
      </w:r>
      <w:r>
        <w:t xml:space="preserve">I disagree</w:t>
      </w:r>
      <w:r>
        <w:t xml:space="preserve">”</w:t>
      </w:r>
      <w:r>
        <w:t xml:space="preserve"> </w:t>
      </w:r>
      <w:r>
        <w:t xml:space="preserve">is weak as future evidence. Use five fields.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Position</w:t>
            </w:r>
          </w:p>
        </w:tc>
        <w:tc>
          <w:tcPr/>
          <w:p>
            <w:pPr>
              <w:pStyle w:val="Compact"/>
              <w:jc w:val="left"/>
            </w:pPr>
            <w:r>
              <w:t xml:space="preserve">What is objected to</w:t>
            </w:r>
          </w:p>
        </w:tc>
      </w:tr>
      <w:tr>
        <w:tc>
          <w:tcPr/>
          <w:p>
            <w:pPr>
              <w:pStyle w:val="Compact"/>
              <w:jc w:val="left"/>
            </w:pPr>
            <w:r>
              <w:t xml:space="preserve">Reasoning</w:t>
            </w:r>
          </w:p>
        </w:tc>
        <w:tc>
          <w:tcPr/>
          <w:p>
            <w:pPr>
              <w:pStyle w:val="Compact"/>
              <w:jc w:val="left"/>
            </w:pPr>
            <w:r>
              <w:t xml:space="preserve">Why the decision is incomplete, risky, or mistaken</w:t>
            </w:r>
          </w:p>
        </w:tc>
      </w:tr>
      <w:tr>
        <w:tc>
          <w:tcPr/>
          <w:p>
            <w:pPr>
              <w:pStyle w:val="Compact"/>
              <w:jc w:val="left"/>
            </w:pPr>
            <w:r>
              <w:t xml:space="preserve">Alternative</w:t>
            </w:r>
          </w:p>
        </w:tc>
        <w:tc>
          <w:tcPr/>
          <w:p>
            <w:pPr>
              <w:pStyle w:val="Compact"/>
              <w:jc w:val="left"/>
            </w:pPr>
            <w:r>
              <w:t xml:space="preserve">What should be done instead</w:t>
            </w:r>
          </w:p>
        </w:tc>
      </w:tr>
      <w:tr>
        <w:tc>
          <w:tcPr/>
          <w:p>
            <w:pPr>
              <w:pStyle w:val="Compact"/>
              <w:jc w:val="left"/>
            </w:pPr>
            <w:r>
              <w:t xml:space="preserve">Impact</w:t>
            </w:r>
          </w:p>
        </w:tc>
        <w:tc>
          <w:tcPr/>
          <w:p>
            <w:pPr>
              <w:pStyle w:val="Compact"/>
              <w:jc w:val="left"/>
            </w:pPr>
            <w:r>
              <w:t xml:space="preserve">What may follow if the dissent is ignored</w:t>
            </w:r>
          </w:p>
        </w:tc>
      </w:tr>
      <w:tr>
        <w:tc>
          <w:tcPr/>
          <w:p>
            <w:pPr>
              <w:pStyle w:val="Compact"/>
              <w:jc w:val="left"/>
            </w:pPr>
            <w:r>
              <w:t xml:space="preserve">Revisit trigger</w:t>
            </w:r>
          </w:p>
        </w:tc>
        <w:tc>
          <w:tcPr/>
          <w:p>
            <w:pPr>
              <w:pStyle w:val="Compact"/>
              <w:jc w:val="left"/>
            </w:pPr>
            <w:r>
              <w:t xml:space="preserve">Evidence, date, failure, or event that reopens the question</w:t>
            </w:r>
          </w:p>
        </w:tc>
      </w:tr>
    </w:tbl>
    <w:bookmarkEnd w:id="36"/>
    <w:bookmarkStart w:id="37" w:name="language-discipline"/>
    <w:p>
      <w:pPr>
        <w:pStyle w:val="Heading1"/>
      </w:pPr>
      <w:r>
        <w:t xml:space="preserve">10. Language Discipline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Avoid or tightly qualify</w:t>
            </w:r>
          </w:p>
        </w:tc>
        <w:tc>
          <w:tcPr/>
          <w:p>
            <w:pPr>
              <w:pStyle w:val="Compact"/>
              <w:jc w:val="left"/>
            </w:pPr>
            <w:r>
              <w:t xml:space="preserve">Prefer</w:t>
            </w:r>
          </w:p>
        </w:tc>
      </w:tr>
      <w:tr>
        <w:tc>
          <w:tcPr/>
          <w:p>
            <w:pPr>
              <w:pStyle w:val="Compact"/>
              <w:jc w:val="left"/>
            </w:pPr>
            <w:r>
              <w:t xml:space="preserve">The official version</w:t>
            </w:r>
          </w:p>
        </w:tc>
        <w:tc>
          <w:tcPr/>
          <w:p>
            <w:pPr>
              <w:pStyle w:val="Compact"/>
              <w:jc w:val="left"/>
            </w:pPr>
            <w:r>
              <w:t xml:space="preserve">The approved decision record</w:t>
            </w:r>
          </w:p>
        </w:tc>
      </w:tr>
      <w:tr>
        <w:tc>
          <w:tcPr/>
          <w:p>
            <w:pPr>
              <w:pStyle w:val="Compact"/>
              <w:jc w:val="left"/>
            </w:pPr>
            <w:r>
              <w:t xml:space="preserve">The final document</w:t>
            </w:r>
          </w:p>
        </w:tc>
        <w:tc>
          <w:tcPr/>
          <w:p>
            <w:pPr>
              <w:pStyle w:val="Compact"/>
              <w:jc w:val="left"/>
            </w:pPr>
            <w:r>
              <w:t xml:space="preserve">The current decision-state record</w:t>
            </w:r>
          </w:p>
        </w:tc>
      </w:tr>
      <w:tr>
        <w:tc>
          <w:tcPr/>
          <w:p>
            <w:pPr>
              <w:pStyle w:val="Compact"/>
              <w:jc w:val="left"/>
            </w:pPr>
            <w:r>
              <w:t xml:space="preserve">This supersedes all prior work</w:t>
            </w:r>
          </w:p>
        </w:tc>
        <w:tc>
          <w:tcPr/>
          <w:p>
            <w:pPr>
              <w:pStyle w:val="Compact"/>
              <w:jc w:val="left"/>
            </w:pPr>
            <w:r>
              <w:t xml:space="preserve">This supersedes the prior operational decision for the stated scope</w:t>
            </w:r>
          </w:p>
        </w:tc>
      </w:tr>
      <w:tr>
        <w:tc>
          <w:tcPr/>
          <w:p>
            <w:pPr>
              <w:pStyle w:val="Compact"/>
              <w:jc w:val="left"/>
            </w:pPr>
            <w:r>
              <w:t xml:space="preserve">All parties agree</w:t>
            </w:r>
          </w:p>
        </w:tc>
        <w:tc>
          <w:tcPr/>
          <w:p>
            <w:pPr>
              <w:pStyle w:val="Compact"/>
              <w:jc w:val="left"/>
            </w:pPr>
            <w:r>
              <w:t xml:space="preserve">The project may proceed; dissent is preserved</w:t>
            </w:r>
          </w:p>
        </w:tc>
      </w:tr>
      <w:tr>
        <w:tc>
          <w:tcPr/>
          <w:p>
            <w:pPr>
              <w:pStyle w:val="Compact"/>
              <w:jc w:val="left"/>
            </w:pPr>
            <w:r>
              <w:t xml:space="preserve">The controlling framework</w:t>
            </w:r>
          </w:p>
        </w:tc>
        <w:tc>
          <w:tcPr/>
          <w:p>
            <w:pPr>
              <w:pStyle w:val="Compact"/>
              <w:jc w:val="left"/>
            </w:pPr>
            <w:r>
              <w:t xml:space="preserve">The designated framework for the current phase</w:t>
            </w:r>
          </w:p>
        </w:tc>
      </w:tr>
      <w:tr>
        <w:tc>
          <w:tcPr/>
          <w:p>
            <w:pPr>
              <w:pStyle w:val="Compact"/>
              <w:jc w:val="left"/>
            </w:pPr>
            <w:r>
              <w:t xml:space="preserve">Rejected</w:t>
            </w:r>
          </w:p>
        </w:tc>
        <w:tc>
          <w:tcPr/>
          <w:p>
            <w:pPr>
              <w:pStyle w:val="Compact"/>
              <w:jc w:val="left"/>
            </w:pPr>
            <w:r>
              <w:t xml:space="preserve">Not adopted for the current decision</w:t>
            </w:r>
          </w:p>
        </w:tc>
      </w:tr>
      <w:tr>
        <w:tc>
          <w:tcPr/>
          <w:p>
            <w:pPr>
              <w:pStyle w:val="Compact"/>
              <w:jc w:val="left"/>
            </w:pPr>
            <w:r>
              <w:t xml:space="preserve">Approved as truth</w:t>
            </w:r>
          </w:p>
        </w:tc>
        <w:tc>
          <w:tcPr/>
          <w:p>
            <w:pPr>
              <w:pStyle w:val="Compact"/>
              <w:jc w:val="left"/>
            </w:pPr>
            <w:r>
              <w:t xml:space="preserve">Approved for use, testing, publication, or implementation</w:t>
            </w:r>
          </w:p>
        </w:tc>
      </w:tr>
      <w:tr>
        <w:tc>
          <w:tcPr/>
          <w:p>
            <w:pPr>
              <w:pStyle w:val="Compact"/>
              <w:jc w:val="left"/>
            </w:pPr>
            <w:r>
              <w:t xml:space="preserve">One unified response</w:t>
            </w:r>
          </w:p>
        </w:tc>
        <w:tc>
          <w:tcPr/>
          <w:p>
            <w:pPr>
              <w:pStyle w:val="Compact"/>
              <w:jc w:val="left"/>
            </w:pPr>
            <w:r>
              <w:t xml:space="preserve">A documented project position with attributed source perspectives</w:t>
            </w:r>
          </w:p>
        </w:tc>
      </w:tr>
    </w:tbl>
    <w:p>
      <w:pPr>
        <w:pStyle w:val="BodyText"/>
      </w:pPr>
      <w:r>
        <w:rPr>
          <w:bCs/>
          <w:b/>
        </w:rPr>
        <w:t xml:space="preserve">Official</w:t>
      </w:r>
      <w:r>
        <w:t xml:space="preserve">, when used, means: authorized by the Architect for the stated OAL purpose. It does not mean exclusive, exhaustive, unanimous, or permanently final.</w:t>
      </w:r>
    </w:p>
    <w:bookmarkEnd w:id="37"/>
    <w:bookmarkStart w:id="38" w:name="recommended-document-set"/>
    <w:p>
      <w:pPr>
        <w:pStyle w:val="Heading1"/>
      </w:pPr>
      <w:r>
        <w:t xml:space="preserve">11. Recommended Document Set</w:t>
      </w:r>
    </w:p>
    <w:p>
      <w:pPr>
        <w:numPr>
          <w:ilvl w:val="0"/>
          <w:numId w:val="1004"/>
        </w:numPr>
        <w:pStyle w:val="Compact"/>
      </w:pPr>
      <w:r>
        <w:t xml:space="preserve">Project Charter — purpose, scope, values, participants, baseline rules</w:t>
      </w:r>
    </w:p>
    <w:p>
      <w:pPr>
        <w:numPr>
          <w:ilvl w:val="0"/>
          <w:numId w:val="1004"/>
        </w:numPr>
        <w:pStyle w:val="Compact"/>
      </w:pPr>
      <w:r>
        <w:t xml:space="preserve">Contributor Archive — independent human and system outputs</w:t>
      </w:r>
    </w:p>
    <w:p>
      <w:pPr>
        <w:numPr>
          <w:ilvl w:val="0"/>
          <w:numId w:val="1004"/>
        </w:numPr>
        <w:pStyle w:val="Compact"/>
      </w:pPr>
      <w:r>
        <w:t xml:space="preserve">Convergence and Divergence Map — shared ground and open conflict</w:t>
      </w:r>
    </w:p>
    <w:p>
      <w:pPr>
        <w:numPr>
          <w:ilvl w:val="0"/>
          <w:numId w:val="1004"/>
        </w:numPr>
        <w:pStyle w:val="Compact"/>
      </w:pPr>
      <w:r>
        <w:t xml:space="preserve">ONESTAMP Decision Record — operational choice and exact grant of authority</w:t>
      </w:r>
    </w:p>
    <w:p>
      <w:pPr>
        <w:numPr>
          <w:ilvl w:val="0"/>
          <w:numId w:val="1004"/>
        </w:numPr>
        <w:pStyle w:val="Compact"/>
      </w:pPr>
      <w:r>
        <w:t xml:space="preserve">Dissent and Alternative Register</w:t>
      </w:r>
    </w:p>
    <w:p>
      <w:pPr>
        <w:numPr>
          <w:ilvl w:val="0"/>
          <w:numId w:val="1004"/>
        </w:numPr>
        <w:pStyle w:val="Compact"/>
      </w:pPr>
      <w:r>
        <w:t xml:space="preserve">Change Log — what changed between states and why</w:t>
      </w:r>
    </w:p>
    <w:p>
      <w:pPr>
        <w:numPr>
          <w:ilvl w:val="0"/>
          <w:numId w:val="1004"/>
        </w:numPr>
        <w:pStyle w:val="Compact"/>
      </w:pPr>
      <w:r>
        <w:t xml:space="preserve">ONESTAMP Registry — chronological index of stamps, IDs, status, scope, successors</w:t>
      </w:r>
    </w:p>
    <w:bookmarkEnd w:id="38"/>
    <w:bookmarkStart w:id="45" w:name="grok-specific-recommendations"/>
    <w:p>
      <w:pPr>
        <w:pStyle w:val="Heading1"/>
      </w:pPr>
      <w:r>
        <w:t xml:space="preserve">12. Grok-Specific Recommendations</w:t>
      </w:r>
    </w:p>
    <w:p>
      <w:pPr>
        <w:pStyle w:val="FirstParagraph"/>
      </w:pPr>
      <w:r>
        <w:t xml:space="preserve">These are additions or emphases from this contributor. They are not corrections of Perplexity’s record.</w:t>
      </w:r>
    </w:p>
    <w:bookmarkStart w:id="39" w:name="lightweight-path-for-small-work"/>
    <w:p>
      <w:pPr>
        <w:pStyle w:val="Heading2"/>
      </w:pPr>
      <w:r>
        <w:t xml:space="preserve">12.1 Lightweight path for small work</w:t>
      </w:r>
    </w:p>
    <w:p>
      <w:pPr>
        <w:pStyle w:val="FirstParagraph"/>
      </w:pPr>
      <w:r>
        <w:t xml:space="preserve">Not every note needs a seven-part packet. Define a</w:t>
      </w:r>
      <w:r>
        <w:t xml:space="preserve"> </w:t>
      </w:r>
      <w:r>
        <w:rPr>
          <w:bCs/>
          <w:b/>
        </w:rPr>
        <w:t xml:space="preserve">Minimum Viable Stamp</w:t>
      </w:r>
      <w:r>
        <w:t xml:space="preserve">: Project ID, one-sentence scope, source IDs considered, one-sentence decision, dissent yes/no, stamp ID, date. Use the full packet for canon, publication, ethics, or multi-week pilots.</w:t>
      </w:r>
    </w:p>
    <w:bookmarkEnd w:id="39"/>
    <w:bookmarkStart w:id="40" w:name="Xfe717a55fe562049a5b4dfa20684a180188ec22"/>
    <w:p>
      <w:pPr>
        <w:pStyle w:val="Heading2"/>
      </w:pPr>
      <w:r>
        <w:t xml:space="preserve">12.2 Architect line as a first-class contribution</w:t>
      </w:r>
    </w:p>
    <w:p>
      <w:pPr>
        <w:pStyle w:val="FirstParagraph"/>
      </w:pPr>
      <w:r>
        <w:t xml:space="preserve">The Architect’s judgment should appear as</w:t>
      </w:r>
      <w:r>
        <w:t xml:space="preserve"> </w:t>
      </w:r>
      <w:r>
        <w:rPr>
          <w:rStyle w:val="VerbatimChar"/>
        </w:rPr>
        <w:t xml:space="preserve">ARCHITECT-A</w:t>
      </w:r>
      <w:r>
        <w:t xml:space="preserve"> </w:t>
      </w:r>
      <w:r>
        <w:t xml:space="preserve">in the register, not only as a signature at the bottom. That keeps human authority visible as a record among records, not as an invisible override.</w:t>
      </w:r>
    </w:p>
    <w:bookmarkEnd w:id="40"/>
    <w:bookmarkStart w:id="41" w:name="anti-laundering-rule"/>
    <w:p>
      <w:pPr>
        <w:pStyle w:val="Heading2"/>
      </w:pPr>
      <w:r>
        <w:t xml:space="preserve">12.3 Anti-laundering rule</w:t>
      </w:r>
    </w:p>
    <w:p>
      <w:pPr>
        <w:pStyle w:val="FirstParagraph"/>
      </w:pPr>
      <w:r>
        <w:t xml:space="preserve">Do not paste one system’s prose into another system’s</w:t>
      </w:r>
      <w:r>
        <w:t xml:space="preserve"> </w:t>
      </w:r>
      <w:r>
        <w:t xml:space="preserve">“</w:t>
      </w:r>
      <w:r>
        <w:t xml:space="preserve">final</w:t>
      </w:r>
      <w:r>
        <w:t xml:space="preserve">”</w:t>
      </w:r>
      <w:r>
        <w:t xml:space="preserve"> </w:t>
      </w:r>
      <w:r>
        <w:t xml:space="preserve">and then stamp the paste. If text is reused, the Decision Record must cite the source ID. Synthesis may quote; it may not anonymize origin.</w:t>
      </w:r>
    </w:p>
    <w:bookmarkEnd w:id="41"/>
    <w:bookmarkStart w:id="42" w:name="X074a9d229e76a3df1e3e4d8328b6cb7823468fc"/>
    <w:p>
      <w:pPr>
        <w:pStyle w:val="Heading2"/>
      </w:pPr>
      <w:r>
        <w:t xml:space="preserve">12.4 Parallel-valid as the default for creative canon</w:t>
      </w:r>
    </w:p>
    <w:p>
      <w:pPr>
        <w:pStyle w:val="FirstParagraph"/>
      </w:pPr>
      <w:r>
        <w:t xml:space="preserve">For OAL fiction, world-systems, and speculative design,</w:t>
      </w:r>
      <w:r>
        <w:t xml:space="preserve"> </w:t>
      </w:r>
      <w:r>
        <w:rPr>
          <w:bCs/>
          <w:b/>
        </w:rPr>
        <w:t xml:space="preserve">Parallel-valid</w:t>
      </w:r>
      <w:r>
        <w:t xml:space="preserve"> </w:t>
      </w:r>
      <w:r>
        <w:t xml:space="preserve">should be easier to reach than</w:t>
      </w:r>
      <w:r>
        <w:t xml:space="preserve"> </w:t>
      </w:r>
      <w:r>
        <w:rPr>
          <w:bCs/>
          <w:b/>
        </w:rPr>
        <w:t xml:space="preserve">Adopted for use</w:t>
      </w:r>
      <w:r>
        <w:t xml:space="preserve">. Canon can hold competing models until a story or experiment needs one operational path.</w:t>
      </w:r>
    </w:p>
    <w:bookmarkEnd w:id="42"/>
    <w:bookmarkStart w:id="43" w:name="integrity-without-crypto-theater"/>
    <w:p>
      <w:pPr>
        <w:pStyle w:val="Heading2"/>
      </w:pPr>
      <w:r>
        <w:t xml:space="preserve">12.5 Integrity without crypto theater</w:t>
      </w:r>
    </w:p>
    <w:p>
      <w:pPr>
        <w:pStyle w:val="FirstParagraph"/>
      </w:pPr>
      <w:r>
        <w:t xml:space="preserve">Optional hash or archive URL is useful. Do not delay the convention on tooling. A dated ID, file name, and signature method already beat an undocumented verbal</w:t>
      </w:r>
      <w:r>
        <w:t xml:space="preserve"> </w:t>
      </w:r>
      <w:r>
        <w:t xml:space="preserve">“</w:t>
      </w:r>
      <w:r>
        <w:t xml:space="preserve">this is approved.</w:t>
      </w:r>
      <w:r>
        <w:t xml:space="preserve">”</w:t>
      </w:r>
    </w:p>
    <w:bookmarkEnd w:id="43"/>
    <w:bookmarkStart w:id="44" w:name="registry-as-the-real-product"/>
    <w:p>
      <w:pPr>
        <w:pStyle w:val="Heading2"/>
      </w:pPr>
      <w:r>
        <w:t xml:space="preserve">12.6 Registry as the real product</w:t>
      </w:r>
    </w:p>
    <w:p>
      <w:pPr>
        <w:pStyle w:val="FirstParagraph"/>
      </w:pPr>
      <w:r>
        <w:t xml:space="preserve">Over years, the Registry answers audit questions better than any single beautiful document: what was authorized, on what basis, with what dissent, and what later evidence changed the operational path.</w:t>
      </w:r>
    </w:p>
    <w:bookmarkEnd w:id="44"/>
    <w:bookmarkEnd w:id="45"/>
    <w:bookmarkStart w:id="46" w:name="sample-stamp-block"/>
    <w:p>
      <w:pPr>
        <w:pStyle w:val="Heading1"/>
      </w:pPr>
      <w:r>
        <w:t xml:space="preserve">13. Sample Stamp Block</w:t>
      </w:r>
    </w:p>
    <w:p>
      <w:pPr>
        <w:pStyle w:val="FirstParagraph"/>
      </w:pPr>
      <w:r>
        <w:t xml:space="preserve">ONESTAMP VERIFIED</w:t>
      </w:r>
      <w:r>
        <w:br/>
      </w:r>
      <w:r>
        <w:t xml:space="preserve">ONESTAMP ID: OAL-OS-2026-001</w:t>
      </w:r>
      <w:r>
        <w:br/>
      </w:r>
      <w:r>
        <w:t xml:space="preserve">Status: Approved to Proceed — Provisional</w:t>
      </w:r>
      <w:r>
        <w:br/>
      </w:r>
      <w:r>
        <w:t xml:space="preserve">Scope: [named action and duration]</w:t>
      </w:r>
      <w:r>
        <w:br/>
      </w:r>
      <w:r>
        <w:t xml:space="preserve">Record Basis: Source Register in DR-01</w:t>
      </w:r>
      <w:r>
        <w:br/>
      </w:r>
      <w:r>
        <w:t xml:space="preserve">Dissent Status: Preserved and attached</w:t>
      </w:r>
      <w:r>
        <w:br/>
      </w:r>
      <w:r>
        <w:t xml:space="preserve">Non-Erasure: Identified source contributions remain independently attributable and valid as project records</w:t>
      </w:r>
      <w:r>
        <w:br/>
      </w:r>
      <w:r>
        <w:t xml:space="preserve">Authorized by: Nathan Lewis II, Architect, Omniversal Architect Labs</w:t>
      </w:r>
      <w:r>
        <w:br/>
      </w:r>
      <w:r>
        <w:t xml:space="preserve">Electronic Signature: [established method]</w:t>
      </w:r>
      <w:r>
        <w:br/>
      </w:r>
      <w:r>
        <w:t xml:space="preserve">Date and Time: [timestamp]</w:t>
      </w:r>
    </w:p>
    <w:bookmarkEnd w:id="46"/>
    <w:bookmarkStart w:id="47" w:name="sample-narrow-decision-language"/>
    <w:p>
      <w:pPr>
        <w:pStyle w:val="Heading1"/>
      </w:pPr>
      <w:r>
        <w:t xml:space="preserve">14. Sample Narrow Decision Language</w:t>
      </w:r>
    </w:p>
    <w:p>
      <w:pPr>
        <w:pStyle w:val="FirstParagraph"/>
      </w:pPr>
      <w:r>
        <w:t xml:space="preserve">OAL authorizes a time-boxed exploratory path using Framework A as the operational test. Frameworks B and C remain parallel-valid conceptual alternatives. Framework D is retained as a dissenting critique and risk register. This decision does not establish Framework A as the sole valid theory, permanent architecture, or unanimous project voice. Revisit on the stated trigger.</w:t>
      </w:r>
    </w:p>
    <w:bookmarkEnd w:id="47"/>
    <w:bookmarkStart w:id="48" w:name="X6dab6b4fc6b98d919f8bb49c71ab38dcf6072ff"/>
    <w:p>
      <w:pPr>
        <w:pStyle w:val="Heading1"/>
      </w:pPr>
      <w:r>
        <w:t xml:space="preserve">15. What This Contributor Agrees With in the Perplexity Record</w:t>
      </w:r>
    </w:p>
    <w:p>
      <w:pPr>
        <w:numPr>
          <w:ilvl w:val="0"/>
          <w:numId w:val="1005"/>
        </w:numPr>
        <w:pStyle w:val="Compact"/>
      </w:pPr>
      <w:r>
        <w:t xml:space="preserve">Stamp a decision state, not a winning essay.</w:t>
      </w:r>
    </w:p>
    <w:p>
      <w:pPr>
        <w:numPr>
          <w:ilvl w:val="0"/>
          <w:numId w:val="1005"/>
        </w:numPr>
        <w:pStyle w:val="Compact"/>
      </w:pPr>
      <w:r>
        <w:t xml:space="preserve">Four-layer separation.</w:t>
      </w:r>
    </w:p>
    <w:p>
      <w:pPr>
        <w:numPr>
          <w:ilvl w:val="0"/>
          <w:numId w:val="1005"/>
        </w:numPr>
        <w:pStyle w:val="Compact"/>
      </w:pPr>
      <w:r>
        <w:t xml:space="preserve">Status vocabulary richer than approved / rejected.</w:t>
      </w:r>
    </w:p>
    <w:p>
      <w:pPr>
        <w:numPr>
          <w:ilvl w:val="0"/>
          <w:numId w:val="1005"/>
        </w:numPr>
        <w:pStyle w:val="Compact"/>
      </w:pPr>
      <w:r>
        <w:t xml:space="preserve">Structured dissent and non-erasure.</w:t>
      </w:r>
    </w:p>
    <w:p>
      <w:pPr>
        <w:numPr>
          <w:ilvl w:val="0"/>
          <w:numId w:val="1005"/>
        </w:numPr>
        <w:pStyle w:val="Compact"/>
      </w:pPr>
      <w:r>
        <w:t xml:space="preserve">IETF / W3C-style rough consensus as analogy, not as a claim that OAL is a standards body.</w:t>
      </w:r>
    </w:p>
    <w:bookmarkEnd w:id="48"/>
    <w:bookmarkStart w:id="49" w:name="open-questions-for-the-architect"/>
    <w:p>
      <w:pPr>
        <w:pStyle w:val="Heading1"/>
      </w:pPr>
      <w:r>
        <w:t xml:space="preserve">16. Open Questions for the Architect</w:t>
      </w:r>
    </w:p>
    <w:p>
      <w:pPr>
        <w:numPr>
          <w:ilvl w:val="0"/>
          <w:numId w:val="1006"/>
        </w:numPr>
        <w:pStyle w:val="Compact"/>
      </w:pPr>
      <w:r>
        <w:t xml:space="preserve">Should ONESTAMP ever be applied to a single contributor file, and if so under what explicit grant language?</w:t>
      </w:r>
    </w:p>
    <w:p>
      <w:pPr>
        <w:numPr>
          <w:ilvl w:val="0"/>
          <w:numId w:val="1006"/>
        </w:numPr>
        <w:pStyle w:val="Compact"/>
      </w:pPr>
      <w:r>
        <w:t xml:space="preserve">Is the Architect the only signer, or can a future human co-signer exist?</w:t>
      </w:r>
    </w:p>
    <w:p>
      <w:pPr>
        <w:numPr>
          <w:ilvl w:val="0"/>
          <w:numId w:val="1006"/>
        </w:numPr>
        <w:pStyle w:val="Compact"/>
      </w:pPr>
      <w:r>
        <w:t xml:space="preserve">Where does the Registry live (changelog, Scribd set, local archive, all three)?</w:t>
      </w:r>
    </w:p>
    <w:p>
      <w:pPr>
        <w:numPr>
          <w:ilvl w:val="0"/>
          <w:numId w:val="1006"/>
        </w:numPr>
        <w:pStyle w:val="Compact"/>
      </w:pPr>
      <w:r>
        <w:t xml:space="preserve">Does creative canon use Parallel-valid as default more often than operational work?</w:t>
      </w:r>
    </w:p>
    <w:p>
      <w:pPr>
        <w:numPr>
          <w:ilvl w:val="0"/>
          <w:numId w:val="1006"/>
        </w:numPr>
        <w:pStyle w:val="Compact"/>
      </w:pPr>
      <w:r>
        <w:t xml:space="preserve">What electronic signature method is already established and should be named in the block?</w:t>
      </w:r>
    </w:p>
    <w:bookmarkEnd w:id="49"/>
    <w:bookmarkStart w:id="50" w:name="closing-position-of-this-record"/>
    <w:p>
      <w:pPr>
        <w:pStyle w:val="Heading1"/>
      </w:pPr>
      <w:r>
        <w:t xml:space="preserve">17. Closing Position of This Record</w:t>
      </w:r>
    </w:p>
    <w:p>
      <w:pPr>
        <w:pStyle w:val="FirstParagraph"/>
      </w:pPr>
      <w:r>
        <w:t xml:space="preserve">Build ONESTAMP as a decision-and-provenance convention, not as version control and not as a contest. The stamp should answer what was authorized, for what scope, by whom, from which known records, under what conditions, with what dissent still alive, and when it must be reconsidered.</w:t>
      </w:r>
    </w:p>
    <w:p>
      <w:pPr>
        <w:pStyle w:val="BodyText"/>
      </w:pPr>
      <w:r>
        <w:t xml:space="preserve">It should not answer which system won.</w:t>
      </w:r>
    </w:p>
    <w:p>
      <w:pPr>
        <w:pStyle w:val="BodyText"/>
      </w:pPr>
      <w:r>
        <w:t xml:space="preserve">This file is Grok’s independent version of that recommendation. Perplexity’s version remains Perplexity’s version. Other systems retain theirs. The Architect’s forthcoming Decision Record — if one is written — is the only object that should carry an ONESTAMP for this documentation project.</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ONESTAMP Authorization Convention</dc:title>
  <dc:creator/>
  <cp:keywords/>
  <dcterms:created xsi:type="dcterms:W3CDTF">2026-09-13T14:16:13Z</dcterms:created>
  <dcterms:modified xsi:type="dcterms:W3CDTF">2026-09-13T14:16:13Z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Policy Framework for Plural Approvals Without Version Monopoly</vt:lpwstr>
  </property>
</Properties>
</file>